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237B30">
      <w:pPr>
        <w:jc w:val="center"/>
      </w:pPr>
    </w:p>
    <w:p w14:paraId="175BBFB7">
      <w:pPr>
        <w:jc w:val="center"/>
        <w:rPr>
          <w:rFonts w:hint="eastAsia" w:ascii="Times New Roman" w:hAnsi="Times New Roman"/>
          <w:b/>
          <w:bCs/>
          <w:sz w:val="24"/>
          <w:szCs w:val="24"/>
        </w:rPr>
      </w:pPr>
      <w:r>
        <w:rPr>
          <w:rFonts w:ascii="Times New Roman" w:hAnsi="Times New Roman"/>
          <w:b/>
          <w:bCs/>
        </w:rPr>
        <w:t>Table 1. Characteristics of control group and pNETs patients</w:t>
      </w:r>
    </w:p>
    <w:tbl>
      <w:tblPr>
        <w:tblStyle w:val="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51"/>
        <w:gridCol w:w="2163"/>
        <w:gridCol w:w="2164"/>
        <w:gridCol w:w="1122"/>
        <w:gridCol w:w="1122"/>
      </w:tblGrid>
      <w:tr w14:paraId="597AFF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nil"/>
              <w:bottom w:val="single" w:color="auto" w:sz="4" w:space="0"/>
              <w:right w:val="nil"/>
            </w:tcBorders>
            <w:shd w:val="clear" w:color="auto" w:fill="auto"/>
            <w:noWrap w:val="0"/>
            <w:vAlign w:val="top"/>
          </w:tcPr>
          <w:p w14:paraId="36D6AB0F">
            <w:pPr>
              <w:jc w:val="center"/>
              <w:rPr>
                <w:rFonts w:ascii="Times New Roman" w:hAnsi="Times New Roman"/>
              </w:rPr>
            </w:pPr>
          </w:p>
        </w:tc>
        <w:tc>
          <w:tcPr>
            <w:tcW w:w="2163" w:type="dxa"/>
            <w:tcBorders>
              <w:top w:val="single" w:color="auto" w:sz="4" w:space="0"/>
              <w:left w:val="nil"/>
              <w:bottom w:val="single" w:color="auto" w:sz="4" w:space="0"/>
              <w:right w:val="nil"/>
            </w:tcBorders>
            <w:shd w:val="clear" w:color="auto" w:fill="auto"/>
            <w:noWrap w:val="0"/>
            <w:vAlign w:val="top"/>
          </w:tcPr>
          <w:p w14:paraId="2197EECF">
            <w:pPr>
              <w:jc w:val="center"/>
              <w:rPr>
                <w:rFonts w:ascii="Times New Roman" w:hAnsi="Times New Roman"/>
              </w:rPr>
            </w:pPr>
            <w:r>
              <w:rPr>
                <w:rFonts w:ascii="Times New Roman" w:hAnsi="Times New Roman"/>
              </w:rPr>
              <w:t>Control</w:t>
            </w:r>
          </w:p>
        </w:tc>
        <w:tc>
          <w:tcPr>
            <w:tcW w:w="2164" w:type="dxa"/>
            <w:tcBorders>
              <w:top w:val="single" w:color="auto" w:sz="4" w:space="0"/>
              <w:left w:val="nil"/>
              <w:bottom w:val="single" w:color="auto" w:sz="4" w:space="0"/>
              <w:right w:val="nil"/>
            </w:tcBorders>
            <w:shd w:val="clear" w:color="auto" w:fill="auto"/>
            <w:noWrap w:val="0"/>
            <w:vAlign w:val="top"/>
          </w:tcPr>
          <w:p w14:paraId="4829BA90">
            <w:pPr>
              <w:jc w:val="center"/>
              <w:rPr>
                <w:rFonts w:ascii="Times New Roman" w:hAnsi="Times New Roman"/>
              </w:rPr>
            </w:pPr>
            <w:r>
              <w:rPr>
                <w:rFonts w:ascii="Times New Roman" w:hAnsi="Times New Roman"/>
              </w:rPr>
              <w:t>P</w:t>
            </w:r>
            <w:r>
              <w:rPr>
                <w:rFonts w:hint="eastAsia" w:ascii="Times New Roman" w:hAnsi="Times New Roman"/>
              </w:rPr>
              <w:t>atients</w:t>
            </w:r>
          </w:p>
        </w:tc>
        <w:tc>
          <w:tcPr>
            <w:tcW w:w="1122" w:type="dxa"/>
            <w:tcBorders>
              <w:top w:val="single" w:color="auto" w:sz="4" w:space="0"/>
              <w:left w:val="nil"/>
              <w:bottom w:val="single" w:color="auto" w:sz="4" w:space="0"/>
              <w:right w:val="nil"/>
            </w:tcBorders>
            <w:shd w:val="clear" w:color="auto" w:fill="auto"/>
            <w:noWrap w:val="0"/>
            <w:vAlign w:val="top"/>
          </w:tcPr>
          <w:p w14:paraId="778E909B">
            <w:pPr>
              <w:jc w:val="center"/>
              <w:rPr>
                <w:rFonts w:ascii="Times New Roman" w:hAnsi="Times New Roman"/>
              </w:rPr>
            </w:pPr>
            <w:r>
              <w:rPr>
                <w:rFonts w:hint="eastAsia" w:ascii="Times New Roman" w:hAnsi="Times New Roman"/>
              </w:rPr>
              <w:sym w:font="Symbol" w:char="F063"/>
            </w:r>
            <w:r>
              <w:rPr>
                <w:rFonts w:hint="eastAsia" w:ascii="Times New Roman" w:hAnsi="Times New Roman"/>
                <w:vertAlign w:val="superscript"/>
              </w:rPr>
              <w:t>2</w:t>
            </w:r>
            <w:r>
              <w:rPr>
                <w:rFonts w:hint="eastAsia" w:ascii="Times New Roman" w:hAnsi="Times New Roman"/>
              </w:rPr>
              <w:t>/</w:t>
            </w:r>
            <w:r>
              <w:rPr>
                <w:rFonts w:ascii="Times New Roman" w:hAnsi="Times New Roman"/>
              </w:rPr>
              <w:t>Z/</w:t>
            </w:r>
            <w:r>
              <w:rPr>
                <w:rFonts w:hint="eastAsia" w:ascii="Times New Roman" w:hAnsi="Times New Roman"/>
              </w:rPr>
              <w:t>t</w:t>
            </w:r>
          </w:p>
        </w:tc>
        <w:tc>
          <w:tcPr>
            <w:tcW w:w="1122" w:type="dxa"/>
            <w:tcBorders>
              <w:top w:val="single" w:color="auto" w:sz="4" w:space="0"/>
              <w:left w:val="nil"/>
              <w:bottom w:val="single" w:color="auto" w:sz="4" w:space="0"/>
              <w:right w:val="nil"/>
            </w:tcBorders>
            <w:shd w:val="clear" w:color="auto" w:fill="auto"/>
            <w:noWrap w:val="0"/>
            <w:vAlign w:val="top"/>
          </w:tcPr>
          <w:p w14:paraId="4FF19257">
            <w:pPr>
              <w:jc w:val="center"/>
              <w:rPr>
                <w:rFonts w:ascii="Times New Roman" w:hAnsi="Times New Roman"/>
              </w:rPr>
            </w:pPr>
            <w:r>
              <w:rPr>
                <w:rFonts w:ascii="Times New Roman" w:hAnsi="Times New Roman"/>
              </w:rPr>
              <w:t>P</w:t>
            </w:r>
          </w:p>
        </w:tc>
      </w:tr>
      <w:tr w14:paraId="1DB71A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nil"/>
              <w:bottom w:val="nil"/>
              <w:right w:val="nil"/>
            </w:tcBorders>
            <w:shd w:val="clear" w:color="auto" w:fill="auto"/>
            <w:noWrap w:val="0"/>
            <w:vAlign w:val="top"/>
          </w:tcPr>
          <w:p w14:paraId="68AC0B10">
            <w:pPr>
              <w:jc w:val="center"/>
              <w:rPr>
                <w:rFonts w:ascii="Times New Roman" w:hAnsi="Times New Roman"/>
              </w:rPr>
            </w:pPr>
            <w:r>
              <w:rPr>
                <w:rFonts w:ascii="Times New Roman" w:hAnsi="Times New Roman"/>
              </w:rPr>
              <w:t>Sex (Male/Female)</w:t>
            </w:r>
          </w:p>
        </w:tc>
        <w:tc>
          <w:tcPr>
            <w:tcW w:w="2163" w:type="dxa"/>
            <w:tcBorders>
              <w:top w:val="single" w:color="auto" w:sz="4" w:space="0"/>
              <w:left w:val="nil"/>
              <w:bottom w:val="nil"/>
              <w:right w:val="nil"/>
            </w:tcBorders>
            <w:shd w:val="clear" w:color="auto" w:fill="auto"/>
            <w:noWrap w:val="0"/>
            <w:vAlign w:val="top"/>
          </w:tcPr>
          <w:p w14:paraId="200B1367">
            <w:pPr>
              <w:jc w:val="center"/>
              <w:rPr>
                <w:rFonts w:ascii="Times New Roman" w:hAnsi="Times New Roman"/>
              </w:rPr>
            </w:pPr>
            <w:r>
              <w:rPr>
                <w:rFonts w:ascii="Times New Roman" w:hAnsi="Times New Roman"/>
              </w:rPr>
              <w:t>46/42</w:t>
            </w:r>
          </w:p>
        </w:tc>
        <w:tc>
          <w:tcPr>
            <w:tcW w:w="2164" w:type="dxa"/>
            <w:tcBorders>
              <w:top w:val="single" w:color="auto" w:sz="4" w:space="0"/>
              <w:left w:val="nil"/>
              <w:bottom w:val="nil"/>
              <w:right w:val="nil"/>
            </w:tcBorders>
            <w:shd w:val="clear" w:color="auto" w:fill="auto"/>
            <w:noWrap w:val="0"/>
            <w:vAlign w:val="top"/>
          </w:tcPr>
          <w:p w14:paraId="72819714">
            <w:pPr>
              <w:jc w:val="center"/>
              <w:rPr>
                <w:rFonts w:ascii="Times New Roman" w:hAnsi="Times New Roman"/>
              </w:rPr>
            </w:pPr>
            <w:r>
              <w:rPr>
                <w:rFonts w:hint="eastAsia" w:ascii="Times New Roman" w:hAnsi="Times New Roman"/>
              </w:rPr>
              <w:t>94/81</w:t>
            </w:r>
          </w:p>
        </w:tc>
        <w:tc>
          <w:tcPr>
            <w:tcW w:w="1122" w:type="dxa"/>
            <w:tcBorders>
              <w:top w:val="single" w:color="auto" w:sz="4" w:space="0"/>
              <w:left w:val="nil"/>
              <w:bottom w:val="nil"/>
              <w:right w:val="nil"/>
            </w:tcBorders>
            <w:shd w:val="clear" w:color="auto" w:fill="auto"/>
            <w:noWrap w:val="0"/>
            <w:vAlign w:val="top"/>
          </w:tcPr>
          <w:p w14:paraId="67250827">
            <w:pPr>
              <w:jc w:val="center"/>
              <w:rPr>
                <w:rFonts w:ascii="Times New Roman" w:hAnsi="Times New Roman"/>
              </w:rPr>
            </w:pPr>
            <w:r>
              <w:rPr>
                <w:rFonts w:hint="eastAsia" w:ascii="Times New Roman" w:hAnsi="Times New Roman"/>
              </w:rPr>
              <w:t>0.</w:t>
            </w:r>
            <w:r>
              <w:rPr>
                <w:rFonts w:ascii="Times New Roman" w:hAnsi="Times New Roman"/>
              </w:rPr>
              <w:t>049</w:t>
            </w:r>
          </w:p>
        </w:tc>
        <w:tc>
          <w:tcPr>
            <w:tcW w:w="1122" w:type="dxa"/>
            <w:tcBorders>
              <w:top w:val="single" w:color="auto" w:sz="4" w:space="0"/>
              <w:left w:val="nil"/>
              <w:bottom w:val="nil"/>
              <w:right w:val="nil"/>
            </w:tcBorders>
            <w:shd w:val="clear" w:color="auto" w:fill="auto"/>
            <w:noWrap w:val="0"/>
            <w:vAlign w:val="top"/>
          </w:tcPr>
          <w:p w14:paraId="6DCFD9F9">
            <w:pPr>
              <w:jc w:val="center"/>
              <w:rPr>
                <w:rFonts w:ascii="Times New Roman" w:hAnsi="Times New Roman"/>
              </w:rPr>
            </w:pPr>
            <w:r>
              <w:rPr>
                <w:rFonts w:hint="eastAsia" w:ascii="Times New Roman" w:hAnsi="Times New Roman"/>
              </w:rPr>
              <w:t>0.</w:t>
            </w:r>
            <w:r>
              <w:rPr>
                <w:rFonts w:ascii="Times New Roman" w:hAnsi="Times New Roman"/>
              </w:rPr>
              <w:t>825</w:t>
            </w:r>
          </w:p>
        </w:tc>
      </w:tr>
      <w:tr w14:paraId="15F660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nil"/>
              <w:left w:val="nil"/>
              <w:bottom w:val="nil"/>
              <w:right w:val="nil"/>
            </w:tcBorders>
            <w:shd w:val="clear" w:color="auto" w:fill="auto"/>
            <w:noWrap w:val="0"/>
            <w:vAlign w:val="top"/>
          </w:tcPr>
          <w:p w14:paraId="2F92F013">
            <w:pPr>
              <w:jc w:val="center"/>
              <w:rPr>
                <w:rFonts w:ascii="Times New Roman" w:hAnsi="Times New Roman"/>
              </w:rPr>
            </w:pPr>
            <w:r>
              <w:rPr>
                <w:rFonts w:ascii="Times New Roman" w:hAnsi="Times New Roman"/>
              </w:rPr>
              <w:t>Age (Years)</w:t>
            </w:r>
          </w:p>
        </w:tc>
        <w:tc>
          <w:tcPr>
            <w:tcW w:w="2163" w:type="dxa"/>
            <w:tcBorders>
              <w:top w:val="nil"/>
              <w:left w:val="nil"/>
              <w:bottom w:val="nil"/>
              <w:right w:val="nil"/>
            </w:tcBorders>
            <w:shd w:val="clear" w:color="auto" w:fill="auto"/>
            <w:noWrap w:val="0"/>
            <w:vAlign w:val="top"/>
          </w:tcPr>
          <w:p w14:paraId="15B1BE0E">
            <w:pPr>
              <w:jc w:val="center"/>
              <w:rPr>
                <w:rFonts w:ascii="Times New Roman" w:hAnsi="Times New Roman"/>
              </w:rPr>
            </w:pPr>
            <w:r>
              <w:rPr>
                <w:rFonts w:ascii="Times New Roman" w:hAnsi="Times New Roman"/>
              </w:rPr>
              <w:t>56.44±10.78</w:t>
            </w:r>
          </w:p>
        </w:tc>
        <w:tc>
          <w:tcPr>
            <w:tcW w:w="2164" w:type="dxa"/>
            <w:tcBorders>
              <w:top w:val="nil"/>
              <w:left w:val="nil"/>
              <w:bottom w:val="nil"/>
              <w:right w:val="nil"/>
            </w:tcBorders>
            <w:shd w:val="clear" w:color="auto" w:fill="auto"/>
            <w:noWrap w:val="0"/>
            <w:vAlign w:val="top"/>
          </w:tcPr>
          <w:p w14:paraId="29D6B227">
            <w:pPr>
              <w:jc w:val="center"/>
              <w:rPr>
                <w:rFonts w:hint="eastAsia" w:ascii="Times New Roman" w:hAnsi="Times New Roman"/>
              </w:rPr>
            </w:pPr>
            <w:r>
              <w:rPr>
                <w:rFonts w:ascii="Times New Roman" w:hAnsi="Times New Roman"/>
              </w:rPr>
              <w:t>57.50</w:t>
            </w:r>
            <w:r>
              <w:rPr>
                <w:rFonts w:hint="eastAsia" w:ascii="Times New Roman" w:hAnsi="Times New Roman"/>
              </w:rPr>
              <w:t>(</w:t>
            </w:r>
            <w:r>
              <w:rPr>
                <w:rFonts w:ascii="Times New Roman" w:hAnsi="Times New Roman"/>
              </w:rPr>
              <w:t>51.00,62.50)</w:t>
            </w:r>
          </w:p>
        </w:tc>
        <w:tc>
          <w:tcPr>
            <w:tcW w:w="1122" w:type="dxa"/>
            <w:tcBorders>
              <w:top w:val="nil"/>
              <w:left w:val="nil"/>
              <w:bottom w:val="nil"/>
              <w:right w:val="nil"/>
            </w:tcBorders>
            <w:shd w:val="clear" w:color="auto" w:fill="auto"/>
            <w:noWrap w:val="0"/>
            <w:vAlign w:val="top"/>
          </w:tcPr>
          <w:p w14:paraId="7240C987">
            <w:pPr>
              <w:jc w:val="center"/>
              <w:rPr>
                <w:rFonts w:ascii="Times New Roman" w:hAnsi="Times New Roman"/>
              </w:rPr>
            </w:pPr>
            <w:r>
              <w:rPr>
                <w:rFonts w:hint="eastAsia" w:ascii="Times New Roman" w:hAnsi="Times New Roman"/>
              </w:rPr>
              <w:t>-0.195</w:t>
            </w:r>
          </w:p>
        </w:tc>
        <w:tc>
          <w:tcPr>
            <w:tcW w:w="1122" w:type="dxa"/>
            <w:tcBorders>
              <w:top w:val="nil"/>
              <w:left w:val="nil"/>
              <w:bottom w:val="nil"/>
              <w:right w:val="nil"/>
            </w:tcBorders>
            <w:shd w:val="clear" w:color="auto" w:fill="auto"/>
            <w:noWrap w:val="0"/>
            <w:vAlign w:val="top"/>
          </w:tcPr>
          <w:p w14:paraId="4F32E7A5">
            <w:pPr>
              <w:jc w:val="center"/>
              <w:rPr>
                <w:rFonts w:ascii="Times New Roman" w:hAnsi="Times New Roman"/>
              </w:rPr>
            </w:pPr>
            <w:r>
              <w:rPr>
                <w:rFonts w:hint="eastAsia" w:ascii="Times New Roman" w:hAnsi="Times New Roman"/>
              </w:rPr>
              <w:t>0.845</w:t>
            </w:r>
          </w:p>
        </w:tc>
      </w:tr>
      <w:tr w14:paraId="06F38B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nil"/>
              <w:left w:val="nil"/>
              <w:bottom w:val="nil"/>
              <w:right w:val="nil"/>
            </w:tcBorders>
            <w:shd w:val="clear" w:color="auto" w:fill="auto"/>
            <w:noWrap w:val="0"/>
            <w:vAlign w:val="top"/>
          </w:tcPr>
          <w:p w14:paraId="76966B6B">
            <w:pPr>
              <w:jc w:val="center"/>
              <w:rPr>
                <w:rFonts w:hint="eastAsia" w:ascii="Times New Roman" w:hAnsi="Times New Roman"/>
              </w:rPr>
            </w:pPr>
            <w:r>
              <w:rPr>
                <w:rFonts w:hint="eastAsia" w:ascii="Times New Roman" w:hAnsi="Times New Roman"/>
              </w:rPr>
              <w:t>BMI</w:t>
            </w:r>
          </w:p>
        </w:tc>
        <w:tc>
          <w:tcPr>
            <w:tcW w:w="2163" w:type="dxa"/>
            <w:tcBorders>
              <w:top w:val="nil"/>
              <w:left w:val="nil"/>
              <w:bottom w:val="nil"/>
              <w:right w:val="nil"/>
            </w:tcBorders>
            <w:shd w:val="clear" w:color="auto" w:fill="auto"/>
            <w:noWrap w:val="0"/>
            <w:vAlign w:val="top"/>
          </w:tcPr>
          <w:p w14:paraId="29731240">
            <w:pPr>
              <w:jc w:val="center"/>
              <w:rPr>
                <w:rFonts w:ascii="Times New Roman" w:hAnsi="Times New Roman"/>
              </w:rPr>
            </w:pPr>
            <w:r>
              <w:rPr>
                <w:rFonts w:ascii="Times New Roman" w:hAnsi="Times New Roman"/>
              </w:rPr>
              <w:t>23.89±2.65</w:t>
            </w:r>
          </w:p>
        </w:tc>
        <w:tc>
          <w:tcPr>
            <w:tcW w:w="2164" w:type="dxa"/>
            <w:tcBorders>
              <w:top w:val="nil"/>
              <w:left w:val="nil"/>
              <w:bottom w:val="nil"/>
              <w:right w:val="nil"/>
            </w:tcBorders>
            <w:shd w:val="clear" w:color="auto" w:fill="auto"/>
            <w:noWrap w:val="0"/>
            <w:vAlign w:val="top"/>
          </w:tcPr>
          <w:p w14:paraId="3B8124B6">
            <w:pPr>
              <w:jc w:val="center"/>
              <w:rPr>
                <w:rFonts w:ascii="Times New Roman" w:hAnsi="Times New Roman"/>
              </w:rPr>
            </w:pPr>
            <w:r>
              <w:rPr>
                <w:rFonts w:ascii="Times New Roman" w:hAnsi="Times New Roman"/>
              </w:rPr>
              <w:t>24.07±3.11</w:t>
            </w:r>
          </w:p>
        </w:tc>
        <w:tc>
          <w:tcPr>
            <w:tcW w:w="1122" w:type="dxa"/>
            <w:tcBorders>
              <w:top w:val="nil"/>
              <w:left w:val="nil"/>
              <w:bottom w:val="nil"/>
              <w:right w:val="nil"/>
            </w:tcBorders>
            <w:shd w:val="clear" w:color="auto" w:fill="auto"/>
            <w:noWrap w:val="0"/>
            <w:vAlign w:val="top"/>
          </w:tcPr>
          <w:p w14:paraId="4EA5E107">
            <w:pPr>
              <w:jc w:val="center"/>
              <w:rPr>
                <w:rFonts w:hint="eastAsia" w:ascii="Times New Roman" w:hAnsi="Times New Roman"/>
              </w:rPr>
            </w:pPr>
            <w:r>
              <w:rPr>
                <w:rFonts w:hint="eastAsia" w:ascii="Times New Roman" w:hAnsi="Times New Roman"/>
              </w:rPr>
              <w:t>-0.475</w:t>
            </w:r>
          </w:p>
        </w:tc>
        <w:tc>
          <w:tcPr>
            <w:tcW w:w="1122" w:type="dxa"/>
            <w:tcBorders>
              <w:top w:val="nil"/>
              <w:left w:val="nil"/>
              <w:bottom w:val="nil"/>
              <w:right w:val="nil"/>
            </w:tcBorders>
            <w:shd w:val="clear" w:color="auto" w:fill="auto"/>
            <w:noWrap w:val="0"/>
            <w:vAlign w:val="top"/>
          </w:tcPr>
          <w:p w14:paraId="631B56D0">
            <w:pPr>
              <w:jc w:val="center"/>
              <w:rPr>
                <w:rFonts w:ascii="Times New Roman" w:hAnsi="Times New Roman"/>
                <w:sz w:val="19"/>
                <w:szCs w:val="19"/>
              </w:rPr>
            </w:pPr>
            <w:r>
              <w:rPr>
                <w:rFonts w:hint="eastAsia" w:ascii="Times New Roman" w:hAnsi="Times New Roman"/>
                <w:sz w:val="19"/>
                <w:szCs w:val="19"/>
              </w:rPr>
              <w:t>0.635</w:t>
            </w:r>
          </w:p>
        </w:tc>
      </w:tr>
      <w:tr w14:paraId="3F2F1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nil"/>
              <w:left w:val="nil"/>
              <w:bottom w:val="nil"/>
              <w:right w:val="nil"/>
            </w:tcBorders>
            <w:shd w:val="clear" w:color="auto" w:fill="auto"/>
            <w:noWrap w:val="0"/>
            <w:vAlign w:val="top"/>
          </w:tcPr>
          <w:p w14:paraId="03CE1854">
            <w:pPr>
              <w:jc w:val="center"/>
              <w:rPr>
                <w:rFonts w:ascii="Times New Roman" w:hAnsi="Times New Roman"/>
              </w:rPr>
            </w:pPr>
            <w:r>
              <w:rPr>
                <w:rFonts w:ascii="Times New Roman" w:hAnsi="Times New Roman"/>
              </w:rPr>
              <w:t>CEA</w:t>
            </w:r>
          </w:p>
        </w:tc>
        <w:tc>
          <w:tcPr>
            <w:tcW w:w="2163" w:type="dxa"/>
            <w:tcBorders>
              <w:top w:val="nil"/>
              <w:left w:val="nil"/>
              <w:bottom w:val="nil"/>
              <w:right w:val="nil"/>
            </w:tcBorders>
            <w:shd w:val="clear" w:color="auto" w:fill="auto"/>
            <w:noWrap w:val="0"/>
            <w:vAlign w:val="top"/>
          </w:tcPr>
          <w:p w14:paraId="65D9D7B1">
            <w:pPr>
              <w:jc w:val="center"/>
              <w:rPr>
                <w:rFonts w:ascii="Times New Roman" w:hAnsi="Times New Roman"/>
              </w:rPr>
            </w:pPr>
            <w:r>
              <w:rPr>
                <w:rFonts w:hint="eastAsia" w:ascii="Times New Roman" w:hAnsi="Times New Roman"/>
              </w:rPr>
              <w:t>1.4</w:t>
            </w:r>
            <w:r>
              <w:rPr>
                <w:rFonts w:ascii="Times New Roman" w:hAnsi="Times New Roman"/>
              </w:rPr>
              <w:t>7</w:t>
            </w:r>
            <w:r>
              <w:rPr>
                <w:rFonts w:hint="eastAsia" w:ascii="Times New Roman" w:hAnsi="Times New Roman"/>
              </w:rPr>
              <w:t>(</w:t>
            </w:r>
            <w:r>
              <w:rPr>
                <w:rFonts w:ascii="Times New Roman" w:hAnsi="Times New Roman"/>
              </w:rPr>
              <w:t>1.21,1.99</w:t>
            </w:r>
            <w:r>
              <w:rPr>
                <w:rFonts w:hint="eastAsia" w:ascii="Times New Roman" w:hAnsi="Times New Roman"/>
              </w:rPr>
              <w:t>)</w:t>
            </w:r>
          </w:p>
        </w:tc>
        <w:tc>
          <w:tcPr>
            <w:tcW w:w="2164" w:type="dxa"/>
            <w:tcBorders>
              <w:top w:val="nil"/>
              <w:left w:val="nil"/>
              <w:bottom w:val="nil"/>
              <w:right w:val="nil"/>
            </w:tcBorders>
            <w:shd w:val="clear" w:color="auto" w:fill="auto"/>
            <w:noWrap w:val="0"/>
            <w:vAlign w:val="top"/>
          </w:tcPr>
          <w:p w14:paraId="0040CF91">
            <w:pPr>
              <w:jc w:val="center"/>
              <w:rPr>
                <w:rFonts w:ascii="Times New Roman" w:hAnsi="Times New Roman"/>
              </w:rPr>
            </w:pPr>
            <w:r>
              <w:rPr>
                <w:rFonts w:ascii="Times New Roman" w:hAnsi="Times New Roman"/>
              </w:rPr>
              <w:t>1.83</w:t>
            </w:r>
            <w:r>
              <w:rPr>
                <w:rFonts w:hint="eastAsia" w:ascii="Times New Roman" w:hAnsi="Times New Roman"/>
              </w:rPr>
              <w:t>(</w:t>
            </w:r>
            <w:r>
              <w:rPr>
                <w:rFonts w:ascii="Times New Roman" w:hAnsi="Times New Roman"/>
              </w:rPr>
              <w:t>1.29,2.94</w:t>
            </w:r>
            <w:r>
              <w:rPr>
                <w:rFonts w:hint="eastAsia" w:ascii="Times New Roman" w:hAnsi="Times New Roman"/>
              </w:rPr>
              <w:t>)</w:t>
            </w:r>
          </w:p>
        </w:tc>
        <w:tc>
          <w:tcPr>
            <w:tcW w:w="1122" w:type="dxa"/>
            <w:tcBorders>
              <w:top w:val="nil"/>
              <w:left w:val="nil"/>
              <w:bottom w:val="nil"/>
              <w:right w:val="nil"/>
            </w:tcBorders>
            <w:shd w:val="clear" w:color="auto" w:fill="auto"/>
            <w:noWrap w:val="0"/>
            <w:vAlign w:val="top"/>
          </w:tcPr>
          <w:p w14:paraId="0E9BFD14">
            <w:pPr>
              <w:jc w:val="center"/>
              <w:rPr>
                <w:rFonts w:ascii="Times New Roman" w:hAnsi="Times New Roman"/>
              </w:rPr>
            </w:pPr>
            <w:r>
              <w:rPr>
                <w:rFonts w:hint="eastAsia" w:ascii="Times New Roman" w:hAnsi="Times New Roman"/>
              </w:rPr>
              <w:t>-2.994</w:t>
            </w:r>
          </w:p>
        </w:tc>
        <w:tc>
          <w:tcPr>
            <w:tcW w:w="1122" w:type="dxa"/>
            <w:tcBorders>
              <w:top w:val="nil"/>
              <w:left w:val="nil"/>
              <w:bottom w:val="nil"/>
              <w:right w:val="nil"/>
            </w:tcBorders>
            <w:shd w:val="clear" w:color="auto" w:fill="auto"/>
            <w:noWrap w:val="0"/>
            <w:vAlign w:val="top"/>
          </w:tcPr>
          <w:p w14:paraId="22A432F8">
            <w:pPr>
              <w:jc w:val="center"/>
              <w:rPr>
                <w:rFonts w:ascii="Times New Roman" w:hAnsi="Times New Roman"/>
                <w:color w:val="FF0000"/>
              </w:rPr>
            </w:pPr>
            <w:r>
              <w:rPr>
                <w:rFonts w:hint="eastAsia" w:ascii="Times New Roman" w:hAnsi="Times New Roman"/>
                <w:color w:val="FF0000"/>
              </w:rPr>
              <w:t>0.003</w:t>
            </w:r>
          </w:p>
        </w:tc>
      </w:tr>
      <w:tr w14:paraId="44752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nil"/>
              <w:left w:val="nil"/>
              <w:bottom w:val="nil"/>
              <w:right w:val="nil"/>
            </w:tcBorders>
            <w:shd w:val="clear" w:color="auto" w:fill="auto"/>
            <w:noWrap w:val="0"/>
            <w:vAlign w:val="top"/>
          </w:tcPr>
          <w:p w14:paraId="78029814">
            <w:pPr>
              <w:jc w:val="center"/>
              <w:rPr>
                <w:rFonts w:ascii="Times New Roman" w:hAnsi="Times New Roman"/>
              </w:rPr>
            </w:pPr>
            <w:r>
              <w:rPr>
                <w:rFonts w:ascii="Times New Roman" w:hAnsi="Times New Roman"/>
              </w:rPr>
              <w:t>CA199</w:t>
            </w:r>
          </w:p>
        </w:tc>
        <w:tc>
          <w:tcPr>
            <w:tcW w:w="2163" w:type="dxa"/>
            <w:tcBorders>
              <w:top w:val="nil"/>
              <w:left w:val="nil"/>
              <w:bottom w:val="nil"/>
              <w:right w:val="nil"/>
            </w:tcBorders>
            <w:shd w:val="clear" w:color="auto" w:fill="auto"/>
            <w:noWrap w:val="0"/>
            <w:vAlign w:val="top"/>
          </w:tcPr>
          <w:p w14:paraId="752DC133">
            <w:pPr>
              <w:jc w:val="center"/>
              <w:rPr>
                <w:rFonts w:ascii="Times New Roman" w:hAnsi="Times New Roman"/>
              </w:rPr>
            </w:pPr>
            <w:r>
              <w:rPr>
                <w:rFonts w:ascii="Times New Roman" w:hAnsi="Times New Roman"/>
              </w:rPr>
              <w:t>12.46</w:t>
            </w:r>
            <w:r>
              <w:rPr>
                <w:rFonts w:hint="eastAsia" w:ascii="Times New Roman" w:hAnsi="Times New Roman"/>
              </w:rPr>
              <w:t>(</w:t>
            </w:r>
            <w:r>
              <w:rPr>
                <w:rFonts w:ascii="Times New Roman" w:hAnsi="Times New Roman"/>
              </w:rPr>
              <w:t>8.07,17.51</w:t>
            </w:r>
            <w:r>
              <w:rPr>
                <w:rFonts w:hint="eastAsia" w:ascii="Times New Roman" w:hAnsi="Times New Roman"/>
              </w:rPr>
              <w:t>)</w:t>
            </w:r>
          </w:p>
        </w:tc>
        <w:tc>
          <w:tcPr>
            <w:tcW w:w="2164" w:type="dxa"/>
            <w:tcBorders>
              <w:top w:val="nil"/>
              <w:left w:val="nil"/>
              <w:bottom w:val="nil"/>
              <w:right w:val="nil"/>
            </w:tcBorders>
            <w:shd w:val="clear" w:color="auto" w:fill="auto"/>
            <w:noWrap w:val="0"/>
            <w:vAlign w:val="top"/>
          </w:tcPr>
          <w:p w14:paraId="7B386161">
            <w:pPr>
              <w:jc w:val="center"/>
              <w:rPr>
                <w:rFonts w:ascii="Times New Roman" w:hAnsi="Times New Roman"/>
              </w:rPr>
            </w:pPr>
            <w:r>
              <w:rPr>
                <w:rFonts w:ascii="Times New Roman" w:hAnsi="Times New Roman"/>
              </w:rPr>
              <w:t>10.42</w:t>
            </w:r>
            <w:r>
              <w:rPr>
                <w:rFonts w:hint="eastAsia" w:ascii="Times New Roman" w:hAnsi="Times New Roman"/>
              </w:rPr>
              <w:t>(</w:t>
            </w:r>
            <w:r>
              <w:rPr>
                <w:rFonts w:ascii="Times New Roman" w:hAnsi="Times New Roman"/>
              </w:rPr>
              <w:t>7.14,20.70</w:t>
            </w:r>
            <w:r>
              <w:rPr>
                <w:rFonts w:hint="eastAsia" w:ascii="Times New Roman" w:hAnsi="Times New Roman"/>
              </w:rPr>
              <w:t>)</w:t>
            </w:r>
          </w:p>
        </w:tc>
        <w:tc>
          <w:tcPr>
            <w:tcW w:w="1122" w:type="dxa"/>
            <w:tcBorders>
              <w:top w:val="nil"/>
              <w:left w:val="nil"/>
              <w:bottom w:val="nil"/>
              <w:right w:val="nil"/>
            </w:tcBorders>
            <w:shd w:val="clear" w:color="auto" w:fill="auto"/>
            <w:noWrap w:val="0"/>
            <w:vAlign w:val="top"/>
          </w:tcPr>
          <w:p w14:paraId="558CC429">
            <w:pPr>
              <w:jc w:val="center"/>
              <w:rPr>
                <w:rFonts w:ascii="Times New Roman" w:hAnsi="Times New Roman"/>
              </w:rPr>
            </w:pPr>
            <w:r>
              <w:rPr>
                <w:rFonts w:hint="eastAsia" w:ascii="Times New Roman" w:hAnsi="Times New Roman"/>
              </w:rPr>
              <w:t>-0.170</w:t>
            </w:r>
          </w:p>
        </w:tc>
        <w:tc>
          <w:tcPr>
            <w:tcW w:w="1122" w:type="dxa"/>
            <w:tcBorders>
              <w:top w:val="nil"/>
              <w:left w:val="nil"/>
              <w:bottom w:val="nil"/>
              <w:right w:val="nil"/>
            </w:tcBorders>
            <w:shd w:val="clear" w:color="auto" w:fill="auto"/>
            <w:noWrap w:val="0"/>
            <w:vAlign w:val="top"/>
          </w:tcPr>
          <w:p w14:paraId="57B820FA">
            <w:pPr>
              <w:jc w:val="center"/>
              <w:rPr>
                <w:rFonts w:ascii="Times New Roman" w:hAnsi="Times New Roman"/>
              </w:rPr>
            </w:pPr>
            <w:r>
              <w:rPr>
                <w:rFonts w:hint="eastAsia" w:ascii="Times New Roman" w:hAnsi="Times New Roman"/>
              </w:rPr>
              <w:t>0.865</w:t>
            </w:r>
          </w:p>
        </w:tc>
      </w:tr>
      <w:tr w14:paraId="5DB8E3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nil"/>
              <w:left w:val="nil"/>
              <w:bottom w:val="nil"/>
              <w:right w:val="nil"/>
            </w:tcBorders>
            <w:shd w:val="clear" w:color="auto" w:fill="auto"/>
            <w:noWrap w:val="0"/>
            <w:vAlign w:val="top"/>
          </w:tcPr>
          <w:p w14:paraId="6218FE28">
            <w:pPr>
              <w:jc w:val="center"/>
              <w:rPr>
                <w:rFonts w:ascii="Times New Roman" w:hAnsi="Times New Roman"/>
              </w:rPr>
            </w:pPr>
            <w:r>
              <w:rPr>
                <w:rFonts w:ascii="Times New Roman" w:hAnsi="Times New Roman"/>
              </w:rPr>
              <w:t>NSE</w:t>
            </w:r>
          </w:p>
        </w:tc>
        <w:tc>
          <w:tcPr>
            <w:tcW w:w="2163" w:type="dxa"/>
            <w:tcBorders>
              <w:top w:val="nil"/>
              <w:left w:val="nil"/>
              <w:bottom w:val="nil"/>
              <w:right w:val="nil"/>
            </w:tcBorders>
            <w:shd w:val="clear" w:color="auto" w:fill="auto"/>
            <w:noWrap w:val="0"/>
            <w:vAlign w:val="top"/>
          </w:tcPr>
          <w:p w14:paraId="5E44C069">
            <w:pPr>
              <w:jc w:val="center"/>
              <w:rPr>
                <w:rFonts w:ascii="Times New Roman" w:hAnsi="Times New Roman"/>
              </w:rPr>
            </w:pPr>
            <w:r>
              <w:rPr>
                <w:rFonts w:ascii="Times New Roman" w:hAnsi="Times New Roman"/>
              </w:rPr>
              <w:t>12.63</w:t>
            </w:r>
            <w:r>
              <w:rPr>
                <w:rFonts w:hint="eastAsia" w:ascii="Times New Roman" w:hAnsi="Times New Roman"/>
              </w:rPr>
              <w:t>(</w:t>
            </w:r>
            <w:r>
              <w:rPr>
                <w:rFonts w:ascii="Times New Roman" w:hAnsi="Times New Roman"/>
              </w:rPr>
              <w:t>9.02,14.74</w:t>
            </w:r>
            <w:r>
              <w:rPr>
                <w:rFonts w:hint="eastAsia" w:ascii="Times New Roman" w:hAnsi="Times New Roman"/>
              </w:rPr>
              <w:t>)</w:t>
            </w:r>
          </w:p>
        </w:tc>
        <w:tc>
          <w:tcPr>
            <w:tcW w:w="2164" w:type="dxa"/>
            <w:tcBorders>
              <w:top w:val="nil"/>
              <w:left w:val="nil"/>
              <w:bottom w:val="nil"/>
              <w:right w:val="nil"/>
            </w:tcBorders>
            <w:shd w:val="clear" w:color="auto" w:fill="auto"/>
            <w:noWrap w:val="0"/>
            <w:vAlign w:val="top"/>
          </w:tcPr>
          <w:p w14:paraId="2B2E65F2">
            <w:pPr>
              <w:jc w:val="center"/>
              <w:rPr>
                <w:rFonts w:ascii="Times New Roman" w:hAnsi="Times New Roman"/>
              </w:rPr>
            </w:pPr>
            <w:r>
              <w:rPr>
                <w:rFonts w:ascii="Times New Roman" w:hAnsi="Times New Roman"/>
              </w:rPr>
              <w:t>19.40</w:t>
            </w:r>
            <w:r>
              <w:rPr>
                <w:rFonts w:hint="eastAsia" w:ascii="Times New Roman" w:hAnsi="Times New Roman"/>
              </w:rPr>
              <w:t>(</w:t>
            </w:r>
            <w:r>
              <w:rPr>
                <w:rFonts w:ascii="Times New Roman" w:hAnsi="Times New Roman"/>
              </w:rPr>
              <w:t>15.71,23.77</w:t>
            </w:r>
            <w:r>
              <w:rPr>
                <w:rFonts w:hint="eastAsia" w:ascii="Times New Roman" w:hAnsi="Times New Roman"/>
              </w:rPr>
              <w:t>)</w:t>
            </w:r>
          </w:p>
        </w:tc>
        <w:tc>
          <w:tcPr>
            <w:tcW w:w="1122" w:type="dxa"/>
            <w:tcBorders>
              <w:top w:val="nil"/>
              <w:left w:val="nil"/>
              <w:bottom w:val="nil"/>
              <w:right w:val="nil"/>
            </w:tcBorders>
            <w:shd w:val="clear" w:color="auto" w:fill="auto"/>
            <w:noWrap w:val="0"/>
            <w:vAlign w:val="top"/>
          </w:tcPr>
          <w:p w14:paraId="5730D504">
            <w:pPr>
              <w:jc w:val="center"/>
              <w:rPr>
                <w:rFonts w:ascii="Times New Roman" w:hAnsi="Times New Roman"/>
              </w:rPr>
            </w:pPr>
            <w:r>
              <w:rPr>
                <w:rFonts w:hint="eastAsia" w:ascii="Times New Roman" w:hAnsi="Times New Roman"/>
              </w:rPr>
              <w:t>-10.556</w:t>
            </w:r>
          </w:p>
        </w:tc>
        <w:tc>
          <w:tcPr>
            <w:tcW w:w="1122" w:type="dxa"/>
            <w:tcBorders>
              <w:top w:val="nil"/>
              <w:left w:val="nil"/>
              <w:bottom w:val="nil"/>
              <w:right w:val="nil"/>
            </w:tcBorders>
            <w:shd w:val="clear" w:color="auto" w:fill="auto"/>
            <w:noWrap w:val="0"/>
            <w:vAlign w:val="top"/>
          </w:tcPr>
          <w:p w14:paraId="31ACB717">
            <w:pPr>
              <w:jc w:val="center"/>
              <w:rPr>
                <w:rFonts w:ascii="Times New Roman" w:hAnsi="Times New Roman"/>
                <w:color w:val="FF0000"/>
              </w:rPr>
            </w:pPr>
            <w:r>
              <w:rPr>
                <w:rFonts w:ascii="Times New Roman" w:hAnsi="Times New Roman"/>
                <w:color w:val="FF0000"/>
              </w:rPr>
              <w:t>&lt;0.001</w:t>
            </w:r>
          </w:p>
        </w:tc>
      </w:tr>
      <w:tr w14:paraId="4DE358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nil"/>
              <w:left w:val="nil"/>
              <w:bottom w:val="nil"/>
              <w:right w:val="nil"/>
            </w:tcBorders>
            <w:shd w:val="clear" w:color="auto" w:fill="auto"/>
            <w:noWrap w:val="0"/>
            <w:vAlign w:val="top"/>
          </w:tcPr>
          <w:p w14:paraId="4655863B">
            <w:pPr>
              <w:jc w:val="center"/>
              <w:rPr>
                <w:rFonts w:ascii="Times New Roman" w:hAnsi="Times New Roman"/>
              </w:rPr>
            </w:pPr>
            <w:r>
              <w:rPr>
                <w:rFonts w:hint="eastAsia" w:ascii="Times New Roman" w:hAnsi="Times New Roman"/>
              </w:rPr>
              <w:t>TC</w:t>
            </w:r>
          </w:p>
        </w:tc>
        <w:tc>
          <w:tcPr>
            <w:tcW w:w="2163" w:type="dxa"/>
            <w:tcBorders>
              <w:top w:val="nil"/>
              <w:left w:val="nil"/>
              <w:bottom w:val="nil"/>
              <w:right w:val="nil"/>
            </w:tcBorders>
            <w:shd w:val="clear" w:color="auto" w:fill="auto"/>
            <w:noWrap w:val="0"/>
            <w:vAlign w:val="top"/>
          </w:tcPr>
          <w:p w14:paraId="03A0A4E6">
            <w:pPr>
              <w:jc w:val="center"/>
              <w:rPr>
                <w:rFonts w:ascii="Times New Roman" w:hAnsi="Times New Roman"/>
              </w:rPr>
            </w:pPr>
            <w:r>
              <w:rPr>
                <w:rFonts w:ascii="Times New Roman" w:hAnsi="Times New Roman"/>
              </w:rPr>
              <w:t>4.32</w:t>
            </w:r>
            <w:r>
              <w:rPr>
                <w:rFonts w:hint="eastAsia" w:ascii="Times New Roman" w:hAnsi="Times New Roman"/>
              </w:rPr>
              <w:t xml:space="preserve"> (</w:t>
            </w:r>
            <w:r>
              <w:rPr>
                <w:rFonts w:ascii="Times New Roman" w:hAnsi="Times New Roman"/>
              </w:rPr>
              <w:t>3.48,5.02</w:t>
            </w:r>
            <w:r>
              <w:rPr>
                <w:rFonts w:hint="eastAsia" w:ascii="Times New Roman" w:hAnsi="Times New Roman"/>
              </w:rPr>
              <w:t>)</w:t>
            </w:r>
          </w:p>
        </w:tc>
        <w:tc>
          <w:tcPr>
            <w:tcW w:w="2164" w:type="dxa"/>
            <w:tcBorders>
              <w:top w:val="nil"/>
              <w:left w:val="nil"/>
              <w:bottom w:val="nil"/>
              <w:right w:val="nil"/>
            </w:tcBorders>
            <w:shd w:val="clear" w:color="auto" w:fill="auto"/>
            <w:noWrap w:val="0"/>
            <w:vAlign w:val="top"/>
          </w:tcPr>
          <w:p w14:paraId="412214F9">
            <w:pPr>
              <w:jc w:val="center"/>
              <w:rPr>
                <w:rFonts w:ascii="Times New Roman" w:hAnsi="Times New Roman"/>
              </w:rPr>
            </w:pPr>
            <w:r>
              <w:rPr>
                <w:rFonts w:ascii="Times New Roman" w:hAnsi="Times New Roman"/>
              </w:rPr>
              <w:t>4.27</w:t>
            </w:r>
            <w:r>
              <w:rPr>
                <w:rFonts w:hint="eastAsia" w:ascii="Times New Roman" w:hAnsi="Times New Roman"/>
              </w:rPr>
              <w:t>(</w:t>
            </w:r>
            <w:r>
              <w:rPr>
                <w:rFonts w:ascii="Times New Roman" w:hAnsi="Times New Roman"/>
              </w:rPr>
              <w:t>3.67,4.93</w:t>
            </w:r>
            <w:r>
              <w:rPr>
                <w:rFonts w:hint="eastAsia" w:ascii="Times New Roman" w:hAnsi="Times New Roman"/>
              </w:rPr>
              <w:t>)</w:t>
            </w:r>
          </w:p>
        </w:tc>
        <w:tc>
          <w:tcPr>
            <w:tcW w:w="1122" w:type="dxa"/>
            <w:tcBorders>
              <w:top w:val="nil"/>
              <w:left w:val="nil"/>
              <w:bottom w:val="nil"/>
              <w:right w:val="nil"/>
            </w:tcBorders>
            <w:shd w:val="clear" w:color="auto" w:fill="auto"/>
            <w:noWrap w:val="0"/>
            <w:vAlign w:val="top"/>
          </w:tcPr>
          <w:p w14:paraId="795F2F0F">
            <w:pPr>
              <w:jc w:val="center"/>
              <w:rPr>
                <w:rFonts w:ascii="Times New Roman" w:hAnsi="Times New Roman"/>
              </w:rPr>
            </w:pPr>
            <w:r>
              <w:rPr>
                <w:rFonts w:hint="eastAsia" w:ascii="Times New Roman" w:hAnsi="Times New Roman"/>
              </w:rPr>
              <w:t>-</w:t>
            </w:r>
            <w:r>
              <w:rPr>
                <w:rFonts w:ascii="Times New Roman" w:hAnsi="Times New Roman"/>
              </w:rPr>
              <w:t>0.350</w:t>
            </w:r>
          </w:p>
        </w:tc>
        <w:tc>
          <w:tcPr>
            <w:tcW w:w="1122" w:type="dxa"/>
            <w:tcBorders>
              <w:top w:val="nil"/>
              <w:left w:val="nil"/>
              <w:bottom w:val="nil"/>
              <w:right w:val="nil"/>
            </w:tcBorders>
            <w:shd w:val="clear" w:color="auto" w:fill="auto"/>
            <w:noWrap w:val="0"/>
            <w:vAlign w:val="top"/>
          </w:tcPr>
          <w:p w14:paraId="78D6BEE0">
            <w:pPr>
              <w:jc w:val="center"/>
              <w:rPr>
                <w:rFonts w:ascii="Times New Roman" w:hAnsi="Times New Roman"/>
              </w:rPr>
            </w:pPr>
            <w:r>
              <w:rPr>
                <w:rFonts w:hint="eastAsia" w:ascii="Times New Roman" w:hAnsi="Times New Roman"/>
              </w:rPr>
              <w:t>0.727</w:t>
            </w:r>
          </w:p>
        </w:tc>
      </w:tr>
      <w:tr w14:paraId="20C0B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nil"/>
              <w:left w:val="nil"/>
              <w:bottom w:val="nil"/>
              <w:right w:val="nil"/>
            </w:tcBorders>
            <w:shd w:val="clear" w:color="auto" w:fill="auto"/>
            <w:noWrap w:val="0"/>
            <w:vAlign w:val="top"/>
          </w:tcPr>
          <w:p w14:paraId="3754BD34">
            <w:pPr>
              <w:jc w:val="center"/>
              <w:rPr>
                <w:rFonts w:ascii="Times New Roman" w:hAnsi="Times New Roman"/>
              </w:rPr>
            </w:pPr>
            <w:r>
              <w:rPr>
                <w:rFonts w:hint="eastAsia" w:ascii="Times New Roman" w:hAnsi="Times New Roman"/>
              </w:rPr>
              <w:t>HDL</w:t>
            </w:r>
            <w:r>
              <w:rPr>
                <w:rFonts w:ascii="Times New Roman" w:hAnsi="Times New Roman"/>
              </w:rPr>
              <w:t>-c</w:t>
            </w:r>
          </w:p>
        </w:tc>
        <w:tc>
          <w:tcPr>
            <w:tcW w:w="2163" w:type="dxa"/>
            <w:tcBorders>
              <w:top w:val="nil"/>
              <w:left w:val="nil"/>
              <w:bottom w:val="nil"/>
              <w:right w:val="nil"/>
            </w:tcBorders>
            <w:shd w:val="clear" w:color="auto" w:fill="auto"/>
            <w:noWrap w:val="0"/>
            <w:vAlign w:val="top"/>
          </w:tcPr>
          <w:p w14:paraId="233D5C09">
            <w:pPr>
              <w:jc w:val="center"/>
              <w:rPr>
                <w:rFonts w:ascii="Times New Roman" w:hAnsi="Times New Roman"/>
              </w:rPr>
            </w:pPr>
            <w:r>
              <w:rPr>
                <w:rFonts w:ascii="Times New Roman" w:hAnsi="Times New Roman"/>
              </w:rPr>
              <w:t>1.29</w:t>
            </w:r>
            <w:r>
              <w:rPr>
                <w:rFonts w:hint="eastAsia" w:ascii="Times New Roman" w:hAnsi="Times New Roman"/>
              </w:rPr>
              <w:t>(</w:t>
            </w:r>
            <w:r>
              <w:rPr>
                <w:rFonts w:ascii="Times New Roman" w:hAnsi="Times New Roman"/>
              </w:rPr>
              <w:t>1.05,1.63</w:t>
            </w:r>
            <w:r>
              <w:rPr>
                <w:rFonts w:hint="eastAsia" w:ascii="Times New Roman" w:hAnsi="Times New Roman"/>
              </w:rPr>
              <w:t>)</w:t>
            </w:r>
          </w:p>
        </w:tc>
        <w:tc>
          <w:tcPr>
            <w:tcW w:w="2164" w:type="dxa"/>
            <w:tcBorders>
              <w:top w:val="nil"/>
              <w:left w:val="nil"/>
              <w:bottom w:val="nil"/>
              <w:right w:val="nil"/>
            </w:tcBorders>
            <w:shd w:val="clear" w:color="auto" w:fill="auto"/>
            <w:noWrap w:val="0"/>
            <w:vAlign w:val="top"/>
          </w:tcPr>
          <w:p w14:paraId="3B1D02C7">
            <w:pPr>
              <w:jc w:val="center"/>
              <w:rPr>
                <w:rFonts w:ascii="Times New Roman" w:hAnsi="Times New Roman"/>
              </w:rPr>
            </w:pPr>
            <w:r>
              <w:rPr>
                <w:rFonts w:ascii="Times New Roman" w:hAnsi="Times New Roman"/>
              </w:rPr>
              <w:t>1.08</w:t>
            </w:r>
            <w:r>
              <w:rPr>
                <w:rFonts w:hint="eastAsia" w:ascii="Times New Roman" w:hAnsi="Times New Roman"/>
              </w:rPr>
              <w:t>(</w:t>
            </w:r>
            <w:r>
              <w:rPr>
                <w:rFonts w:ascii="Times New Roman" w:hAnsi="Times New Roman"/>
              </w:rPr>
              <w:t>0.91,1.23</w:t>
            </w:r>
            <w:r>
              <w:rPr>
                <w:rFonts w:hint="eastAsia" w:ascii="Times New Roman" w:hAnsi="Times New Roman"/>
              </w:rPr>
              <w:t>)</w:t>
            </w:r>
          </w:p>
        </w:tc>
        <w:tc>
          <w:tcPr>
            <w:tcW w:w="1122" w:type="dxa"/>
            <w:tcBorders>
              <w:top w:val="nil"/>
              <w:left w:val="nil"/>
              <w:bottom w:val="nil"/>
              <w:right w:val="nil"/>
            </w:tcBorders>
            <w:shd w:val="clear" w:color="auto" w:fill="auto"/>
            <w:noWrap w:val="0"/>
            <w:vAlign w:val="top"/>
          </w:tcPr>
          <w:p w14:paraId="28D25CD0">
            <w:pPr>
              <w:jc w:val="center"/>
              <w:rPr>
                <w:rFonts w:hint="eastAsia" w:ascii="Times New Roman" w:hAnsi="Times New Roman"/>
              </w:rPr>
            </w:pPr>
            <w:r>
              <w:rPr>
                <w:rFonts w:hint="eastAsia" w:ascii="Times New Roman" w:hAnsi="Times New Roman"/>
              </w:rPr>
              <w:t>-4.387</w:t>
            </w:r>
          </w:p>
        </w:tc>
        <w:tc>
          <w:tcPr>
            <w:tcW w:w="1122" w:type="dxa"/>
            <w:tcBorders>
              <w:top w:val="nil"/>
              <w:left w:val="nil"/>
              <w:bottom w:val="nil"/>
              <w:right w:val="nil"/>
            </w:tcBorders>
            <w:shd w:val="clear" w:color="auto" w:fill="auto"/>
            <w:noWrap w:val="0"/>
            <w:vAlign w:val="top"/>
          </w:tcPr>
          <w:p w14:paraId="6114FE69">
            <w:pPr>
              <w:jc w:val="center"/>
              <w:rPr>
                <w:rFonts w:ascii="Times New Roman" w:hAnsi="Times New Roman"/>
              </w:rPr>
            </w:pPr>
            <w:r>
              <w:rPr>
                <w:rFonts w:ascii="Times New Roman" w:hAnsi="Times New Roman"/>
                <w:color w:val="FF0000"/>
              </w:rPr>
              <w:t>&lt;0.001</w:t>
            </w:r>
          </w:p>
        </w:tc>
      </w:tr>
      <w:tr w14:paraId="16A6D0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nil"/>
              <w:left w:val="nil"/>
              <w:bottom w:val="nil"/>
              <w:right w:val="nil"/>
            </w:tcBorders>
            <w:shd w:val="clear" w:color="auto" w:fill="auto"/>
            <w:noWrap w:val="0"/>
            <w:vAlign w:val="top"/>
          </w:tcPr>
          <w:p w14:paraId="215A8A45">
            <w:pPr>
              <w:jc w:val="center"/>
              <w:rPr>
                <w:rFonts w:hint="eastAsia" w:ascii="Times New Roman" w:hAnsi="Times New Roman"/>
              </w:rPr>
            </w:pPr>
            <w:r>
              <w:rPr>
                <w:rFonts w:hint="eastAsia" w:ascii="Times New Roman" w:hAnsi="Times New Roman"/>
              </w:rPr>
              <w:t>LDL</w:t>
            </w:r>
            <w:r>
              <w:rPr>
                <w:rFonts w:ascii="Times New Roman" w:hAnsi="Times New Roman"/>
              </w:rPr>
              <w:t>-c</w:t>
            </w:r>
          </w:p>
        </w:tc>
        <w:tc>
          <w:tcPr>
            <w:tcW w:w="2163" w:type="dxa"/>
            <w:tcBorders>
              <w:top w:val="nil"/>
              <w:left w:val="nil"/>
              <w:bottom w:val="nil"/>
              <w:right w:val="nil"/>
            </w:tcBorders>
            <w:shd w:val="clear" w:color="auto" w:fill="auto"/>
            <w:noWrap w:val="0"/>
            <w:vAlign w:val="top"/>
          </w:tcPr>
          <w:p w14:paraId="1330F0AD">
            <w:pPr>
              <w:jc w:val="center"/>
              <w:rPr>
                <w:rFonts w:ascii="Times New Roman" w:hAnsi="Times New Roman"/>
              </w:rPr>
            </w:pPr>
            <w:r>
              <w:rPr>
                <w:rFonts w:ascii="Times New Roman" w:hAnsi="Times New Roman"/>
              </w:rPr>
              <w:t>1.87</w:t>
            </w:r>
            <w:r>
              <w:rPr>
                <w:rFonts w:hint="eastAsia" w:ascii="Times New Roman" w:hAnsi="Times New Roman"/>
              </w:rPr>
              <w:t>(</w:t>
            </w:r>
            <w:r>
              <w:rPr>
                <w:rFonts w:ascii="Times New Roman" w:hAnsi="Times New Roman"/>
              </w:rPr>
              <w:t>1.29,3.10</w:t>
            </w:r>
            <w:r>
              <w:rPr>
                <w:rFonts w:hint="eastAsia" w:ascii="Times New Roman" w:hAnsi="Times New Roman"/>
              </w:rPr>
              <w:t>)</w:t>
            </w:r>
          </w:p>
        </w:tc>
        <w:tc>
          <w:tcPr>
            <w:tcW w:w="2164" w:type="dxa"/>
            <w:tcBorders>
              <w:top w:val="nil"/>
              <w:left w:val="nil"/>
              <w:bottom w:val="nil"/>
              <w:right w:val="nil"/>
            </w:tcBorders>
            <w:shd w:val="clear" w:color="auto" w:fill="auto"/>
            <w:noWrap w:val="0"/>
            <w:vAlign w:val="top"/>
          </w:tcPr>
          <w:p w14:paraId="00C243E3">
            <w:pPr>
              <w:jc w:val="center"/>
              <w:rPr>
                <w:rFonts w:ascii="Times New Roman" w:hAnsi="Times New Roman"/>
              </w:rPr>
            </w:pPr>
            <w:r>
              <w:rPr>
                <w:rFonts w:ascii="Times New Roman" w:hAnsi="Times New Roman"/>
              </w:rPr>
              <w:t>2.53</w:t>
            </w:r>
            <w:r>
              <w:rPr>
                <w:rFonts w:hint="eastAsia" w:ascii="Times New Roman" w:hAnsi="Times New Roman"/>
              </w:rPr>
              <w:t>(</w:t>
            </w:r>
            <w:r>
              <w:rPr>
                <w:rFonts w:ascii="Times New Roman" w:hAnsi="Times New Roman"/>
              </w:rPr>
              <w:t>2.17,3.05</w:t>
            </w:r>
            <w:r>
              <w:rPr>
                <w:rFonts w:hint="eastAsia" w:ascii="Times New Roman" w:hAnsi="Times New Roman"/>
              </w:rPr>
              <w:t>)</w:t>
            </w:r>
          </w:p>
        </w:tc>
        <w:tc>
          <w:tcPr>
            <w:tcW w:w="1122" w:type="dxa"/>
            <w:tcBorders>
              <w:top w:val="nil"/>
              <w:left w:val="nil"/>
              <w:bottom w:val="nil"/>
              <w:right w:val="nil"/>
            </w:tcBorders>
            <w:shd w:val="clear" w:color="auto" w:fill="auto"/>
            <w:noWrap w:val="0"/>
            <w:vAlign w:val="top"/>
          </w:tcPr>
          <w:p w14:paraId="1601B165">
            <w:pPr>
              <w:jc w:val="center"/>
              <w:rPr>
                <w:rFonts w:ascii="Times New Roman" w:hAnsi="Times New Roman"/>
              </w:rPr>
            </w:pPr>
            <w:r>
              <w:rPr>
                <w:rFonts w:hint="eastAsia" w:ascii="Times New Roman" w:hAnsi="Times New Roman"/>
              </w:rPr>
              <w:t>-3.434</w:t>
            </w:r>
          </w:p>
        </w:tc>
        <w:tc>
          <w:tcPr>
            <w:tcW w:w="1122" w:type="dxa"/>
            <w:tcBorders>
              <w:top w:val="nil"/>
              <w:left w:val="nil"/>
              <w:bottom w:val="nil"/>
              <w:right w:val="nil"/>
            </w:tcBorders>
            <w:shd w:val="clear" w:color="auto" w:fill="auto"/>
            <w:noWrap w:val="0"/>
            <w:vAlign w:val="top"/>
          </w:tcPr>
          <w:p w14:paraId="10135241">
            <w:pPr>
              <w:jc w:val="center"/>
              <w:rPr>
                <w:rFonts w:ascii="Times New Roman" w:hAnsi="Times New Roman"/>
                <w:color w:val="FF0000"/>
              </w:rPr>
            </w:pPr>
            <w:r>
              <w:rPr>
                <w:rFonts w:hint="eastAsia" w:ascii="Times New Roman" w:hAnsi="Times New Roman"/>
                <w:color w:val="FF0000"/>
              </w:rPr>
              <w:t>0.001</w:t>
            </w:r>
          </w:p>
        </w:tc>
      </w:tr>
      <w:tr w14:paraId="133CDC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nil"/>
              <w:left w:val="nil"/>
              <w:bottom w:val="single" w:color="auto" w:sz="4" w:space="0"/>
              <w:right w:val="nil"/>
            </w:tcBorders>
            <w:shd w:val="clear" w:color="auto" w:fill="auto"/>
            <w:noWrap w:val="0"/>
            <w:vAlign w:val="top"/>
          </w:tcPr>
          <w:p w14:paraId="0B3F9902">
            <w:pPr>
              <w:jc w:val="center"/>
              <w:rPr>
                <w:rFonts w:hint="eastAsia" w:ascii="Times New Roman" w:hAnsi="Times New Roman"/>
              </w:rPr>
            </w:pPr>
            <w:r>
              <w:rPr>
                <w:rFonts w:ascii="Times New Roman" w:hAnsi="Times New Roman"/>
              </w:rPr>
              <w:t>Triglyceride</w:t>
            </w:r>
          </w:p>
        </w:tc>
        <w:tc>
          <w:tcPr>
            <w:tcW w:w="2163" w:type="dxa"/>
            <w:tcBorders>
              <w:top w:val="nil"/>
              <w:left w:val="nil"/>
              <w:bottom w:val="single" w:color="auto" w:sz="4" w:space="0"/>
              <w:right w:val="nil"/>
            </w:tcBorders>
            <w:shd w:val="clear" w:color="auto" w:fill="auto"/>
            <w:noWrap w:val="0"/>
            <w:vAlign w:val="top"/>
          </w:tcPr>
          <w:p w14:paraId="12C64D93">
            <w:pPr>
              <w:jc w:val="center"/>
              <w:rPr>
                <w:rFonts w:ascii="Times New Roman" w:hAnsi="Times New Roman"/>
              </w:rPr>
            </w:pPr>
            <w:r>
              <w:rPr>
                <w:rFonts w:ascii="Times New Roman" w:hAnsi="Times New Roman"/>
              </w:rPr>
              <w:t>1.48</w:t>
            </w:r>
            <w:r>
              <w:rPr>
                <w:rFonts w:hint="eastAsia" w:ascii="Times New Roman" w:hAnsi="Times New Roman"/>
              </w:rPr>
              <w:t>(</w:t>
            </w:r>
            <w:r>
              <w:rPr>
                <w:rFonts w:ascii="Times New Roman" w:hAnsi="Times New Roman"/>
              </w:rPr>
              <w:t>1.10,1.89</w:t>
            </w:r>
            <w:r>
              <w:rPr>
                <w:rFonts w:hint="eastAsia" w:ascii="Times New Roman" w:hAnsi="Times New Roman"/>
              </w:rPr>
              <w:t>)</w:t>
            </w:r>
          </w:p>
        </w:tc>
        <w:tc>
          <w:tcPr>
            <w:tcW w:w="2164" w:type="dxa"/>
            <w:tcBorders>
              <w:top w:val="nil"/>
              <w:left w:val="nil"/>
              <w:bottom w:val="single" w:color="auto" w:sz="4" w:space="0"/>
              <w:right w:val="nil"/>
            </w:tcBorders>
            <w:shd w:val="clear" w:color="auto" w:fill="auto"/>
            <w:noWrap w:val="0"/>
            <w:vAlign w:val="top"/>
          </w:tcPr>
          <w:p w14:paraId="0839C071">
            <w:pPr>
              <w:jc w:val="center"/>
              <w:rPr>
                <w:rFonts w:ascii="Times New Roman" w:hAnsi="Times New Roman"/>
              </w:rPr>
            </w:pPr>
            <w:r>
              <w:rPr>
                <w:rFonts w:ascii="Times New Roman" w:hAnsi="Times New Roman"/>
              </w:rPr>
              <w:t>1.54</w:t>
            </w:r>
            <w:r>
              <w:rPr>
                <w:rFonts w:hint="eastAsia" w:ascii="Times New Roman" w:hAnsi="Times New Roman"/>
              </w:rPr>
              <w:t>(</w:t>
            </w:r>
            <w:r>
              <w:rPr>
                <w:rFonts w:ascii="Times New Roman" w:hAnsi="Times New Roman"/>
              </w:rPr>
              <w:t>0.99,6.27</w:t>
            </w:r>
            <w:r>
              <w:rPr>
                <w:rFonts w:hint="eastAsia" w:ascii="Times New Roman" w:hAnsi="Times New Roman"/>
              </w:rPr>
              <w:t>)</w:t>
            </w:r>
          </w:p>
        </w:tc>
        <w:tc>
          <w:tcPr>
            <w:tcW w:w="1122" w:type="dxa"/>
            <w:tcBorders>
              <w:top w:val="nil"/>
              <w:left w:val="nil"/>
              <w:bottom w:val="single" w:color="auto" w:sz="4" w:space="0"/>
              <w:right w:val="nil"/>
            </w:tcBorders>
            <w:shd w:val="clear" w:color="auto" w:fill="auto"/>
            <w:noWrap w:val="0"/>
            <w:vAlign w:val="top"/>
          </w:tcPr>
          <w:p w14:paraId="3F6BE9C0">
            <w:pPr>
              <w:jc w:val="center"/>
              <w:rPr>
                <w:rFonts w:ascii="Times New Roman" w:hAnsi="Times New Roman"/>
              </w:rPr>
            </w:pPr>
            <w:r>
              <w:rPr>
                <w:rFonts w:hint="eastAsia" w:ascii="Times New Roman" w:hAnsi="Times New Roman"/>
              </w:rPr>
              <w:t>-1.825</w:t>
            </w:r>
          </w:p>
        </w:tc>
        <w:tc>
          <w:tcPr>
            <w:tcW w:w="1122" w:type="dxa"/>
            <w:tcBorders>
              <w:top w:val="nil"/>
              <w:left w:val="nil"/>
              <w:bottom w:val="single" w:color="auto" w:sz="4" w:space="0"/>
              <w:right w:val="nil"/>
            </w:tcBorders>
            <w:shd w:val="clear" w:color="auto" w:fill="auto"/>
            <w:noWrap w:val="0"/>
            <w:vAlign w:val="top"/>
          </w:tcPr>
          <w:p w14:paraId="4323900C">
            <w:pPr>
              <w:jc w:val="center"/>
              <w:rPr>
                <w:rFonts w:ascii="Times New Roman" w:hAnsi="Times New Roman"/>
              </w:rPr>
            </w:pPr>
            <w:r>
              <w:rPr>
                <w:rFonts w:hint="eastAsia" w:ascii="Times New Roman" w:hAnsi="Times New Roman"/>
              </w:rPr>
              <w:t>0.068</w:t>
            </w:r>
          </w:p>
        </w:tc>
      </w:tr>
    </w:tbl>
    <w:p w14:paraId="0864E73A">
      <w:pPr>
        <w:jc w:val="center"/>
        <w:rPr>
          <w:rFonts w:ascii="Times New Roman" w:hAnsi="Times New Roman"/>
          <w:b/>
          <w:bCs/>
        </w:rPr>
      </w:pPr>
    </w:p>
    <w:p w14:paraId="075E2FBF">
      <w:pPr>
        <w:jc w:val="center"/>
        <w:rPr>
          <w:rFonts w:ascii="Times New Roman" w:hAnsi="Times New Roman"/>
          <w:b/>
          <w:bCs/>
        </w:rPr>
      </w:pPr>
    </w:p>
    <w:p w14:paraId="52F68F4B">
      <w:pPr>
        <w:jc w:val="center"/>
        <w:rPr>
          <w:rFonts w:hint="eastAsia" w:ascii="Times New Roman" w:hAnsi="Times New Roman"/>
          <w:b/>
          <w:bCs/>
        </w:rPr>
      </w:pPr>
    </w:p>
    <w:p w14:paraId="2ADB3D5C">
      <w:pPr>
        <w:jc w:val="center"/>
        <w:rPr>
          <w:rFonts w:hint="eastAsia" w:ascii="Times New Roman" w:hAnsi="Times New Roman"/>
          <w:b/>
          <w:bCs/>
          <w:sz w:val="24"/>
          <w:szCs w:val="24"/>
        </w:rPr>
      </w:pPr>
      <w:r>
        <w:rPr>
          <w:rFonts w:ascii="Times New Roman" w:hAnsi="Times New Roman"/>
          <w:b/>
          <w:bCs/>
        </w:rPr>
        <w:t>Table 2. Characteristics of pNETs patients with different pathological grades</w:t>
      </w:r>
    </w:p>
    <w:tbl>
      <w:tblPr>
        <w:tblStyle w:val="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7"/>
        <w:gridCol w:w="1740"/>
        <w:gridCol w:w="1740"/>
        <w:gridCol w:w="1740"/>
        <w:gridCol w:w="797"/>
        <w:gridCol w:w="798"/>
      </w:tblGrid>
      <w:tr w14:paraId="76A0FD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707" w:type="dxa"/>
            <w:tcBorders>
              <w:top w:val="single" w:color="auto" w:sz="4" w:space="0"/>
              <w:left w:val="nil"/>
              <w:bottom w:val="single" w:color="auto" w:sz="4" w:space="0"/>
              <w:right w:val="nil"/>
            </w:tcBorders>
            <w:shd w:val="clear" w:color="auto" w:fill="auto"/>
            <w:noWrap w:val="0"/>
            <w:vAlign w:val="top"/>
          </w:tcPr>
          <w:p w14:paraId="45878528">
            <w:pPr>
              <w:jc w:val="center"/>
              <w:rPr>
                <w:rFonts w:ascii="Times New Roman" w:hAnsi="Times New Roman"/>
                <w:sz w:val="19"/>
                <w:szCs w:val="19"/>
              </w:rPr>
            </w:pPr>
          </w:p>
        </w:tc>
        <w:tc>
          <w:tcPr>
            <w:tcW w:w="1740" w:type="dxa"/>
            <w:tcBorders>
              <w:top w:val="single" w:color="auto" w:sz="4" w:space="0"/>
              <w:left w:val="nil"/>
              <w:bottom w:val="single" w:color="auto" w:sz="4" w:space="0"/>
              <w:right w:val="nil"/>
            </w:tcBorders>
            <w:shd w:val="clear" w:color="auto" w:fill="auto"/>
            <w:noWrap w:val="0"/>
            <w:vAlign w:val="top"/>
          </w:tcPr>
          <w:p w14:paraId="5C0EDEF3">
            <w:pPr>
              <w:jc w:val="center"/>
              <w:rPr>
                <w:rFonts w:ascii="Times New Roman" w:hAnsi="Times New Roman"/>
                <w:sz w:val="19"/>
                <w:szCs w:val="19"/>
              </w:rPr>
            </w:pPr>
            <w:r>
              <w:rPr>
                <w:rFonts w:ascii="Times New Roman" w:hAnsi="Times New Roman"/>
                <w:sz w:val="19"/>
                <w:szCs w:val="19"/>
              </w:rPr>
              <w:t>G1</w:t>
            </w:r>
          </w:p>
        </w:tc>
        <w:tc>
          <w:tcPr>
            <w:tcW w:w="1740" w:type="dxa"/>
            <w:tcBorders>
              <w:top w:val="single" w:color="auto" w:sz="4" w:space="0"/>
              <w:left w:val="nil"/>
              <w:bottom w:val="single" w:color="auto" w:sz="4" w:space="0"/>
              <w:right w:val="nil"/>
            </w:tcBorders>
            <w:shd w:val="clear" w:color="auto" w:fill="auto"/>
            <w:noWrap w:val="0"/>
            <w:vAlign w:val="top"/>
          </w:tcPr>
          <w:p w14:paraId="153213CD">
            <w:pPr>
              <w:jc w:val="center"/>
              <w:rPr>
                <w:rFonts w:ascii="Times New Roman" w:hAnsi="Times New Roman"/>
                <w:sz w:val="19"/>
                <w:szCs w:val="19"/>
              </w:rPr>
            </w:pPr>
            <w:r>
              <w:rPr>
                <w:rFonts w:ascii="Times New Roman" w:hAnsi="Times New Roman"/>
                <w:sz w:val="19"/>
                <w:szCs w:val="19"/>
              </w:rPr>
              <w:t>G2</w:t>
            </w:r>
          </w:p>
        </w:tc>
        <w:tc>
          <w:tcPr>
            <w:tcW w:w="1740" w:type="dxa"/>
            <w:tcBorders>
              <w:top w:val="single" w:color="auto" w:sz="4" w:space="0"/>
              <w:left w:val="nil"/>
              <w:bottom w:val="single" w:color="auto" w:sz="4" w:space="0"/>
              <w:right w:val="nil"/>
            </w:tcBorders>
            <w:shd w:val="clear" w:color="auto" w:fill="auto"/>
            <w:noWrap w:val="0"/>
            <w:vAlign w:val="top"/>
          </w:tcPr>
          <w:p w14:paraId="161D2A41">
            <w:pPr>
              <w:jc w:val="center"/>
              <w:rPr>
                <w:rFonts w:hint="eastAsia" w:ascii="Times New Roman" w:hAnsi="Times New Roman"/>
                <w:sz w:val="19"/>
                <w:szCs w:val="19"/>
              </w:rPr>
            </w:pPr>
            <w:r>
              <w:rPr>
                <w:rFonts w:hint="eastAsia" w:ascii="Times New Roman" w:hAnsi="Times New Roman"/>
                <w:sz w:val="19"/>
                <w:szCs w:val="19"/>
              </w:rPr>
              <w:t>G3</w:t>
            </w:r>
          </w:p>
        </w:tc>
        <w:tc>
          <w:tcPr>
            <w:tcW w:w="797" w:type="dxa"/>
            <w:tcBorders>
              <w:top w:val="single" w:color="auto" w:sz="4" w:space="0"/>
              <w:left w:val="nil"/>
              <w:bottom w:val="single" w:color="auto" w:sz="4" w:space="0"/>
              <w:right w:val="nil"/>
            </w:tcBorders>
            <w:shd w:val="clear" w:color="auto" w:fill="auto"/>
            <w:noWrap w:val="0"/>
            <w:vAlign w:val="top"/>
          </w:tcPr>
          <w:p w14:paraId="53787271">
            <w:pPr>
              <w:jc w:val="center"/>
              <w:rPr>
                <w:rFonts w:ascii="Times New Roman" w:hAnsi="Times New Roman"/>
                <w:sz w:val="19"/>
                <w:szCs w:val="19"/>
              </w:rPr>
            </w:pPr>
            <w:r>
              <w:rPr>
                <w:rFonts w:hint="eastAsia" w:ascii="Times New Roman" w:hAnsi="Times New Roman"/>
                <w:sz w:val="19"/>
                <w:szCs w:val="19"/>
              </w:rPr>
              <w:sym w:font="Symbol" w:char="F063"/>
            </w:r>
            <w:r>
              <w:rPr>
                <w:rFonts w:hint="eastAsia" w:ascii="Times New Roman" w:hAnsi="Times New Roman"/>
                <w:sz w:val="19"/>
                <w:szCs w:val="19"/>
                <w:vertAlign w:val="superscript"/>
              </w:rPr>
              <w:t>2</w:t>
            </w:r>
            <w:r>
              <w:rPr>
                <w:rFonts w:hint="eastAsia" w:ascii="Times New Roman" w:hAnsi="Times New Roman"/>
                <w:sz w:val="19"/>
                <w:szCs w:val="19"/>
              </w:rPr>
              <w:t>/</w:t>
            </w:r>
            <w:r>
              <w:rPr>
                <w:rFonts w:ascii="Times New Roman" w:hAnsi="Times New Roman"/>
                <w:sz w:val="19"/>
                <w:szCs w:val="19"/>
              </w:rPr>
              <w:t>Z/</w:t>
            </w:r>
            <w:r>
              <w:rPr>
                <w:rFonts w:hint="eastAsia" w:ascii="Times New Roman" w:hAnsi="Times New Roman"/>
                <w:sz w:val="19"/>
                <w:szCs w:val="19"/>
              </w:rPr>
              <w:t>t</w:t>
            </w:r>
          </w:p>
        </w:tc>
        <w:tc>
          <w:tcPr>
            <w:tcW w:w="798" w:type="dxa"/>
            <w:tcBorders>
              <w:top w:val="single" w:color="auto" w:sz="4" w:space="0"/>
              <w:left w:val="nil"/>
              <w:bottom w:val="single" w:color="auto" w:sz="4" w:space="0"/>
              <w:right w:val="nil"/>
            </w:tcBorders>
            <w:shd w:val="clear" w:color="auto" w:fill="auto"/>
            <w:noWrap w:val="0"/>
            <w:vAlign w:val="top"/>
          </w:tcPr>
          <w:p w14:paraId="7E988FA9">
            <w:pPr>
              <w:jc w:val="center"/>
              <w:rPr>
                <w:rFonts w:ascii="Times New Roman" w:hAnsi="Times New Roman"/>
                <w:sz w:val="19"/>
                <w:szCs w:val="19"/>
              </w:rPr>
            </w:pPr>
            <w:r>
              <w:rPr>
                <w:rFonts w:ascii="Times New Roman" w:hAnsi="Times New Roman"/>
                <w:sz w:val="19"/>
                <w:szCs w:val="19"/>
              </w:rPr>
              <w:t>P</w:t>
            </w:r>
          </w:p>
        </w:tc>
      </w:tr>
      <w:tr w14:paraId="1A0BE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707" w:type="dxa"/>
            <w:tcBorders>
              <w:top w:val="single" w:color="auto" w:sz="4" w:space="0"/>
              <w:left w:val="nil"/>
              <w:bottom w:val="nil"/>
              <w:right w:val="nil"/>
            </w:tcBorders>
            <w:shd w:val="clear" w:color="auto" w:fill="auto"/>
            <w:noWrap w:val="0"/>
            <w:vAlign w:val="top"/>
          </w:tcPr>
          <w:p w14:paraId="03407DB5">
            <w:pPr>
              <w:jc w:val="center"/>
              <w:rPr>
                <w:rFonts w:ascii="Times New Roman" w:hAnsi="Times New Roman"/>
                <w:sz w:val="19"/>
                <w:szCs w:val="19"/>
              </w:rPr>
            </w:pPr>
            <w:r>
              <w:rPr>
                <w:rFonts w:ascii="Times New Roman" w:hAnsi="Times New Roman"/>
                <w:sz w:val="19"/>
                <w:szCs w:val="19"/>
              </w:rPr>
              <w:t>Metastasis(Yes/No)</w:t>
            </w:r>
          </w:p>
        </w:tc>
        <w:tc>
          <w:tcPr>
            <w:tcW w:w="1740" w:type="dxa"/>
            <w:tcBorders>
              <w:top w:val="single" w:color="auto" w:sz="4" w:space="0"/>
              <w:left w:val="nil"/>
              <w:bottom w:val="nil"/>
              <w:right w:val="nil"/>
            </w:tcBorders>
            <w:shd w:val="clear" w:color="auto" w:fill="auto"/>
            <w:noWrap w:val="0"/>
            <w:vAlign w:val="top"/>
          </w:tcPr>
          <w:p w14:paraId="50592CF6">
            <w:pPr>
              <w:jc w:val="center"/>
              <w:rPr>
                <w:rFonts w:ascii="Times New Roman" w:hAnsi="Times New Roman"/>
                <w:sz w:val="19"/>
                <w:szCs w:val="19"/>
              </w:rPr>
            </w:pPr>
            <w:r>
              <w:rPr>
                <w:rFonts w:hint="eastAsia" w:ascii="Times New Roman" w:hAnsi="Times New Roman"/>
                <w:sz w:val="19"/>
                <w:szCs w:val="19"/>
              </w:rPr>
              <w:t>2/49</w:t>
            </w:r>
          </w:p>
        </w:tc>
        <w:tc>
          <w:tcPr>
            <w:tcW w:w="1740" w:type="dxa"/>
            <w:tcBorders>
              <w:top w:val="single" w:color="auto" w:sz="4" w:space="0"/>
              <w:left w:val="nil"/>
              <w:bottom w:val="nil"/>
              <w:right w:val="nil"/>
            </w:tcBorders>
            <w:shd w:val="clear" w:color="auto" w:fill="auto"/>
            <w:noWrap w:val="0"/>
            <w:vAlign w:val="top"/>
          </w:tcPr>
          <w:p w14:paraId="426A7E32">
            <w:pPr>
              <w:jc w:val="center"/>
              <w:rPr>
                <w:rFonts w:ascii="Times New Roman" w:hAnsi="Times New Roman"/>
                <w:sz w:val="19"/>
                <w:szCs w:val="19"/>
              </w:rPr>
            </w:pPr>
            <w:r>
              <w:rPr>
                <w:rFonts w:hint="eastAsia" w:ascii="Times New Roman" w:hAnsi="Times New Roman"/>
                <w:sz w:val="19"/>
                <w:szCs w:val="19"/>
              </w:rPr>
              <w:t>33/66</w:t>
            </w:r>
          </w:p>
        </w:tc>
        <w:tc>
          <w:tcPr>
            <w:tcW w:w="1740" w:type="dxa"/>
            <w:tcBorders>
              <w:top w:val="single" w:color="auto" w:sz="4" w:space="0"/>
              <w:left w:val="nil"/>
              <w:bottom w:val="nil"/>
              <w:right w:val="nil"/>
            </w:tcBorders>
            <w:shd w:val="clear" w:color="auto" w:fill="auto"/>
            <w:noWrap w:val="0"/>
            <w:vAlign w:val="top"/>
          </w:tcPr>
          <w:p w14:paraId="7054C41A">
            <w:pPr>
              <w:jc w:val="center"/>
              <w:rPr>
                <w:rFonts w:ascii="Times New Roman" w:hAnsi="Times New Roman"/>
                <w:sz w:val="19"/>
                <w:szCs w:val="19"/>
              </w:rPr>
            </w:pPr>
            <w:r>
              <w:rPr>
                <w:rFonts w:hint="eastAsia" w:ascii="Times New Roman" w:hAnsi="Times New Roman"/>
                <w:sz w:val="19"/>
                <w:szCs w:val="19"/>
              </w:rPr>
              <w:t>19/6</w:t>
            </w:r>
          </w:p>
        </w:tc>
        <w:tc>
          <w:tcPr>
            <w:tcW w:w="797" w:type="dxa"/>
            <w:tcBorders>
              <w:top w:val="single" w:color="auto" w:sz="4" w:space="0"/>
              <w:left w:val="nil"/>
              <w:bottom w:val="nil"/>
              <w:right w:val="nil"/>
            </w:tcBorders>
            <w:shd w:val="clear" w:color="auto" w:fill="auto"/>
            <w:noWrap w:val="0"/>
            <w:vAlign w:val="top"/>
          </w:tcPr>
          <w:p w14:paraId="6DC7AD50">
            <w:pPr>
              <w:jc w:val="center"/>
              <w:rPr>
                <w:rFonts w:ascii="Times New Roman" w:hAnsi="Times New Roman"/>
                <w:sz w:val="19"/>
                <w:szCs w:val="19"/>
              </w:rPr>
            </w:pPr>
            <w:r>
              <w:rPr>
                <w:rFonts w:hint="eastAsia" w:ascii="Times New Roman" w:hAnsi="Times New Roman"/>
                <w:sz w:val="19"/>
                <w:szCs w:val="19"/>
              </w:rPr>
              <w:t>41.506</w:t>
            </w:r>
          </w:p>
        </w:tc>
        <w:tc>
          <w:tcPr>
            <w:tcW w:w="798" w:type="dxa"/>
            <w:tcBorders>
              <w:top w:val="single" w:color="auto" w:sz="4" w:space="0"/>
              <w:left w:val="nil"/>
              <w:bottom w:val="nil"/>
              <w:right w:val="nil"/>
            </w:tcBorders>
            <w:shd w:val="clear" w:color="auto" w:fill="auto"/>
            <w:noWrap w:val="0"/>
            <w:vAlign w:val="top"/>
          </w:tcPr>
          <w:p w14:paraId="60E295AD">
            <w:pPr>
              <w:jc w:val="center"/>
              <w:rPr>
                <w:rFonts w:ascii="Times New Roman" w:hAnsi="Times New Roman"/>
                <w:sz w:val="19"/>
                <w:szCs w:val="19"/>
              </w:rPr>
            </w:pPr>
            <w:r>
              <w:rPr>
                <w:rFonts w:hint="eastAsia" w:ascii="Times New Roman" w:hAnsi="Times New Roman"/>
                <w:color w:val="FF0000"/>
                <w:sz w:val="19"/>
                <w:szCs w:val="19"/>
              </w:rPr>
              <w:t>&lt;0.001</w:t>
            </w:r>
          </w:p>
        </w:tc>
      </w:tr>
      <w:tr w14:paraId="6AB5B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707" w:type="dxa"/>
            <w:tcBorders>
              <w:top w:val="nil"/>
              <w:left w:val="nil"/>
              <w:bottom w:val="nil"/>
              <w:right w:val="nil"/>
            </w:tcBorders>
            <w:shd w:val="clear" w:color="auto" w:fill="auto"/>
            <w:noWrap w:val="0"/>
            <w:vAlign w:val="top"/>
          </w:tcPr>
          <w:p w14:paraId="75C679D2">
            <w:pPr>
              <w:jc w:val="center"/>
              <w:rPr>
                <w:rFonts w:ascii="Times New Roman" w:hAnsi="Times New Roman"/>
                <w:sz w:val="19"/>
                <w:szCs w:val="19"/>
              </w:rPr>
            </w:pPr>
            <w:r>
              <w:rPr>
                <w:rFonts w:ascii="Times New Roman" w:hAnsi="Times New Roman"/>
                <w:sz w:val="19"/>
                <w:szCs w:val="19"/>
              </w:rPr>
              <w:t>Sex (Male/Female)</w:t>
            </w:r>
          </w:p>
        </w:tc>
        <w:tc>
          <w:tcPr>
            <w:tcW w:w="1740" w:type="dxa"/>
            <w:tcBorders>
              <w:top w:val="nil"/>
              <w:left w:val="nil"/>
              <w:bottom w:val="nil"/>
              <w:right w:val="nil"/>
            </w:tcBorders>
            <w:shd w:val="clear" w:color="auto" w:fill="auto"/>
            <w:noWrap w:val="0"/>
            <w:vAlign w:val="top"/>
          </w:tcPr>
          <w:p w14:paraId="3E63938F">
            <w:pPr>
              <w:jc w:val="center"/>
              <w:rPr>
                <w:rFonts w:ascii="Times New Roman" w:hAnsi="Times New Roman"/>
                <w:sz w:val="19"/>
                <w:szCs w:val="19"/>
              </w:rPr>
            </w:pPr>
            <w:r>
              <w:rPr>
                <w:rFonts w:ascii="Times New Roman" w:hAnsi="Times New Roman"/>
                <w:sz w:val="19"/>
                <w:szCs w:val="19"/>
              </w:rPr>
              <w:t>3</w:t>
            </w:r>
            <w:r>
              <w:rPr>
                <w:rFonts w:hint="eastAsia" w:ascii="Times New Roman" w:hAnsi="Times New Roman"/>
                <w:sz w:val="19"/>
                <w:szCs w:val="19"/>
              </w:rPr>
              <w:t>1/20</w:t>
            </w:r>
          </w:p>
        </w:tc>
        <w:tc>
          <w:tcPr>
            <w:tcW w:w="1740" w:type="dxa"/>
            <w:tcBorders>
              <w:top w:val="nil"/>
              <w:left w:val="nil"/>
              <w:bottom w:val="nil"/>
              <w:right w:val="nil"/>
            </w:tcBorders>
            <w:shd w:val="clear" w:color="auto" w:fill="auto"/>
            <w:noWrap w:val="0"/>
            <w:vAlign w:val="top"/>
          </w:tcPr>
          <w:p w14:paraId="5E091A7D">
            <w:pPr>
              <w:jc w:val="center"/>
              <w:rPr>
                <w:rFonts w:hint="eastAsia" w:ascii="Times New Roman" w:hAnsi="Times New Roman"/>
                <w:sz w:val="19"/>
                <w:szCs w:val="19"/>
              </w:rPr>
            </w:pPr>
            <w:r>
              <w:rPr>
                <w:rFonts w:hint="eastAsia" w:ascii="Times New Roman" w:hAnsi="Times New Roman"/>
                <w:sz w:val="19"/>
                <w:szCs w:val="19"/>
              </w:rPr>
              <w:t>48/51</w:t>
            </w:r>
          </w:p>
        </w:tc>
        <w:tc>
          <w:tcPr>
            <w:tcW w:w="1740" w:type="dxa"/>
            <w:tcBorders>
              <w:top w:val="nil"/>
              <w:left w:val="nil"/>
              <w:bottom w:val="nil"/>
              <w:right w:val="nil"/>
            </w:tcBorders>
            <w:shd w:val="clear" w:color="auto" w:fill="auto"/>
            <w:noWrap w:val="0"/>
            <w:vAlign w:val="top"/>
          </w:tcPr>
          <w:p w14:paraId="17CFD7B8">
            <w:pPr>
              <w:jc w:val="center"/>
              <w:rPr>
                <w:rFonts w:ascii="Times New Roman" w:hAnsi="Times New Roman"/>
                <w:sz w:val="19"/>
                <w:szCs w:val="19"/>
              </w:rPr>
            </w:pPr>
            <w:r>
              <w:rPr>
                <w:rFonts w:hint="eastAsia" w:ascii="Times New Roman" w:hAnsi="Times New Roman"/>
                <w:sz w:val="19"/>
                <w:szCs w:val="19"/>
              </w:rPr>
              <w:t>15/10</w:t>
            </w:r>
          </w:p>
        </w:tc>
        <w:tc>
          <w:tcPr>
            <w:tcW w:w="797" w:type="dxa"/>
            <w:tcBorders>
              <w:top w:val="nil"/>
              <w:left w:val="nil"/>
              <w:bottom w:val="nil"/>
              <w:right w:val="nil"/>
            </w:tcBorders>
            <w:shd w:val="clear" w:color="auto" w:fill="auto"/>
            <w:noWrap w:val="0"/>
            <w:vAlign w:val="top"/>
          </w:tcPr>
          <w:p w14:paraId="6F30B146">
            <w:pPr>
              <w:jc w:val="center"/>
              <w:rPr>
                <w:rFonts w:ascii="Times New Roman" w:hAnsi="Times New Roman"/>
                <w:sz w:val="19"/>
                <w:szCs w:val="19"/>
              </w:rPr>
            </w:pPr>
            <w:r>
              <w:rPr>
                <w:rFonts w:hint="eastAsia" w:ascii="Times New Roman" w:hAnsi="Times New Roman"/>
                <w:sz w:val="19"/>
                <w:szCs w:val="19"/>
              </w:rPr>
              <w:t>2</w:t>
            </w:r>
            <w:r>
              <w:rPr>
                <w:rFonts w:ascii="Times New Roman" w:hAnsi="Times New Roman"/>
                <w:sz w:val="19"/>
                <w:szCs w:val="19"/>
              </w:rPr>
              <w:t>.512</w:t>
            </w:r>
          </w:p>
        </w:tc>
        <w:tc>
          <w:tcPr>
            <w:tcW w:w="798" w:type="dxa"/>
            <w:tcBorders>
              <w:top w:val="nil"/>
              <w:left w:val="nil"/>
              <w:bottom w:val="nil"/>
              <w:right w:val="nil"/>
            </w:tcBorders>
            <w:shd w:val="clear" w:color="auto" w:fill="auto"/>
            <w:noWrap w:val="0"/>
            <w:vAlign w:val="top"/>
          </w:tcPr>
          <w:p w14:paraId="6FCD78E0">
            <w:pPr>
              <w:jc w:val="center"/>
              <w:rPr>
                <w:rFonts w:ascii="Times New Roman" w:hAnsi="Times New Roman"/>
                <w:sz w:val="19"/>
                <w:szCs w:val="19"/>
              </w:rPr>
            </w:pPr>
            <w:r>
              <w:rPr>
                <w:rFonts w:hint="eastAsia" w:ascii="Times New Roman" w:hAnsi="Times New Roman"/>
                <w:sz w:val="19"/>
                <w:szCs w:val="19"/>
              </w:rPr>
              <w:t>0.285</w:t>
            </w:r>
          </w:p>
        </w:tc>
      </w:tr>
      <w:tr w14:paraId="2DECC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707" w:type="dxa"/>
            <w:tcBorders>
              <w:top w:val="nil"/>
              <w:left w:val="nil"/>
              <w:bottom w:val="nil"/>
              <w:right w:val="nil"/>
            </w:tcBorders>
            <w:shd w:val="clear" w:color="auto" w:fill="auto"/>
            <w:noWrap w:val="0"/>
            <w:vAlign w:val="top"/>
          </w:tcPr>
          <w:p w14:paraId="0EF43F56">
            <w:pPr>
              <w:jc w:val="center"/>
              <w:rPr>
                <w:rFonts w:ascii="Times New Roman" w:hAnsi="Times New Roman"/>
                <w:sz w:val="19"/>
                <w:szCs w:val="19"/>
              </w:rPr>
            </w:pPr>
            <w:r>
              <w:rPr>
                <w:rFonts w:ascii="Times New Roman" w:hAnsi="Times New Roman"/>
                <w:sz w:val="19"/>
                <w:szCs w:val="19"/>
              </w:rPr>
              <w:t>Age (Years)</w:t>
            </w:r>
          </w:p>
        </w:tc>
        <w:tc>
          <w:tcPr>
            <w:tcW w:w="1740" w:type="dxa"/>
            <w:tcBorders>
              <w:top w:val="nil"/>
              <w:left w:val="nil"/>
              <w:bottom w:val="nil"/>
              <w:right w:val="nil"/>
            </w:tcBorders>
            <w:shd w:val="clear" w:color="auto" w:fill="auto"/>
            <w:noWrap w:val="0"/>
            <w:vAlign w:val="top"/>
          </w:tcPr>
          <w:p w14:paraId="3A8CEB8B">
            <w:pPr>
              <w:jc w:val="center"/>
              <w:rPr>
                <w:rFonts w:ascii="Times New Roman" w:hAnsi="Times New Roman"/>
                <w:sz w:val="19"/>
                <w:szCs w:val="19"/>
              </w:rPr>
            </w:pPr>
            <w:r>
              <w:rPr>
                <w:rFonts w:ascii="Times New Roman" w:hAnsi="Times New Roman"/>
                <w:sz w:val="19"/>
                <w:szCs w:val="19"/>
              </w:rPr>
              <w:t>56.67±12.87</w:t>
            </w:r>
          </w:p>
        </w:tc>
        <w:tc>
          <w:tcPr>
            <w:tcW w:w="1740" w:type="dxa"/>
            <w:tcBorders>
              <w:top w:val="nil"/>
              <w:left w:val="nil"/>
              <w:bottom w:val="nil"/>
              <w:right w:val="nil"/>
            </w:tcBorders>
            <w:shd w:val="clear" w:color="auto" w:fill="auto"/>
            <w:noWrap w:val="0"/>
            <w:vAlign w:val="top"/>
          </w:tcPr>
          <w:p w14:paraId="1F6F8B1A">
            <w:pPr>
              <w:jc w:val="center"/>
              <w:rPr>
                <w:rFonts w:hint="eastAsia" w:ascii="Times New Roman" w:hAnsi="Times New Roman"/>
                <w:sz w:val="19"/>
                <w:szCs w:val="19"/>
              </w:rPr>
            </w:pPr>
            <w:r>
              <w:rPr>
                <w:rFonts w:ascii="Times New Roman" w:hAnsi="Times New Roman"/>
                <w:sz w:val="19"/>
                <w:szCs w:val="19"/>
              </w:rPr>
              <w:t>56.00</w:t>
            </w:r>
            <w:r>
              <w:rPr>
                <w:rFonts w:hint="eastAsia" w:ascii="Times New Roman" w:hAnsi="Times New Roman"/>
                <w:sz w:val="19"/>
                <w:szCs w:val="19"/>
              </w:rPr>
              <w:t>(</w:t>
            </w:r>
            <w:r>
              <w:rPr>
                <w:rFonts w:ascii="Times New Roman" w:hAnsi="Times New Roman"/>
                <w:sz w:val="19"/>
                <w:szCs w:val="19"/>
              </w:rPr>
              <w:t>50.00,64.00</w:t>
            </w:r>
            <w:r>
              <w:rPr>
                <w:rFonts w:hint="eastAsia" w:ascii="Times New Roman" w:hAnsi="Times New Roman"/>
                <w:sz w:val="19"/>
                <w:szCs w:val="19"/>
              </w:rPr>
              <w:t>)</w:t>
            </w:r>
          </w:p>
        </w:tc>
        <w:tc>
          <w:tcPr>
            <w:tcW w:w="1740" w:type="dxa"/>
            <w:tcBorders>
              <w:top w:val="nil"/>
              <w:left w:val="nil"/>
              <w:bottom w:val="nil"/>
              <w:right w:val="nil"/>
            </w:tcBorders>
            <w:shd w:val="clear" w:color="auto" w:fill="auto"/>
            <w:noWrap w:val="0"/>
            <w:vAlign w:val="top"/>
          </w:tcPr>
          <w:p w14:paraId="4C6D2D26">
            <w:pPr>
              <w:jc w:val="center"/>
              <w:rPr>
                <w:rFonts w:ascii="Times New Roman" w:hAnsi="Times New Roman"/>
                <w:sz w:val="19"/>
                <w:szCs w:val="19"/>
              </w:rPr>
            </w:pPr>
            <w:r>
              <w:rPr>
                <w:rFonts w:ascii="Times New Roman" w:hAnsi="Times New Roman"/>
                <w:sz w:val="19"/>
                <w:szCs w:val="19"/>
              </w:rPr>
              <w:t>58.52±12.68</w:t>
            </w:r>
          </w:p>
        </w:tc>
        <w:tc>
          <w:tcPr>
            <w:tcW w:w="797" w:type="dxa"/>
            <w:tcBorders>
              <w:top w:val="nil"/>
              <w:left w:val="nil"/>
              <w:bottom w:val="nil"/>
              <w:right w:val="nil"/>
            </w:tcBorders>
            <w:shd w:val="clear" w:color="auto" w:fill="auto"/>
            <w:noWrap w:val="0"/>
            <w:vAlign w:val="top"/>
          </w:tcPr>
          <w:p w14:paraId="419480D6">
            <w:pPr>
              <w:jc w:val="center"/>
              <w:rPr>
                <w:rFonts w:ascii="Times New Roman" w:hAnsi="Times New Roman"/>
                <w:sz w:val="19"/>
                <w:szCs w:val="19"/>
              </w:rPr>
            </w:pPr>
            <w:r>
              <w:rPr>
                <w:rFonts w:hint="eastAsia" w:ascii="Times New Roman" w:hAnsi="Times New Roman"/>
                <w:sz w:val="19"/>
                <w:szCs w:val="19"/>
              </w:rPr>
              <w:t>0.859</w:t>
            </w:r>
          </w:p>
        </w:tc>
        <w:tc>
          <w:tcPr>
            <w:tcW w:w="798" w:type="dxa"/>
            <w:tcBorders>
              <w:top w:val="nil"/>
              <w:left w:val="nil"/>
              <w:bottom w:val="nil"/>
              <w:right w:val="nil"/>
            </w:tcBorders>
            <w:shd w:val="clear" w:color="auto" w:fill="auto"/>
            <w:noWrap w:val="0"/>
            <w:vAlign w:val="top"/>
          </w:tcPr>
          <w:p w14:paraId="77786DFC">
            <w:pPr>
              <w:jc w:val="center"/>
              <w:rPr>
                <w:rFonts w:ascii="Times New Roman" w:hAnsi="Times New Roman"/>
                <w:sz w:val="19"/>
                <w:szCs w:val="19"/>
              </w:rPr>
            </w:pPr>
            <w:r>
              <w:rPr>
                <w:rFonts w:hint="eastAsia" w:ascii="Times New Roman" w:hAnsi="Times New Roman"/>
                <w:sz w:val="19"/>
                <w:szCs w:val="19"/>
              </w:rPr>
              <w:t>0.651</w:t>
            </w:r>
          </w:p>
        </w:tc>
      </w:tr>
      <w:tr w14:paraId="09464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707" w:type="dxa"/>
            <w:tcBorders>
              <w:top w:val="nil"/>
              <w:left w:val="nil"/>
              <w:bottom w:val="nil"/>
              <w:right w:val="nil"/>
            </w:tcBorders>
            <w:shd w:val="clear" w:color="auto" w:fill="auto"/>
            <w:noWrap w:val="0"/>
            <w:vAlign w:val="top"/>
          </w:tcPr>
          <w:p w14:paraId="7829F088">
            <w:pPr>
              <w:jc w:val="center"/>
              <w:rPr>
                <w:rFonts w:hint="eastAsia" w:ascii="Times New Roman" w:hAnsi="Times New Roman"/>
                <w:sz w:val="19"/>
                <w:szCs w:val="19"/>
              </w:rPr>
            </w:pPr>
            <w:r>
              <w:rPr>
                <w:rFonts w:hint="eastAsia" w:ascii="Times New Roman" w:hAnsi="Times New Roman"/>
                <w:sz w:val="19"/>
                <w:szCs w:val="19"/>
              </w:rPr>
              <w:t>BMI</w:t>
            </w:r>
          </w:p>
        </w:tc>
        <w:tc>
          <w:tcPr>
            <w:tcW w:w="1740" w:type="dxa"/>
            <w:tcBorders>
              <w:top w:val="nil"/>
              <w:left w:val="nil"/>
              <w:bottom w:val="nil"/>
              <w:right w:val="nil"/>
            </w:tcBorders>
            <w:shd w:val="clear" w:color="auto" w:fill="auto"/>
            <w:noWrap w:val="0"/>
            <w:vAlign w:val="top"/>
          </w:tcPr>
          <w:p w14:paraId="3884656F">
            <w:pPr>
              <w:jc w:val="center"/>
              <w:rPr>
                <w:rFonts w:ascii="Times New Roman" w:hAnsi="Times New Roman"/>
                <w:sz w:val="19"/>
                <w:szCs w:val="19"/>
              </w:rPr>
            </w:pPr>
            <w:r>
              <w:rPr>
                <w:rFonts w:ascii="Times New Roman" w:hAnsi="Times New Roman"/>
                <w:sz w:val="19"/>
                <w:szCs w:val="19"/>
              </w:rPr>
              <w:t>24.19±3.13</w:t>
            </w:r>
          </w:p>
        </w:tc>
        <w:tc>
          <w:tcPr>
            <w:tcW w:w="1740" w:type="dxa"/>
            <w:tcBorders>
              <w:top w:val="nil"/>
              <w:left w:val="nil"/>
              <w:bottom w:val="nil"/>
              <w:right w:val="nil"/>
            </w:tcBorders>
            <w:shd w:val="clear" w:color="auto" w:fill="auto"/>
            <w:noWrap w:val="0"/>
            <w:vAlign w:val="top"/>
          </w:tcPr>
          <w:p w14:paraId="4C5F90DE">
            <w:pPr>
              <w:jc w:val="center"/>
              <w:rPr>
                <w:rFonts w:ascii="Times New Roman" w:hAnsi="Times New Roman"/>
                <w:sz w:val="19"/>
                <w:szCs w:val="19"/>
              </w:rPr>
            </w:pPr>
            <w:r>
              <w:rPr>
                <w:rFonts w:ascii="Times New Roman" w:hAnsi="Times New Roman"/>
                <w:sz w:val="19"/>
                <w:szCs w:val="19"/>
              </w:rPr>
              <w:t>23.96±3.22</w:t>
            </w:r>
          </w:p>
        </w:tc>
        <w:tc>
          <w:tcPr>
            <w:tcW w:w="1740" w:type="dxa"/>
            <w:tcBorders>
              <w:top w:val="nil"/>
              <w:left w:val="nil"/>
              <w:bottom w:val="nil"/>
              <w:right w:val="nil"/>
            </w:tcBorders>
            <w:shd w:val="clear" w:color="auto" w:fill="auto"/>
            <w:noWrap w:val="0"/>
            <w:vAlign w:val="top"/>
          </w:tcPr>
          <w:p w14:paraId="28C95A86">
            <w:pPr>
              <w:jc w:val="center"/>
              <w:rPr>
                <w:rFonts w:hint="eastAsia" w:ascii="Times New Roman" w:hAnsi="Times New Roman"/>
                <w:sz w:val="19"/>
                <w:szCs w:val="19"/>
              </w:rPr>
            </w:pPr>
            <w:r>
              <w:rPr>
                <w:rFonts w:ascii="Times New Roman" w:hAnsi="Times New Roman"/>
                <w:sz w:val="19"/>
                <w:szCs w:val="19"/>
              </w:rPr>
              <w:t>24.24±2.75</w:t>
            </w:r>
          </w:p>
        </w:tc>
        <w:tc>
          <w:tcPr>
            <w:tcW w:w="797" w:type="dxa"/>
            <w:tcBorders>
              <w:top w:val="nil"/>
              <w:left w:val="nil"/>
              <w:bottom w:val="nil"/>
              <w:right w:val="nil"/>
            </w:tcBorders>
            <w:shd w:val="clear" w:color="auto" w:fill="auto"/>
            <w:noWrap w:val="0"/>
            <w:vAlign w:val="top"/>
          </w:tcPr>
          <w:p w14:paraId="4CF80BD6">
            <w:pPr>
              <w:jc w:val="center"/>
              <w:rPr>
                <w:rFonts w:hint="eastAsia" w:ascii="Times New Roman" w:hAnsi="Times New Roman"/>
                <w:sz w:val="19"/>
                <w:szCs w:val="19"/>
              </w:rPr>
            </w:pPr>
            <w:r>
              <w:rPr>
                <w:rFonts w:hint="eastAsia" w:ascii="Times New Roman" w:hAnsi="Times New Roman"/>
                <w:sz w:val="19"/>
                <w:szCs w:val="19"/>
              </w:rPr>
              <w:t>0.147</w:t>
            </w:r>
          </w:p>
        </w:tc>
        <w:tc>
          <w:tcPr>
            <w:tcW w:w="798" w:type="dxa"/>
            <w:tcBorders>
              <w:top w:val="nil"/>
              <w:left w:val="nil"/>
              <w:bottom w:val="nil"/>
              <w:right w:val="nil"/>
            </w:tcBorders>
            <w:shd w:val="clear" w:color="auto" w:fill="auto"/>
            <w:noWrap w:val="0"/>
            <w:vAlign w:val="top"/>
          </w:tcPr>
          <w:p w14:paraId="21A5BBA2">
            <w:pPr>
              <w:jc w:val="center"/>
              <w:rPr>
                <w:rFonts w:ascii="Times New Roman" w:hAnsi="Times New Roman"/>
                <w:sz w:val="19"/>
                <w:szCs w:val="19"/>
              </w:rPr>
            </w:pPr>
            <w:r>
              <w:rPr>
                <w:rFonts w:hint="eastAsia" w:ascii="Times New Roman" w:hAnsi="Times New Roman"/>
                <w:sz w:val="19"/>
                <w:szCs w:val="19"/>
              </w:rPr>
              <w:t>0.929</w:t>
            </w:r>
          </w:p>
        </w:tc>
      </w:tr>
      <w:tr w14:paraId="3042D4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707" w:type="dxa"/>
            <w:tcBorders>
              <w:top w:val="nil"/>
              <w:left w:val="nil"/>
              <w:bottom w:val="nil"/>
              <w:right w:val="nil"/>
            </w:tcBorders>
            <w:shd w:val="clear" w:color="auto" w:fill="auto"/>
            <w:noWrap w:val="0"/>
            <w:vAlign w:val="top"/>
          </w:tcPr>
          <w:p w14:paraId="1CE43B51">
            <w:pPr>
              <w:jc w:val="center"/>
              <w:rPr>
                <w:rFonts w:ascii="Times New Roman" w:hAnsi="Times New Roman"/>
                <w:sz w:val="19"/>
                <w:szCs w:val="19"/>
              </w:rPr>
            </w:pPr>
            <w:r>
              <w:rPr>
                <w:rFonts w:ascii="Times New Roman" w:hAnsi="Times New Roman"/>
                <w:sz w:val="19"/>
                <w:szCs w:val="19"/>
              </w:rPr>
              <w:t>CEA</w:t>
            </w:r>
          </w:p>
        </w:tc>
        <w:tc>
          <w:tcPr>
            <w:tcW w:w="1740" w:type="dxa"/>
            <w:tcBorders>
              <w:top w:val="nil"/>
              <w:left w:val="nil"/>
              <w:bottom w:val="nil"/>
              <w:right w:val="nil"/>
            </w:tcBorders>
            <w:shd w:val="clear" w:color="auto" w:fill="auto"/>
            <w:noWrap w:val="0"/>
            <w:vAlign w:val="top"/>
          </w:tcPr>
          <w:p w14:paraId="4D4FC5B9">
            <w:pPr>
              <w:jc w:val="center"/>
              <w:rPr>
                <w:rFonts w:ascii="Times New Roman" w:hAnsi="Times New Roman"/>
                <w:sz w:val="19"/>
                <w:szCs w:val="19"/>
              </w:rPr>
            </w:pPr>
            <w:r>
              <w:rPr>
                <w:rFonts w:ascii="Times New Roman" w:hAnsi="Times New Roman"/>
                <w:sz w:val="19"/>
                <w:szCs w:val="19"/>
              </w:rPr>
              <w:t>1.75</w:t>
            </w:r>
            <w:r>
              <w:rPr>
                <w:rFonts w:hint="eastAsia" w:ascii="Times New Roman" w:hAnsi="Times New Roman"/>
                <w:sz w:val="19"/>
                <w:szCs w:val="19"/>
              </w:rPr>
              <w:t>(</w:t>
            </w:r>
            <w:r>
              <w:rPr>
                <w:rFonts w:ascii="Times New Roman" w:hAnsi="Times New Roman"/>
                <w:sz w:val="19"/>
                <w:szCs w:val="19"/>
              </w:rPr>
              <w:t>1.20,2.52</w:t>
            </w:r>
            <w:r>
              <w:rPr>
                <w:rFonts w:hint="eastAsia" w:ascii="Times New Roman" w:hAnsi="Times New Roman"/>
                <w:sz w:val="19"/>
                <w:szCs w:val="19"/>
              </w:rPr>
              <w:t>)</w:t>
            </w:r>
          </w:p>
        </w:tc>
        <w:tc>
          <w:tcPr>
            <w:tcW w:w="1740" w:type="dxa"/>
            <w:tcBorders>
              <w:top w:val="nil"/>
              <w:left w:val="nil"/>
              <w:bottom w:val="nil"/>
              <w:right w:val="nil"/>
            </w:tcBorders>
            <w:shd w:val="clear" w:color="auto" w:fill="auto"/>
            <w:noWrap w:val="0"/>
            <w:vAlign w:val="top"/>
          </w:tcPr>
          <w:p w14:paraId="1E03EDC5">
            <w:pPr>
              <w:jc w:val="center"/>
              <w:rPr>
                <w:rFonts w:ascii="Times New Roman" w:hAnsi="Times New Roman"/>
                <w:sz w:val="19"/>
                <w:szCs w:val="19"/>
              </w:rPr>
            </w:pPr>
            <w:r>
              <w:rPr>
                <w:rFonts w:ascii="Times New Roman" w:hAnsi="Times New Roman"/>
                <w:sz w:val="19"/>
                <w:szCs w:val="19"/>
              </w:rPr>
              <w:t>1.66</w:t>
            </w:r>
            <w:r>
              <w:rPr>
                <w:rFonts w:hint="eastAsia" w:ascii="Times New Roman" w:hAnsi="Times New Roman"/>
                <w:sz w:val="19"/>
                <w:szCs w:val="19"/>
              </w:rPr>
              <w:t>(</w:t>
            </w:r>
            <w:r>
              <w:rPr>
                <w:rFonts w:ascii="Times New Roman" w:hAnsi="Times New Roman"/>
                <w:sz w:val="19"/>
                <w:szCs w:val="19"/>
              </w:rPr>
              <w:t>1.31,2.80</w:t>
            </w:r>
            <w:r>
              <w:rPr>
                <w:rFonts w:hint="eastAsia" w:ascii="Times New Roman" w:hAnsi="Times New Roman"/>
                <w:sz w:val="19"/>
                <w:szCs w:val="19"/>
              </w:rPr>
              <w:t>)</w:t>
            </w:r>
          </w:p>
        </w:tc>
        <w:tc>
          <w:tcPr>
            <w:tcW w:w="1740" w:type="dxa"/>
            <w:tcBorders>
              <w:top w:val="nil"/>
              <w:left w:val="nil"/>
              <w:bottom w:val="nil"/>
              <w:right w:val="nil"/>
            </w:tcBorders>
            <w:shd w:val="clear" w:color="auto" w:fill="auto"/>
            <w:noWrap w:val="0"/>
            <w:vAlign w:val="top"/>
          </w:tcPr>
          <w:p w14:paraId="496A6966">
            <w:pPr>
              <w:jc w:val="center"/>
              <w:rPr>
                <w:rFonts w:ascii="Times New Roman" w:hAnsi="Times New Roman"/>
                <w:sz w:val="19"/>
                <w:szCs w:val="19"/>
              </w:rPr>
            </w:pPr>
            <w:r>
              <w:rPr>
                <w:rFonts w:ascii="Times New Roman" w:hAnsi="Times New Roman"/>
                <w:sz w:val="19"/>
                <w:szCs w:val="19"/>
              </w:rPr>
              <w:t>3.01</w:t>
            </w:r>
            <w:r>
              <w:rPr>
                <w:rFonts w:hint="eastAsia" w:ascii="Times New Roman" w:hAnsi="Times New Roman"/>
                <w:sz w:val="19"/>
                <w:szCs w:val="19"/>
              </w:rPr>
              <w:t>(</w:t>
            </w:r>
            <w:r>
              <w:rPr>
                <w:rFonts w:ascii="Times New Roman" w:hAnsi="Times New Roman"/>
                <w:sz w:val="19"/>
                <w:szCs w:val="19"/>
              </w:rPr>
              <w:t>1.83,4.49</w:t>
            </w:r>
            <w:r>
              <w:rPr>
                <w:rFonts w:hint="eastAsia" w:ascii="Times New Roman" w:hAnsi="Times New Roman"/>
                <w:sz w:val="19"/>
                <w:szCs w:val="19"/>
              </w:rPr>
              <w:t>)</w:t>
            </w:r>
          </w:p>
        </w:tc>
        <w:tc>
          <w:tcPr>
            <w:tcW w:w="797" w:type="dxa"/>
            <w:tcBorders>
              <w:top w:val="nil"/>
              <w:left w:val="nil"/>
              <w:bottom w:val="nil"/>
              <w:right w:val="nil"/>
            </w:tcBorders>
            <w:shd w:val="clear" w:color="auto" w:fill="auto"/>
            <w:noWrap w:val="0"/>
            <w:vAlign w:val="top"/>
          </w:tcPr>
          <w:p w14:paraId="5C306EFE">
            <w:pPr>
              <w:jc w:val="center"/>
              <w:rPr>
                <w:rFonts w:ascii="Times New Roman" w:hAnsi="Times New Roman"/>
                <w:sz w:val="19"/>
                <w:szCs w:val="19"/>
              </w:rPr>
            </w:pPr>
            <w:r>
              <w:rPr>
                <w:rFonts w:hint="eastAsia" w:ascii="Times New Roman" w:hAnsi="Times New Roman"/>
                <w:sz w:val="19"/>
                <w:szCs w:val="19"/>
              </w:rPr>
              <w:t>7.274</w:t>
            </w:r>
          </w:p>
        </w:tc>
        <w:tc>
          <w:tcPr>
            <w:tcW w:w="798" w:type="dxa"/>
            <w:tcBorders>
              <w:top w:val="nil"/>
              <w:left w:val="nil"/>
              <w:bottom w:val="nil"/>
              <w:right w:val="nil"/>
            </w:tcBorders>
            <w:shd w:val="clear" w:color="auto" w:fill="auto"/>
            <w:noWrap w:val="0"/>
            <w:vAlign w:val="top"/>
          </w:tcPr>
          <w:p w14:paraId="5B97FA2A">
            <w:pPr>
              <w:jc w:val="center"/>
              <w:rPr>
                <w:rFonts w:ascii="Times New Roman" w:hAnsi="Times New Roman"/>
                <w:color w:val="FF0000"/>
                <w:sz w:val="19"/>
                <w:szCs w:val="19"/>
              </w:rPr>
            </w:pPr>
            <w:r>
              <w:rPr>
                <w:rFonts w:hint="eastAsia" w:ascii="Times New Roman" w:hAnsi="Times New Roman"/>
                <w:color w:val="FF0000"/>
                <w:sz w:val="19"/>
                <w:szCs w:val="19"/>
              </w:rPr>
              <w:t>0.026</w:t>
            </w:r>
          </w:p>
        </w:tc>
      </w:tr>
      <w:tr w14:paraId="1BF62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707" w:type="dxa"/>
            <w:tcBorders>
              <w:top w:val="nil"/>
              <w:left w:val="nil"/>
              <w:bottom w:val="nil"/>
              <w:right w:val="nil"/>
            </w:tcBorders>
            <w:shd w:val="clear" w:color="auto" w:fill="auto"/>
            <w:noWrap w:val="0"/>
            <w:vAlign w:val="top"/>
          </w:tcPr>
          <w:p w14:paraId="3C01EB4A">
            <w:pPr>
              <w:jc w:val="center"/>
              <w:rPr>
                <w:rFonts w:ascii="Times New Roman" w:hAnsi="Times New Roman"/>
                <w:sz w:val="19"/>
                <w:szCs w:val="19"/>
              </w:rPr>
            </w:pPr>
            <w:r>
              <w:rPr>
                <w:rFonts w:ascii="Times New Roman" w:hAnsi="Times New Roman"/>
                <w:sz w:val="19"/>
                <w:szCs w:val="19"/>
              </w:rPr>
              <w:t>CA199</w:t>
            </w:r>
          </w:p>
        </w:tc>
        <w:tc>
          <w:tcPr>
            <w:tcW w:w="1740" w:type="dxa"/>
            <w:tcBorders>
              <w:top w:val="nil"/>
              <w:left w:val="nil"/>
              <w:bottom w:val="nil"/>
              <w:right w:val="nil"/>
            </w:tcBorders>
            <w:shd w:val="clear" w:color="auto" w:fill="auto"/>
            <w:noWrap w:val="0"/>
            <w:vAlign w:val="top"/>
          </w:tcPr>
          <w:p w14:paraId="1E7407A3">
            <w:pPr>
              <w:jc w:val="center"/>
              <w:rPr>
                <w:rFonts w:ascii="Times New Roman" w:hAnsi="Times New Roman"/>
                <w:sz w:val="19"/>
                <w:szCs w:val="19"/>
              </w:rPr>
            </w:pPr>
            <w:r>
              <w:rPr>
                <w:rFonts w:ascii="Times New Roman" w:hAnsi="Times New Roman"/>
                <w:sz w:val="19"/>
                <w:szCs w:val="19"/>
              </w:rPr>
              <w:t>8.54</w:t>
            </w:r>
            <w:r>
              <w:rPr>
                <w:rFonts w:hint="eastAsia" w:ascii="Times New Roman" w:hAnsi="Times New Roman"/>
                <w:sz w:val="19"/>
                <w:szCs w:val="19"/>
              </w:rPr>
              <w:t>(</w:t>
            </w:r>
            <w:r>
              <w:rPr>
                <w:rFonts w:ascii="Times New Roman" w:hAnsi="Times New Roman"/>
                <w:sz w:val="19"/>
                <w:szCs w:val="19"/>
              </w:rPr>
              <w:t>5.14,14.96</w:t>
            </w:r>
            <w:r>
              <w:rPr>
                <w:rFonts w:hint="eastAsia" w:ascii="Times New Roman" w:hAnsi="Times New Roman"/>
                <w:sz w:val="19"/>
                <w:szCs w:val="19"/>
              </w:rPr>
              <w:t>)</w:t>
            </w:r>
          </w:p>
        </w:tc>
        <w:tc>
          <w:tcPr>
            <w:tcW w:w="1740" w:type="dxa"/>
            <w:tcBorders>
              <w:top w:val="nil"/>
              <w:left w:val="nil"/>
              <w:bottom w:val="nil"/>
              <w:right w:val="nil"/>
            </w:tcBorders>
            <w:shd w:val="clear" w:color="auto" w:fill="auto"/>
            <w:noWrap w:val="0"/>
            <w:vAlign w:val="top"/>
          </w:tcPr>
          <w:p w14:paraId="02BEB9DA">
            <w:pPr>
              <w:jc w:val="center"/>
              <w:rPr>
                <w:rFonts w:ascii="Times New Roman" w:hAnsi="Times New Roman"/>
                <w:sz w:val="19"/>
                <w:szCs w:val="19"/>
              </w:rPr>
            </w:pPr>
            <w:r>
              <w:rPr>
                <w:rFonts w:ascii="Times New Roman" w:hAnsi="Times New Roman"/>
                <w:sz w:val="19"/>
                <w:szCs w:val="19"/>
              </w:rPr>
              <w:t>11.28</w:t>
            </w:r>
            <w:r>
              <w:rPr>
                <w:rFonts w:hint="eastAsia" w:ascii="Times New Roman" w:hAnsi="Times New Roman"/>
                <w:sz w:val="19"/>
                <w:szCs w:val="19"/>
              </w:rPr>
              <w:t>(</w:t>
            </w:r>
            <w:r>
              <w:rPr>
                <w:rFonts w:ascii="Times New Roman" w:hAnsi="Times New Roman"/>
                <w:sz w:val="19"/>
                <w:szCs w:val="19"/>
              </w:rPr>
              <w:t>7.33,19.36</w:t>
            </w:r>
            <w:r>
              <w:rPr>
                <w:rFonts w:hint="eastAsia" w:ascii="Times New Roman" w:hAnsi="Times New Roman"/>
                <w:sz w:val="19"/>
                <w:szCs w:val="19"/>
              </w:rPr>
              <w:t>)</w:t>
            </w:r>
          </w:p>
        </w:tc>
        <w:tc>
          <w:tcPr>
            <w:tcW w:w="1740" w:type="dxa"/>
            <w:tcBorders>
              <w:top w:val="nil"/>
              <w:left w:val="nil"/>
              <w:bottom w:val="nil"/>
              <w:right w:val="nil"/>
            </w:tcBorders>
            <w:shd w:val="clear" w:color="auto" w:fill="auto"/>
            <w:noWrap w:val="0"/>
            <w:vAlign w:val="top"/>
          </w:tcPr>
          <w:p w14:paraId="4DE44E74">
            <w:pPr>
              <w:jc w:val="center"/>
              <w:rPr>
                <w:rFonts w:ascii="Times New Roman" w:hAnsi="Times New Roman"/>
                <w:sz w:val="19"/>
                <w:szCs w:val="19"/>
              </w:rPr>
            </w:pPr>
            <w:r>
              <w:rPr>
                <w:rFonts w:ascii="Times New Roman" w:hAnsi="Times New Roman"/>
                <w:sz w:val="19"/>
                <w:szCs w:val="19"/>
              </w:rPr>
              <w:t>25.32</w:t>
            </w:r>
            <w:r>
              <w:rPr>
                <w:rFonts w:hint="eastAsia" w:ascii="Times New Roman" w:hAnsi="Times New Roman"/>
                <w:sz w:val="19"/>
                <w:szCs w:val="19"/>
              </w:rPr>
              <w:t>(</w:t>
            </w:r>
            <w:r>
              <w:rPr>
                <w:rFonts w:ascii="Times New Roman" w:hAnsi="Times New Roman"/>
                <w:sz w:val="19"/>
                <w:szCs w:val="19"/>
              </w:rPr>
              <w:t>10.42,57.14</w:t>
            </w:r>
            <w:r>
              <w:rPr>
                <w:rFonts w:hint="eastAsia" w:ascii="Times New Roman" w:hAnsi="Times New Roman"/>
                <w:sz w:val="19"/>
                <w:szCs w:val="19"/>
              </w:rPr>
              <w:t>)</w:t>
            </w:r>
          </w:p>
        </w:tc>
        <w:tc>
          <w:tcPr>
            <w:tcW w:w="797" w:type="dxa"/>
            <w:tcBorders>
              <w:top w:val="nil"/>
              <w:left w:val="nil"/>
              <w:bottom w:val="nil"/>
              <w:right w:val="nil"/>
            </w:tcBorders>
            <w:shd w:val="clear" w:color="auto" w:fill="auto"/>
            <w:noWrap w:val="0"/>
            <w:vAlign w:val="top"/>
          </w:tcPr>
          <w:p w14:paraId="51E30508">
            <w:pPr>
              <w:jc w:val="center"/>
              <w:rPr>
                <w:rFonts w:ascii="Times New Roman" w:hAnsi="Times New Roman"/>
                <w:sz w:val="19"/>
                <w:szCs w:val="19"/>
              </w:rPr>
            </w:pPr>
            <w:r>
              <w:rPr>
                <w:rFonts w:hint="eastAsia" w:ascii="Times New Roman" w:hAnsi="Times New Roman"/>
                <w:sz w:val="19"/>
                <w:szCs w:val="19"/>
              </w:rPr>
              <w:t>17.603</w:t>
            </w:r>
          </w:p>
        </w:tc>
        <w:tc>
          <w:tcPr>
            <w:tcW w:w="798" w:type="dxa"/>
            <w:tcBorders>
              <w:top w:val="nil"/>
              <w:left w:val="nil"/>
              <w:bottom w:val="nil"/>
              <w:right w:val="nil"/>
            </w:tcBorders>
            <w:shd w:val="clear" w:color="auto" w:fill="auto"/>
            <w:noWrap w:val="0"/>
            <w:vAlign w:val="top"/>
          </w:tcPr>
          <w:p w14:paraId="2D0FC64F">
            <w:pPr>
              <w:jc w:val="center"/>
              <w:rPr>
                <w:rFonts w:ascii="Times New Roman" w:hAnsi="Times New Roman"/>
                <w:sz w:val="19"/>
                <w:szCs w:val="19"/>
              </w:rPr>
            </w:pPr>
            <w:r>
              <w:rPr>
                <w:rFonts w:hint="eastAsia" w:ascii="Times New Roman" w:hAnsi="Times New Roman"/>
                <w:color w:val="FF0000"/>
                <w:sz w:val="19"/>
                <w:szCs w:val="19"/>
              </w:rPr>
              <w:t>&lt;0.001</w:t>
            </w:r>
          </w:p>
        </w:tc>
      </w:tr>
      <w:tr w14:paraId="2CF817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707" w:type="dxa"/>
            <w:tcBorders>
              <w:top w:val="nil"/>
              <w:left w:val="nil"/>
              <w:bottom w:val="nil"/>
              <w:right w:val="nil"/>
            </w:tcBorders>
            <w:shd w:val="clear" w:color="auto" w:fill="auto"/>
            <w:noWrap w:val="0"/>
            <w:vAlign w:val="top"/>
          </w:tcPr>
          <w:p w14:paraId="539BDD18">
            <w:pPr>
              <w:jc w:val="center"/>
              <w:rPr>
                <w:rFonts w:ascii="Times New Roman" w:hAnsi="Times New Roman"/>
                <w:sz w:val="19"/>
                <w:szCs w:val="19"/>
              </w:rPr>
            </w:pPr>
            <w:r>
              <w:rPr>
                <w:rFonts w:ascii="Times New Roman" w:hAnsi="Times New Roman"/>
                <w:sz w:val="19"/>
                <w:szCs w:val="19"/>
              </w:rPr>
              <w:t>NSE</w:t>
            </w:r>
          </w:p>
        </w:tc>
        <w:tc>
          <w:tcPr>
            <w:tcW w:w="1740" w:type="dxa"/>
            <w:tcBorders>
              <w:top w:val="nil"/>
              <w:left w:val="nil"/>
              <w:bottom w:val="nil"/>
              <w:right w:val="nil"/>
            </w:tcBorders>
            <w:shd w:val="clear" w:color="auto" w:fill="auto"/>
            <w:noWrap w:val="0"/>
            <w:vAlign w:val="top"/>
          </w:tcPr>
          <w:p w14:paraId="2D257A26">
            <w:pPr>
              <w:jc w:val="center"/>
              <w:rPr>
                <w:rFonts w:ascii="Times New Roman" w:hAnsi="Times New Roman"/>
                <w:sz w:val="19"/>
                <w:szCs w:val="19"/>
              </w:rPr>
            </w:pPr>
            <w:r>
              <w:rPr>
                <w:rFonts w:ascii="Times New Roman" w:hAnsi="Times New Roman"/>
                <w:sz w:val="19"/>
                <w:szCs w:val="19"/>
              </w:rPr>
              <w:t>17.95</w:t>
            </w:r>
            <w:r>
              <w:rPr>
                <w:rFonts w:hint="eastAsia" w:ascii="Times New Roman" w:hAnsi="Times New Roman"/>
                <w:sz w:val="19"/>
                <w:szCs w:val="19"/>
              </w:rPr>
              <w:t>(</w:t>
            </w:r>
            <w:r>
              <w:rPr>
                <w:rFonts w:ascii="Times New Roman" w:hAnsi="Times New Roman"/>
                <w:sz w:val="19"/>
                <w:szCs w:val="19"/>
              </w:rPr>
              <w:t>15.00,21.38</w:t>
            </w:r>
            <w:r>
              <w:rPr>
                <w:rFonts w:hint="eastAsia" w:ascii="Times New Roman" w:hAnsi="Times New Roman"/>
                <w:sz w:val="19"/>
                <w:szCs w:val="19"/>
              </w:rPr>
              <w:t>)</w:t>
            </w:r>
          </w:p>
        </w:tc>
        <w:tc>
          <w:tcPr>
            <w:tcW w:w="1740" w:type="dxa"/>
            <w:tcBorders>
              <w:top w:val="nil"/>
              <w:left w:val="nil"/>
              <w:bottom w:val="nil"/>
              <w:right w:val="nil"/>
            </w:tcBorders>
            <w:shd w:val="clear" w:color="auto" w:fill="auto"/>
            <w:noWrap w:val="0"/>
            <w:vAlign w:val="top"/>
          </w:tcPr>
          <w:p w14:paraId="404DEE02">
            <w:pPr>
              <w:jc w:val="center"/>
              <w:rPr>
                <w:rFonts w:ascii="Times New Roman" w:hAnsi="Times New Roman"/>
                <w:sz w:val="19"/>
                <w:szCs w:val="19"/>
              </w:rPr>
            </w:pPr>
            <w:r>
              <w:rPr>
                <w:rFonts w:ascii="Times New Roman" w:hAnsi="Times New Roman"/>
                <w:sz w:val="19"/>
                <w:szCs w:val="19"/>
              </w:rPr>
              <w:t>19.52</w:t>
            </w:r>
            <w:r>
              <w:rPr>
                <w:rFonts w:hint="eastAsia" w:ascii="Times New Roman" w:hAnsi="Times New Roman"/>
                <w:sz w:val="19"/>
                <w:szCs w:val="19"/>
              </w:rPr>
              <w:t>(</w:t>
            </w:r>
            <w:r>
              <w:rPr>
                <w:rFonts w:ascii="Times New Roman" w:hAnsi="Times New Roman"/>
                <w:sz w:val="19"/>
                <w:szCs w:val="19"/>
              </w:rPr>
              <w:t>16.28</w:t>
            </w:r>
            <w:r>
              <w:rPr>
                <w:rFonts w:hint="eastAsia" w:ascii="Times New Roman" w:hAnsi="Times New Roman"/>
                <w:sz w:val="19"/>
                <w:szCs w:val="19"/>
              </w:rPr>
              <w:t>,</w:t>
            </w:r>
            <w:r>
              <w:rPr>
                <w:rFonts w:ascii="Times New Roman" w:hAnsi="Times New Roman"/>
                <w:sz w:val="19"/>
                <w:szCs w:val="19"/>
              </w:rPr>
              <w:t>23.57</w:t>
            </w:r>
            <w:r>
              <w:rPr>
                <w:rFonts w:hint="eastAsia" w:ascii="Times New Roman" w:hAnsi="Times New Roman"/>
                <w:sz w:val="19"/>
                <w:szCs w:val="19"/>
              </w:rPr>
              <w:t>)</w:t>
            </w:r>
          </w:p>
        </w:tc>
        <w:tc>
          <w:tcPr>
            <w:tcW w:w="1740" w:type="dxa"/>
            <w:tcBorders>
              <w:top w:val="nil"/>
              <w:left w:val="nil"/>
              <w:bottom w:val="nil"/>
              <w:right w:val="nil"/>
            </w:tcBorders>
            <w:shd w:val="clear" w:color="auto" w:fill="auto"/>
            <w:noWrap w:val="0"/>
            <w:vAlign w:val="top"/>
          </w:tcPr>
          <w:p w14:paraId="7ABAD19D">
            <w:pPr>
              <w:jc w:val="center"/>
              <w:rPr>
                <w:rFonts w:ascii="Times New Roman" w:hAnsi="Times New Roman"/>
                <w:sz w:val="19"/>
                <w:szCs w:val="19"/>
              </w:rPr>
            </w:pPr>
            <w:r>
              <w:rPr>
                <w:rFonts w:ascii="Times New Roman" w:hAnsi="Times New Roman"/>
                <w:sz w:val="19"/>
                <w:szCs w:val="19"/>
              </w:rPr>
              <w:t>20.61</w:t>
            </w:r>
            <w:r>
              <w:rPr>
                <w:rFonts w:hint="eastAsia" w:ascii="Times New Roman" w:hAnsi="Times New Roman"/>
                <w:sz w:val="19"/>
                <w:szCs w:val="19"/>
              </w:rPr>
              <w:t>(</w:t>
            </w:r>
            <w:r>
              <w:rPr>
                <w:rFonts w:ascii="Times New Roman" w:hAnsi="Times New Roman"/>
                <w:sz w:val="19"/>
                <w:szCs w:val="19"/>
              </w:rPr>
              <w:t>17.25,44.26</w:t>
            </w:r>
            <w:r>
              <w:rPr>
                <w:rFonts w:hint="eastAsia" w:ascii="Times New Roman" w:hAnsi="Times New Roman"/>
                <w:sz w:val="19"/>
                <w:szCs w:val="19"/>
              </w:rPr>
              <w:t>)</w:t>
            </w:r>
          </w:p>
        </w:tc>
        <w:tc>
          <w:tcPr>
            <w:tcW w:w="797" w:type="dxa"/>
            <w:tcBorders>
              <w:top w:val="nil"/>
              <w:left w:val="nil"/>
              <w:bottom w:val="nil"/>
              <w:right w:val="nil"/>
            </w:tcBorders>
            <w:shd w:val="clear" w:color="auto" w:fill="auto"/>
            <w:noWrap w:val="0"/>
            <w:vAlign w:val="top"/>
          </w:tcPr>
          <w:p w14:paraId="25A30B7C">
            <w:pPr>
              <w:jc w:val="center"/>
              <w:rPr>
                <w:rFonts w:ascii="Times New Roman" w:hAnsi="Times New Roman"/>
                <w:sz w:val="19"/>
                <w:szCs w:val="19"/>
              </w:rPr>
            </w:pPr>
            <w:r>
              <w:rPr>
                <w:rFonts w:hint="eastAsia" w:ascii="Times New Roman" w:hAnsi="Times New Roman"/>
                <w:sz w:val="19"/>
                <w:szCs w:val="19"/>
              </w:rPr>
              <w:t>8.</w:t>
            </w:r>
            <w:r>
              <w:rPr>
                <w:rFonts w:ascii="Times New Roman" w:hAnsi="Times New Roman"/>
                <w:sz w:val="19"/>
                <w:szCs w:val="19"/>
              </w:rPr>
              <w:t>268</w:t>
            </w:r>
          </w:p>
        </w:tc>
        <w:tc>
          <w:tcPr>
            <w:tcW w:w="798" w:type="dxa"/>
            <w:tcBorders>
              <w:top w:val="nil"/>
              <w:left w:val="nil"/>
              <w:bottom w:val="nil"/>
              <w:right w:val="nil"/>
            </w:tcBorders>
            <w:shd w:val="clear" w:color="auto" w:fill="auto"/>
            <w:noWrap w:val="0"/>
            <w:vAlign w:val="top"/>
          </w:tcPr>
          <w:p w14:paraId="7C73D121">
            <w:pPr>
              <w:jc w:val="center"/>
              <w:rPr>
                <w:rFonts w:ascii="Times New Roman" w:hAnsi="Times New Roman"/>
                <w:color w:val="FF0000"/>
                <w:sz w:val="19"/>
                <w:szCs w:val="19"/>
              </w:rPr>
            </w:pPr>
            <w:r>
              <w:rPr>
                <w:rFonts w:hint="eastAsia" w:ascii="Times New Roman" w:hAnsi="Times New Roman"/>
                <w:color w:val="FF0000"/>
                <w:sz w:val="19"/>
                <w:szCs w:val="19"/>
              </w:rPr>
              <w:t>0.01</w:t>
            </w:r>
            <w:r>
              <w:rPr>
                <w:rFonts w:ascii="Times New Roman" w:hAnsi="Times New Roman"/>
                <w:color w:val="FF0000"/>
                <w:sz w:val="19"/>
                <w:szCs w:val="19"/>
              </w:rPr>
              <w:t>6</w:t>
            </w:r>
          </w:p>
        </w:tc>
      </w:tr>
      <w:tr w14:paraId="4C7031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707" w:type="dxa"/>
            <w:tcBorders>
              <w:top w:val="nil"/>
              <w:left w:val="nil"/>
              <w:bottom w:val="nil"/>
              <w:right w:val="nil"/>
            </w:tcBorders>
            <w:shd w:val="clear" w:color="auto" w:fill="auto"/>
            <w:noWrap w:val="0"/>
            <w:vAlign w:val="top"/>
          </w:tcPr>
          <w:p w14:paraId="611B3B5F">
            <w:pPr>
              <w:jc w:val="center"/>
              <w:rPr>
                <w:rFonts w:ascii="Times New Roman" w:hAnsi="Times New Roman"/>
                <w:sz w:val="19"/>
                <w:szCs w:val="19"/>
              </w:rPr>
            </w:pPr>
            <w:r>
              <w:rPr>
                <w:rFonts w:hint="eastAsia" w:ascii="Times New Roman" w:hAnsi="Times New Roman"/>
                <w:sz w:val="19"/>
                <w:szCs w:val="19"/>
              </w:rPr>
              <w:t>TC</w:t>
            </w:r>
          </w:p>
        </w:tc>
        <w:tc>
          <w:tcPr>
            <w:tcW w:w="1740" w:type="dxa"/>
            <w:tcBorders>
              <w:top w:val="nil"/>
              <w:left w:val="nil"/>
              <w:bottom w:val="nil"/>
              <w:right w:val="nil"/>
            </w:tcBorders>
            <w:shd w:val="clear" w:color="auto" w:fill="auto"/>
            <w:noWrap w:val="0"/>
            <w:vAlign w:val="top"/>
          </w:tcPr>
          <w:p w14:paraId="49BCEAA8">
            <w:pPr>
              <w:jc w:val="center"/>
              <w:rPr>
                <w:rFonts w:ascii="Times New Roman" w:hAnsi="Times New Roman"/>
                <w:sz w:val="19"/>
                <w:szCs w:val="19"/>
              </w:rPr>
            </w:pPr>
            <w:r>
              <w:rPr>
                <w:rFonts w:ascii="Times New Roman" w:hAnsi="Times New Roman"/>
                <w:sz w:val="19"/>
                <w:szCs w:val="19"/>
              </w:rPr>
              <w:t>4.34±0.90</w:t>
            </w:r>
          </w:p>
        </w:tc>
        <w:tc>
          <w:tcPr>
            <w:tcW w:w="1740" w:type="dxa"/>
            <w:tcBorders>
              <w:top w:val="nil"/>
              <w:left w:val="nil"/>
              <w:bottom w:val="nil"/>
              <w:right w:val="nil"/>
            </w:tcBorders>
            <w:shd w:val="clear" w:color="auto" w:fill="auto"/>
            <w:noWrap w:val="0"/>
            <w:vAlign w:val="top"/>
          </w:tcPr>
          <w:p w14:paraId="352C7273">
            <w:pPr>
              <w:jc w:val="center"/>
              <w:rPr>
                <w:rFonts w:ascii="Times New Roman" w:hAnsi="Times New Roman"/>
                <w:sz w:val="19"/>
                <w:szCs w:val="19"/>
              </w:rPr>
            </w:pPr>
            <w:r>
              <w:rPr>
                <w:rFonts w:ascii="Times New Roman" w:hAnsi="Times New Roman"/>
                <w:sz w:val="19"/>
                <w:szCs w:val="19"/>
              </w:rPr>
              <w:t>4.21</w:t>
            </w:r>
            <w:r>
              <w:rPr>
                <w:rFonts w:hint="eastAsia" w:ascii="Times New Roman" w:hAnsi="Times New Roman"/>
                <w:sz w:val="19"/>
                <w:szCs w:val="19"/>
              </w:rPr>
              <w:t>(</w:t>
            </w:r>
            <w:r>
              <w:rPr>
                <w:rFonts w:ascii="Times New Roman" w:hAnsi="Times New Roman"/>
                <w:sz w:val="19"/>
                <w:szCs w:val="19"/>
              </w:rPr>
              <w:t>3.49,4.79</w:t>
            </w:r>
            <w:r>
              <w:rPr>
                <w:rFonts w:hint="eastAsia" w:ascii="Times New Roman" w:hAnsi="Times New Roman"/>
                <w:sz w:val="19"/>
                <w:szCs w:val="19"/>
              </w:rPr>
              <w:t>)</w:t>
            </w:r>
          </w:p>
        </w:tc>
        <w:tc>
          <w:tcPr>
            <w:tcW w:w="1740" w:type="dxa"/>
            <w:tcBorders>
              <w:top w:val="nil"/>
              <w:left w:val="nil"/>
              <w:bottom w:val="nil"/>
              <w:right w:val="nil"/>
            </w:tcBorders>
            <w:shd w:val="clear" w:color="auto" w:fill="auto"/>
            <w:noWrap w:val="0"/>
            <w:vAlign w:val="top"/>
          </w:tcPr>
          <w:p w14:paraId="49B7D92A">
            <w:pPr>
              <w:jc w:val="center"/>
              <w:rPr>
                <w:rFonts w:ascii="Times New Roman" w:hAnsi="Times New Roman"/>
                <w:sz w:val="19"/>
                <w:szCs w:val="19"/>
              </w:rPr>
            </w:pPr>
            <w:r>
              <w:rPr>
                <w:rFonts w:ascii="Times New Roman" w:hAnsi="Times New Roman"/>
                <w:sz w:val="19"/>
                <w:szCs w:val="19"/>
              </w:rPr>
              <w:t>4.72</w:t>
            </w:r>
            <w:r>
              <w:rPr>
                <w:rFonts w:hint="eastAsia" w:ascii="Times New Roman" w:hAnsi="Times New Roman"/>
                <w:sz w:val="19"/>
                <w:szCs w:val="19"/>
              </w:rPr>
              <w:t>(</w:t>
            </w:r>
            <w:r>
              <w:rPr>
                <w:rFonts w:ascii="Times New Roman" w:hAnsi="Times New Roman"/>
                <w:sz w:val="19"/>
                <w:szCs w:val="19"/>
              </w:rPr>
              <w:t>4.27,5.51</w:t>
            </w:r>
            <w:r>
              <w:rPr>
                <w:rFonts w:hint="eastAsia" w:ascii="Times New Roman" w:hAnsi="Times New Roman"/>
                <w:sz w:val="19"/>
                <w:szCs w:val="19"/>
              </w:rPr>
              <w:t>)</w:t>
            </w:r>
          </w:p>
        </w:tc>
        <w:tc>
          <w:tcPr>
            <w:tcW w:w="797" w:type="dxa"/>
            <w:tcBorders>
              <w:top w:val="nil"/>
              <w:left w:val="nil"/>
              <w:bottom w:val="nil"/>
              <w:right w:val="nil"/>
            </w:tcBorders>
            <w:shd w:val="clear" w:color="auto" w:fill="auto"/>
            <w:noWrap w:val="0"/>
            <w:vAlign w:val="top"/>
          </w:tcPr>
          <w:p w14:paraId="71F81E7B">
            <w:pPr>
              <w:jc w:val="center"/>
              <w:rPr>
                <w:rFonts w:ascii="Times New Roman" w:hAnsi="Times New Roman"/>
                <w:sz w:val="19"/>
                <w:szCs w:val="19"/>
              </w:rPr>
            </w:pPr>
            <w:r>
              <w:rPr>
                <w:rFonts w:hint="eastAsia" w:ascii="Times New Roman" w:hAnsi="Times New Roman"/>
                <w:sz w:val="19"/>
                <w:szCs w:val="19"/>
              </w:rPr>
              <w:t>7</w:t>
            </w:r>
            <w:r>
              <w:rPr>
                <w:rFonts w:ascii="Times New Roman" w:hAnsi="Times New Roman"/>
                <w:sz w:val="19"/>
                <w:szCs w:val="19"/>
              </w:rPr>
              <w:t>.038</w:t>
            </w:r>
          </w:p>
        </w:tc>
        <w:tc>
          <w:tcPr>
            <w:tcW w:w="798" w:type="dxa"/>
            <w:tcBorders>
              <w:top w:val="nil"/>
              <w:left w:val="nil"/>
              <w:bottom w:val="nil"/>
              <w:right w:val="nil"/>
            </w:tcBorders>
            <w:shd w:val="clear" w:color="auto" w:fill="auto"/>
            <w:noWrap w:val="0"/>
            <w:vAlign w:val="top"/>
          </w:tcPr>
          <w:p w14:paraId="5783D033">
            <w:pPr>
              <w:jc w:val="center"/>
              <w:rPr>
                <w:rFonts w:ascii="Times New Roman" w:hAnsi="Times New Roman"/>
                <w:color w:val="FF0000"/>
                <w:sz w:val="19"/>
                <w:szCs w:val="19"/>
              </w:rPr>
            </w:pPr>
            <w:r>
              <w:rPr>
                <w:rFonts w:hint="eastAsia" w:ascii="Times New Roman" w:hAnsi="Times New Roman"/>
                <w:color w:val="FF0000"/>
                <w:sz w:val="19"/>
                <w:szCs w:val="19"/>
              </w:rPr>
              <w:t>0.030</w:t>
            </w:r>
          </w:p>
        </w:tc>
      </w:tr>
      <w:tr w14:paraId="5CAD4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707" w:type="dxa"/>
            <w:tcBorders>
              <w:top w:val="nil"/>
              <w:left w:val="nil"/>
              <w:bottom w:val="nil"/>
              <w:right w:val="nil"/>
            </w:tcBorders>
            <w:shd w:val="clear" w:color="auto" w:fill="auto"/>
            <w:noWrap w:val="0"/>
            <w:vAlign w:val="top"/>
          </w:tcPr>
          <w:p w14:paraId="074626A5">
            <w:pPr>
              <w:jc w:val="center"/>
              <w:rPr>
                <w:rFonts w:ascii="Times New Roman" w:hAnsi="Times New Roman"/>
                <w:sz w:val="19"/>
                <w:szCs w:val="19"/>
              </w:rPr>
            </w:pPr>
            <w:r>
              <w:rPr>
                <w:rFonts w:hint="eastAsia" w:ascii="Times New Roman" w:hAnsi="Times New Roman"/>
                <w:sz w:val="19"/>
                <w:szCs w:val="19"/>
              </w:rPr>
              <w:t>HDL</w:t>
            </w:r>
            <w:r>
              <w:rPr>
                <w:rFonts w:ascii="Times New Roman" w:hAnsi="Times New Roman"/>
                <w:sz w:val="19"/>
                <w:szCs w:val="19"/>
              </w:rPr>
              <w:t>-c</w:t>
            </w:r>
          </w:p>
        </w:tc>
        <w:tc>
          <w:tcPr>
            <w:tcW w:w="1740" w:type="dxa"/>
            <w:tcBorders>
              <w:top w:val="nil"/>
              <w:left w:val="nil"/>
              <w:bottom w:val="nil"/>
              <w:right w:val="nil"/>
            </w:tcBorders>
            <w:shd w:val="clear" w:color="auto" w:fill="auto"/>
            <w:noWrap w:val="0"/>
            <w:vAlign w:val="top"/>
          </w:tcPr>
          <w:p w14:paraId="7EEC5859">
            <w:pPr>
              <w:jc w:val="center"/>
              <w:rPr>
                <w:rFonts w:ascii="Times New Roman" w:hAnsi="Times New Roman"/>
                <w:sz w:val="19"/>
                <w:szCs w:val="19"/>
              </w:rPr>
            </w:pPr>
            <w:r>
              <w:rPr>
                <w:rFonts w:ascii="Times New Roman" w:hAnsi="Times New Roman"/>
                <w:sz w:val="19"/>
                <w:szCs w:val="19"/>
              </w:rPr>
              <w:t>1.11</w:t>
            </w:r>
            <w:r>
              <w:rPr>
                <w:rFonts w:hint="eastAsia" w:ascii="Times New Roman" w:hAnsi="Times New Roman"/>
                <w:sz w:val="19"/>
                <w:szCs w:val="19"/>
              </w:rPr>
              <w:t>(</w:t>
            </w:r>
            <w:r>
              <w:rPr>
                <w:rFonts w:ascii="Times New Roman" w:hAnsi="Times New Roman"/>
                <w:sz w:val="19"/>
                <w:szCs w:val="19"/>
              </w:rPr>
              <w:t>0.96,1.23</w:t>
            </w:r>
            <w:r>
              <w:rPr>
                <w:rFonts w:hint="eastAsia" w:ascii="Times New Roman" w:hAnsi="Times New Roman"/>
                <w:sz w:val="19"/>
                <w:szCs w:val="19"/>
              </w:rPr>
              <w:t>)</w:t>
            </w:r>
          </w:p>
        </w:tc>
        <w:tc>
          <w:tcPr>
            <w:tcW w:w="1740" w:type="dxa"/>
            <w:tcBorders>
              <w:top w:val="nil"/>
              <w:left w:val="nil"/>
              <w:bottom w:val="nil"/>
              <w:right w:val="nil"/>
            </w:tcBorders>
            <w:shd w:val="clear" w:color="auto" w:fill="auto"/>
            <w:noWrap w:val="0"/>
            <w:vAlign w:val="top"/>
          </w:tcPr>
          <w:p w14:paraId="154202A4">
            <w:pPr>
              <w:jc w:val="center"/>
              <w:rPr>
                <w:rFonts w:ascii="Times New Roman" w:hAnsi="Times New Roman"/>
                <w:sz w:val="19"/>
                <w:szCs w:val="19"/>
              </w:rPr>
            </w:pPr>
            <w:r>
              <w:rPr>
                <w:rFonts w:ascii="Times New Roman" w:hAnsi="Times New Roman"/>
                <w:sz w:val="19"/>
                <w:szCs w:val="19"/>
              </w:rPr>
              <w:t>1.05</w:t>
            </w:r>
            <w:r>
              <w:rPr>
                <w:rFonts w:hint="eastAsia" w:ascii="Times New Roman" w:hAnsi="Times New Roman"/>
                <w:sz w:val="19"/>
                <w:szCs w:val="19"/>
              </w:rPr>
              <w:t>(</w:t>
            </w:r>
            <w:r>
              <w:rPr>
                <w:rFonts w:ascii="Times New Roman" w:hAnsi="Times New Roman"/>
                <w:sz w:val="19"/>
                <w:szCs w:val="19"/>
              </w:rPr>
              <w:t>0.91,1.23</w:t>
            </w:r>
            <w:r>
              <w:rPr>
                <w:rFonts w:hint="eastAsia" w:ascii="Times New Roman" w:hAnsi="Times New Roman"/>
                <w:sz w:val="19"/>
                <w:szCs w:val="19"/>
              </w:rPr>
              <w:t>)</w:t>
            </w:r>
          </w:p>
        </w:tc>
        <w:tc>
          <w:tcPr>
            <w:tcW w:w="1740" w:type="dxa"/>
            <w:tcBorders>
              <w:top w:val="nil"/>
              <w:left w:val="nil"/>
              <w:bottom w:val="nil"/>
              <w:right w:val="nil"/>
            </w:tcBorders>
            <w:shd w:val="clear" w:color="auto" w:fill="auto"/>
            <w:noWrap w:val="0"/>
            <w:vAlign w:val="top"/>
          </w:tcPr>
          <w:p w14:paraId="6054B1E7">
            <w:pPr>
              <w:jc w:val="center"/>
              <w:rPr>
                <w:rFonts w:ascii="Times New Roman" w:hAnsi="Times New Roman"/>
                <w:sz w:val="19"/>
                <w:szCs w:val="19"/>
              </w:rPr>
            </w:pPr>
            <w:r>
              <w:rPr>
                <w:rFonts w:ascii="Times New Roman" w:hAnsi="Times New Roman"/>
                <w:sz w:val="19"/>
                <w:szCs w:val="19"/>
              </w:rPr>
              <w:t>1.11±0.40</w:t>
            </w:r>
          </w:p>
        </w:tc>
        <w:tc>
          <w:tcPr>
            <w:tcW w:w="797" w:type="dxa"/>
            <w:tcBorders>
              <w:top w:val="nil"/>
              <w:left w:val="nil"/>
              <w:bottom w:val="nil"/>
              <w:right w:val="nil"/>
            </w:tcBorders>
            <w:shd w:val="clear" w:color="auto" w:fill="auto"/>
            <w:noWrap w:val="0"/>
            <w:vAlign w:val="top"/>
          </w:tcPr>
          <w:p w14:paraId="1EBCC4A6">
            <w:pPr>
              <w:jc w:val="center"/>
              <w:rPr>
                <w:rFonts w:ascii="Times New Roman" w:hAnsi="Times New Roman"/>
                <w:sz w:val="19"/>
                <w:szCs w:val="19"/>
              </w:rPr>
            </w:pPr>
            <w:r>
              <w:rPr>
                <w:rFonts w:hint="eastAsia" w:ascii="Times New Roman" w:hAnsi="Times New Roman"/>
                <w:sz w:val="19"/>
                <w:szCs w:val="19"/>
              </w:rPr>
              <w:t>0.5</w:t>
            </w:r>
            <w:r>
              <w:rPr>
                <w:rFonts w:ascii="Times New Roman" w:hAnsi="Times New Roman"/>
                <w:sz w:val="19"/>
                <w:szCs w:val="19"/>
              </w:rPr>
              <w:t>45</w:t>
            </w:r>
          </w:p>
        </w:tc>
        <w:tc>
          <w:tcPr>
            <w:tcW w:w="798" w:type="dxa"/>
            <w:tcBorders>
              <w:top w:val="nil"/>
              <w:left w:val="nil"/>
              <w:bottom w:val="nil"/>
              <w:right w:val="nil"/>
            </w:tcBorders>
            <w:shd w:val="clear" w:color="auto" w:fill="auto"/>
            <w:noWrap w:val="0"/>
            <w:vAlign w:val="top"/>
          </w:tcPr>
          <w:p w14:paraId="544053E7">
            <w:pPr>
              <w:jc w:val="center"/>
              <w:rPr>
                <w:rFonts w:hint="eastAsia" w:ascii="Times New Roman" w:hAnsi="Times New Roman"/>
                <w:sz w:val="19"/>
                <w:szCs w:val="19"/>
              </w:rPr>
            </w:pPr>
            <w:r>
              <w:rPr>
                <w:rFonts w:hint="eastAsia" w:ascii="Times New Roman" w:hAnsi="Times New Roman"/>
                <w:sz w:val="19"/>
                <w:szCs w:val="19"/>
              </w:rPr>
              <w:t>0.7</w:t>
            </w:r>
            <w:r>
              <w:rPr>
                <w:rFonts w:ascii="Times New Roman" w:hAnsi="Times New Roman"/>
                <w:sz w:val="19"/>
                <w:szCs w:val="19"/>
              </w:rPr>
              <w:t>62</w:t>
            </w:r>
          </w:p>
        </w:tc>
      </w:tr>
      <w:tr w14:paraId="16967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707" w:type="dxa"/>
            <w:tcBorders>
              <w:top w:val="nil"/>
              <w:left w:val="nil"/>
              <w:bottom w:val="nil"/>
              <w:right w:val="nil"/>
            </w:tcBorders>
            <w:shd w:val="clear" w:color="auto" w:fill="auto"/>
            <w:noWrap w:val="0"/>
            <w:vAlign w:val="top"/>
          </w:tcPr>
          <w:p w14:paraId="231982D6">
            <w:pPr>
              <w:jc w:val="center"/>
              <w:rPr>
                <w:rFonts w:hint="eastAsia" w:ascii="Times New Roman" w:hAnsi="Times New Roman"/>
                <w:sz w:val="19"/>
                <w:szCs w:val="19"/>
              </w:rPr>
            </w:pPr>
            <w:r>
              <w:rPr>
                <w:rFonts w:hint="eastAsia" w:ascii="Times New Roman" w:hAnsi="Times New Roman"/>
                <w:sz w:val="19"/>
                <w:szCs w:val="19"/>
              </w:rPr>
              <w:t>LDL</w:t>
            </w:r>
            <w:r>
              <w:rPr>
                <w:rFonts w:ascii="Times New Roman" w:hAnsi="Times New Roman"/>
                <w:sz w:val="19"/>
                <w:szCs w:val="19"/>
              </w:rPr>
              <w:t>-c</w:t>
            </w:r>
          </w:p>
        </w:tc>
        <w:tc>
          <w:tcPr>
            <w:tcW w:w="1740" w:type="dxa"/>
            <w:tcBorders>
              <w:top w:val="nil"/>
              <w:left w:val="nil"/>
              <w:bottom w:val="nil"/>
              <w:right w:val="nil"/>
            </w:tcBorders>
            <w:shd w:val="clear" w:color="auto" w:fill="auto"/>
            <w:noWrap w:val="0"/>
            <w:vAlign w:val="top"/>
          </w:tcPr>
          <w:p w14:paraId="23D133E2">
            <w:pPr>
              <w:jc w:val="center"/>
              <w:rPr>
                <w:rFonts w:ascii="Times New Roman" w:hAnsi="Times New Roman"/>
                <w:sz w:val="19"/>
                <w:szCs w:val="19"/>
              </w:rPr>
            </w:pPr>
            <w:r>
              <w:rPr>
                <w:rFonts w:ascii="Times New Roman" w:hAnsi="Times New Roman"/>
                <w:sz w:val="19"/>
                <w:szCs w:val="19"/>
              </w:rPr>
              <w:t>2.60±0.61</w:t>
            </w:r>
          </w:p>
        </w:tc>
        <w:tc>
          <w:tcPr>
            <w:tcW w:w="1740" w:type="dxa"/>
            <w:tcBorders>
              <w:top w:val="nil"/>
              <w:left w:val="nil"/>
              <w:bottom w:val="nil"/>
              <w:right w:val="nil"/>
            </w:tcBorders>
            <w:shd w:val="clear" w:color="auto" w:fill="auto"/>
            <w:noWrap w:val="0"/>
            <w:vAlign w:val="top"/>
          </w:tcPr>
          <w:p w14:paraId="0DAF1035">
            <w:pPr>
              <w:jc w:val="center"/>
              <w:rPr>
                <w:rFonts w:ascii="Times New Roman" w:hAnsi="Times New Roman"/>
                <w:sz w:val="19"/>
                <w:szCs w:val="19"/>
              </w:rPr>
            </w:pPr>
            <w:r>
              <w:rPr>
                <w:rFonts w:ascii="Times New Roman" w:hAnsi="Times New Roman"/>
                <w:sz w:val="19"/>
                <w:szCs w:val="19"/>
              </w:rPr>
              <w:t>2.49</w:t>
            </w:r>
            <w:r>
              <w:rPr>
                <w:rFonts w:hint="eastAsia" w:ascii="Times New Roman" w:hAnsi="Times New Roman"/>
                <w:sz w:val="19"/>
                <w:szCs w:val="19"/>
              </w:rPr>
              <w:t>(</w:t>
            </w:r>
            <w:r>
              <w:rPr>
                <w:rFonts w:ascii="Times New Roman" w:hAnsi="Times New Roman"/>
                <w:sz w:val="19"/>
                <w:szCs w:val="19"/>
              </w:rPr>
              <w:t>2.07,2.85</w:t>
            </w:r>
            <w:r>
              <w:rPr>
                <w:rFonts w:hint="eastAsia" w:ascii="Times New Roman" w:hAnsi="Times New Roman"/>
                <w:sz w:val="19"/>
                <w:szCs w:val="19"/>
              </w:rPr>
              <w:t>)</w:t>
            </w:r>
          </w:p>
        </w:tc>
        <w:tc>
          <w:tcPr>
            <w:tcW w:w="1740" w:type="dxa"/>
            <w:tcBorders>
              <w:top w:val="nil"/>
              <w:left w:val="nil"/>
              <w:bottom w:val="nil"/>
              <w:right w:val="nil"/>
            </w:tcBorders>
            <w:shd w:val="clear" w:color="auto" w:fill="auto"/>
            <w:noWrap w:val="0"/>
            <w:vAlign w:val="top"/>
          </w:tcPr>
          <w:p w14:paraId="7B2AE9E6">
            <w:pPr>
              <w:jc w:val="center"/>
              <w:rPr>
                <w:rFonts w:ascii="Times New Roman" w:hAnsi="Times New Roman"/>
                <w:sz w:val="19"/>
                <w:szCs w:val="19"/>
              </w:rPr>
            </w:pPr>
            <w:r>
              <w:rPr>
                <w:rFonts w:ascii="Times New Roman" w:hAnsi="Times New Roman"/>
                <w:sz w:val="19"/>
                <w:szCs w:val="19"/>
              </w:rPr>
              <w:t>2.88</w:t>
            </w:r>
            <w:r>
              <w:rPr>
                <w:rFonts w:hint="eastAsia" w:ascii="Times New Roman" w:hAnsi="Times New Roman"/>
                <w:sz w:val="19"/>
                <w:szCs w:val="19"/>
              </w:rPr>
              <w:t>(</w:t>
            </w:r>
            <w:r>
              <w:rPr>
                <w:rFonts w:ascii="Times New Roman" w:hAnsi="Times New Roman"/>
                <w:sz w:val="19"/>
                <w:szCs w:val="19"/>
              </w:rPr>
              <w:t>2.46,3.55</w:t>
            </w:r>
            <w:r>
              <w:rPr>
                <w:rFonts w:hint="eastAsia" w:ascii="Times New Roman" w:hAnsi="Times New Roman"/>
                <w:sz w:val="19"/>
                <w:szCs w:val="19"/>
              </w:rPr>
              <w:t>)</w:t>
            </w:r>
          </w:p>
        </w:tc>
        <w:tc>
          <w:tcPr>
            <w:tcW w:w="797" w:type="dxa"/>
            <w:tcBorders>
              <w:top w:val="nil"/>
              <w:left w:val="nil"/>
              <w:bottom w:val="nil"/>
              <w:right w:val="nil"/>
            </w:tcBorders>
            <w:shd w:val="clear" w:color="auto" w:fill="auto"/>
            <w:noWrap w:val="0"/>
            <w:vAlign w:val="top"/>
          </w:tcPr>
          <w:p w14:paraId="42458A3B">
            <w:pPr>
              <w:jc w:val="center"/>
              <w:rPr>
                <w:rFonts w:ascii="Times New Roman" w:hAnsi="Times New Roman"/>
                <w:sz w:val="19"/>
                <w:szCs w:val="19"/>
              </w:rPr>
            </w:pPr>
            <w:r>
              <w:rPr>
                <w:rFonts w:hint="eastAsia" w:ascii="Times New Roman" w:hAnsi="Times New Roman"/>
                <w:sz w:val="19"/>
                <w:szCs w:val="19"/>
              </w:rPr>
              <w:t>8.204</w:t>
            </w:r>
          </w:p>
        </w:tc>
        <w:tc>
          <w:tcPr>
            <w:tcW w:w="798" w:type="dxa"/>
            <w:tcBorders>
              <w:top w:val="nil"/>
              <w:left w:val="nil"/>
              <w:bottom w:val="nil"/>
              <w:right w:val="nil"/>
            </w:tcBorders>
            <w:shd w:val="clear" w:color="auto" w:fill="auto"/>
            <w:noWrap w:val="0"/>
            <w:vAlign w:val="top"/>
          </w:tcPr>
          <w:p w14:paraId="433BEFD9">
            <w:pPr>
              <w:jc w:val="center"/>
              <w:rPr>
                <w:rFonts w:ascii="Times New Roman" w:hAnsi="Times New Roman"/>
                <w:color w:val="FF0000"/>
                <w:sz w:val="19"/>
                <w:szCs w:val="19"/>
              </w:rPr>
            </w:pPr>
            <w:r>
              <w:rPr>
                <w:rFonts w:hint="eastAsia" w:ascii="Times New Roman" w:hAnsi="Times New Roman"/>
                <w:color w:val="FF0000"/>
                <w:sz w:val="19"/>
                <w:szCs w:val="19"/>
              </w:rPr>
              <w:t>0.017</w:t>
            </w:r>
          </w:p>
        </w:tc>
      </w:tr>
      <w:tr w14:paraId="15F5ED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707" w:type="dxa"/>
            <w:tcBorders>
              <w:top w:val="nil"/>
              <w:left w:val="nil"/>
              <w:bottom w:val="single" w:color="auto" w:sz="4" w:space="0"/>
              <w:right w:val="nil"/>
            </w:tcBorders>
            <w:shd w:val="clear" w:color="auto" w:fill="auto"/>
            <w:noWrap w:val="0"/>
            <w:vAlign w:val="top"/>
          </w:tcPr>
          <w:p w14:paraId="4A8DADED">
            <w:pPr>
              <w:jc w:val="center"/>
              <w:rPr>
                <w:rFonts w:hint="eastAsia" w:ascii="Times New Roman" w:hAnsi="Times New Roman"/>
                <w:sz w:val="19"/>
                <w:szCs w:val="19"/>
              </w:rPr>
            </w:pPr>
            <w:r>
              <w:rPr>
                <w:rFonts w:ascii="Times New Roman" w:hAnsi="Times New Roman"/>
                <w:sz w:val="19"/>
                <w:szCs w:val="19"/>
              </w:rPr>
              <w:t>Triglyceride</w:t>
            </w:r>
          </w:p>
        </w:tc>
        <w:tc>
          <w:tcPr>
            <w:tcW w:w="1740" w:type="dxa"/>
            <w:tcBorders>
              <w:top w:val="nil"/>
              <w:left w:val="nil"/>
              <w:bottom w:val="single" w:color="auto" w:sz="4" w:space="0"/>
              <w:right w:val="nil"/>
            </w:tcBorders>
            <w:shd w:val="clear" w:color="auto" w:fill="auto"/>
            <w:noWrap w:val="0"/>
            <w:vAlign w:val="top"/>
          </w:tcPr>
          <w:p w14:paraId="3258CC5D">
            <w:pPr>
              <w:jc w:val="center"/>
              <w:rPr>
                <w:rFonts w:ascii="Times New Roman" w:hAnsi="Times New Roman"/>
                <w:sz w:val="19"/>
                <w:szCs w:val="19"/>
              </w:rPr>
            </w:pPr>
            <w:r>
              <w:rPr>
                <w:rFonts w:ascii="Times New Roman" w:hAnsi="Times New Roman"/>
                <w:sz w:val="19"/>
                <w:szCs w:val="19"/>
              </w:rPr>
              <w:t>1.55</w:t>
            </w:r>
            <w:r>
              <w:rPr>
                <w:rFonts w:hint="eastAsia" w:ascii="Times New Roman" w:hAnsi="Times New Roman"/>
                <w:sz w:val="19"/>
                <w:szCs w:val="19"/>
              </w:rPr>
              <w:t>(</w:t>
            </w:r>
            <w:r>
              <w:rPr>
                <w:rFonts w:ascii="Times New Roman" w:hAnsi="Times New Roman"/>
                <w:sz w:val="19"/>
                <w:szCs w:val="19"/>
              </w:rPr>
              <w:t>1.11,15.00</w:t>
            </w:r>
            <w:r>
              <w:rPr>
                <w:rFonts w:hint="eastAsia" w:ascii="Times New Roman" w:hAnsi="Times New Roman"/>
                <w:sz w:val="19"/>
                <w:szCs w:val="19"/>
              </w:rPr>
              <w:t>)</w:t>
            </w:r>
          </w:p>
        </w:tc>
        <w:tc>
          <w:tcPr>
            <w:tcW w:w="1740" w:type="dxa"/>
            <w:tcBorders>
              <w:top w:val="nil"/>
              <w:left w:val="nil"/>
              <w:bottom w:val="single" w:color="auto" w:sz="4" w:space="0"/>
              <w:right w:val="nil"/>
            </w:tcBorders>
            <w:shd w:val="clear" w:color="auto" w:fill="auto"/>
            <w:noWrap w:val="0"/>
            <w:vAlign w:val="top"/>
          </w:tcPr>
          <w:p w14:paraId="2B462C1E">
            <w:pPr>
              <w:jc w:val="center"/>
              <w:rPr>
                <w:rFonts w:ascii="Times New Roman" w:hAnsi="Times New Roman"/>
                <w:sz w:val="19"/>
                <w:szCs w:val="19"/>
              </w:rPr>
            </w:pPr>
            <w:r>
              <w:rPr>
                <w:rFonts w:ascii="Times New Roman" w:hAnsi="Times New Roman"/>
                <w:sz w:val="19"/>
                <w:szCs w:val="19"/>
              </w:rPr>
              <w:t>1.49</w:t>
            </w:r>
            <w:r>
              <w:rPr>
                <w:rFonts w:hint="eastAsia" w:ascii="Times New Roman" w:hAnsi="Times New Roman"/>
                <w:sz w:val="19"/>
                <w:szCs w:val="19"/>
              </w:rPr>
              <w:t>(</w:t>
            </w:r>
            <w:r>
              <w:rPr>
                <w:rFonts w:ascii="Times New Roman" w:hAnsi="Times New Roman"/>
                <w:sz w:val="19"/>
                <w:szCs w:val="19"/>
              </w:rPr>
              <w:t>0.94,12.77</w:t>
            </w:r>
            <w:r>
              <w:rPr>
                <w:rFonts w:hint="eastAsia" w:ascii="Times New Roman" w:hAnsi="Times New Roman"/>
                <w:sz w:val="19"/>
                <w:szCs w:val="19"/>
              </w:rPr>
              <w:t>)</w:t>
            </w:r>
          </w:p>
        </w:tc>
        <w:tc>
          <w:tcPr>
            <w:tcW w:w="1740" w:type="dxa"/>
            <w:tcBorders>
              <w:top w:val="nil"/>
              <w:left w:val="nil"/>
              <w:bottom w:val="single" w:color="auto" w:sz="4" w:space="0"/>
              <w:right w:val="nil"/>
            </w:tcBorders>
            <w:shd w:val="clear" w:color="auto" w:fill="auto"/>
            <w:noWrap w:val="0"/>
            <w:vAlign w:val="top"/>
          </w:tcPr>
          <w:p w14:paraId="74F6BF2B">
            <w:pPr>
              <w:jc w:val="center"/>
              <w:rPr>
                <w:rFonts w:ascii="Times New Roman" w:hAnsi="Times New Roman"/>
                <w:sz w:val="19"/>
                <w:szCs w:val="19"/>
              </w:rPr>
            </w:pPr>
            <w:r>
              <w:rPr>
                <w:rFonts w:ascii="Times New Roman" w:hAnsi="Times New Roman"/>
                <w:sz w:val="19"/>
                <w:szCs w:val="19"/>
              </w:rPr>
              <w:t>1.54</w:t>
            </w:r>
            <w:r>
              <w:rPr>
                <w:rFonts w:hint="eastAsia" w:ascii="Times New Roman" w:hAnsi="Times New Roman"/>
                <w:sz w:val="19"/>
                <w:szCs w:val="19"/>
              </w:rPr>
              <w:t>(</w:t>
            </w:r>
            <w:r>
              <w:rPr>
                <w:rFonts w:ascii="Times New Roman" w:hAnsi="Times New Roman"/>
                <w:sz w:val="19"/>
                <w:szCs w:val="19"/>
              </w:rPr>
              <w:t>1.05,2.67</w:t>
            </w:r>
            <w:r>
              <w:rPr>
                <w:rFonts w:hint="eastAsia" w:ascii="Times New Roman" w:hAnsi="Times New Roman"/>
                <w:sz w:val="19"/>
                <w:szCs w:val="19"/>
              </w:rPr>
              <w:t>)</w:t>
            </w:r>
          </w:p>
        </w:tc>
        <w:tc>
          <w:tcPr>
            <w:tcW w:w="797" w:type="dxa"/>
            <w:tcBorders>
              <w:top w:val="nil"/>
              <w:left w:val="nil"/>
              <w:bottom w:val="single" w:color="auto" w:sz="4" w:space="0"/>
              <w:right w:val="nil"/>
            </w:tcBorders>
            <w:shd w:val="clear" w:color="auto" w:fill="auto"/>
            <w:noWrap w:val="0"/>
            <w:vAlign w:val="top"/>
          </w:tcPr>
          <w:p w14:paraId="2F9044A7">
            <w:pPr>
              <w:jc w:val="center"/>
              <w:rPr>
                <w:rFonts w:ascii="Times New Roman" w:hAnsi="Times New Roman"/>
                <w:sz w:val="19"/>
                <w:szCs w:val="19"/>
              </w:rPr>
            </w:pPr>
            <w:r>
              <w:rPr>
                <w:rFonts w:hint="eastAsia" w:ascii="Times New Roman" w:hAnsi="Times New Roman"/>
                <w:sz w:val="19"/>
                <w:szCs w:val="19"/>
              </w:rPr>
              <w:t>0.254</w:t>
            </w:r>
          </w:p>
        </w:tc>
        <w:tc>
          <w:tcPr>
            <w:tcW w:w="798" w:type="dxa"/>
            <w:tcBorders>
              <w:top w:val="nil"/>
              <w:left w:val="nil"/>
              <w:bottom w:val="single" w:color="auto" w:sz="4" w:space="0"/>
              <w:right w:val="nil"/>
            </w:tcBorders>
            <w:shd w:val="clear" w:color="auto" w:fill="auto"/>
            <w:noWrap w:val="0"/>
            <w:vAlign w:val="top"/>
          </w:tcPr>
          <w:p w14:paraId="1BA9AFD1">
            <w:pPr>
              <w:jc w:val="center"/>
              <w:rPr>
                <w:rFonts w:ascii="Times New Roman" w:hAnsi="Times New Roman"/>
                <w:sz w:val="19"/>
                <w:szCs w:val="19"/>
              </w:rPr>
            </w:pPr>
            <w:r>
              <w:rPr>
                <w:rFonts w:hint="eastAsia" w:ascii="Times New Roman" w:hAnsi="Times New Roman"/>
                <w:sz w:val="19"/>
                <w:szCs w:val="19"/>
              </w:rPr>
              <w:t>0.881</w:t>
            </w:r>
          </w:p>
        </w:tc>
      </w:tr>
    </w:tbl>
    <w:p w14:paraId="38AC5495">
      <w:pPr>
        <w:rPr>
          <w:rFonts w:ascii="Times New Roman" w:hAnsi="Times New Roman"/>
          <w:b/>
          <w:bCs/>
        </w:rPr>
      </w:pPr>
    </w:p>
    <w:p w14:paraId="0B1F3932">
      <w:pPr>
        <w:rPr>
          <w:rFonts w:ascii="Times New Roman" w:hAnsi="Times New Roman"/>
          <w:b/>
          <w:bCs/>
        </w:rPr>
      </w:pPr>
    </w:p>
    <w:p w14:paraId="63D705FF">
      <w:pPr>
        <w:rPr>
          <w:rFonts w:hint="eastAsia" w:ascii="Times New Roman" w:hAnsi="Times New Roman"/>
          <w:b/>
          <w:bCs/>
        </w:rPr>
      </w:pPr>
    </w:p>
    <w:p w14:paraId="4DA24E03">
      <w:pPr>
        <w:jc w:val="center"/>
        <w:rPr>
          <w:rFonts w:hint="eastAsia" w:ascii="Times New Roman" w:hAnsi="Times New Roman"/>
          <w:b/>
          <w:bCs/>
          <w:sz w:val="24"/>
          <w:szCs w:val="24"/>
        </w:rPr>
      </w:pPr>
      <w:r>
        <w:rPr>
          <w:rFonts w:ascii="Times New Roman" w:hAnsi="Times New Roman"/>
          <w:b/>
          <w:bCs/>
        </w:rPr>
        <w:t xml:space="preserve">Table </w:t>
      </w:r>
      <w:r>
        <w:rPr>
          <w:rFonts w:hint="eastAsia" w:ascii="Times New Roman" w:hAnsi="Times New Roman"/>
          <w:b/>
          <w:bCs/>
        </w:rPr>
        <w:t>3</w:t>
      </w:r>
      <w:r>
        <w:rPr>
          <w:rFonts w:ascii="Times New Roman" w:hAnsi="Times New Roman"/>
          <w:b/>
          <w:bCs/>
        </w:rPr>
        <w:t>. P value of</w:t>
      </w:r>
      <w:r>
        <w:rPr>
          <w:rFonts w:hint="eastAsia" w:ascii="Times New Roman" w:hAnsi="Times New Roman"/>
          <w:b/>
          <w:bCs/>
        </w:rPr>
        <w:t xml:space="preserve"> </w:t>
      </w:r>
      <w:r>
        <w:rPr>
          <w:rFonts w:ascii="Times New Roman" w:hAnsi="Times New Roman"/>
          <w:b/>
          <w:bCs/>
        </w:rPr>
        <w:t>significant characteristics of pNETs patients with different pathological grades</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6"/>
        <w:gridCol w:w="1117"/>
        <w:gridCol w:w="1116"/>
        <w:gridCol w:w="1117"/>
      </w:tblGrid>
      <w:tr w14:paraId="2E5BF5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16" w:type="dxa"/>
            <w:tcBorders>
              <w:top w:val="single" w:color="auto" w:sz="4" w:space="0"/>
              <w:left w:val="nil"/>
              <w:bottom w:val="single" w:color="auto" w:sz="4" w:space="0"/>
              <w:right w:val="nil"/>
            </w:tcBorders>
            <w:shd w:val="clear" w:color="auto" w:fill="auto"/>
            <w:noWrap w:val="0"/>
            <w:vAlign w:val="top"/>
          </w:tcPr>
          <w:p w14:paraId="53E18ECF">
            <w:pPr>
              <w:jc w:val="center"/>
              <w:rPr>
                <w:rFonts w:ascii="Times New Roman" w:hAnsi="Times New Roman"/>
                <w:szCs w:val="21"/>
              </w:rPr>
            </w:pPr>
            <w:r>
              <w:rPr>
                <w:rFonts w:ascii="Times New Roman" w:hAnsi="Times New Roman"/>
                <w:szCs w:val="21"/>
              </w:rPr>
              <w:t>P</w:t>
            </w:r>
          </w:p>
        </w:tc>
        <w:tc>
          <w:tcPr>
            <w:tcW w:w="1117" w:type="dxa"/>
            <w:tcBorders>
              <w:top w:val="single" w:color="auto" w:sz="4" w:space="0"/>
              <w:left w:val="nil"/>
              <w:bottom w:val="single" w:color="auto" w:sz="4" w:space="0"/>
              <w:right w:val="nil"/>
            </w:tcBorders>
            <w:shd w:val="clear" w:color="auto" w:fill="auto"/>
            <w:noWrap w:val="0"/>
            <w:vAlign w:val="top"/>
          </w:tcPr>
          <w:p w14:paraId="7367440E">
            <w:pPr>
              <w:jc w:val="center"/>
              <w:rPr>
                <w:rFonts w:ascii="Times New Roman" w:hAnsi="Times New Roman"/>
                <w:szCs w:val="21"/>
              </w:rPr>
            </w:pPr>
            <w:r>
              <w:rPr>
                <w:rFonts w:ascii="Times New Roman" w:hAnsi="Times New Roman"/>
                <w:szCs w:val="21"/>
              </w:rPr>
              <w:t>G1 vs G2</w:t>
            </w:r>
          </w:p>
        </w:tc>
        <w:tc>
          <w:tcPr>
            <w:tcW w:w="1116" w:type="dxa"/>
            <w:tcBorders>
              <w:top w:val="single" w:color="auto" w:sz="4" w:space="0"/>
              <w:left w:val="nil"/>
              <w:bottom w:val="single" w:color="auto" w:sz="4" w:space="0"/>
              <w:right w:val="nil"/>
            </w:tcBorders>
            <w:shd w:val="clear" w:color="auto" w:fill="auto"/>
            <w:noWrap w:val="0"/>
            <w:vAlign w:val="top"/>
          </w:tcPr>
          <w:p w14:paraId="3F694A80">
            <w:pPr>
              <w:jc w:val="center"/>
              <w:rPr>
                <w:rFonts w:ascii="Times New Roman" w:hAnsi="Times New Roman"/>
                <w:szCs w:val="21"/>
              </w:rPr>
            </w:pPr>
            <w:r>
              <w:rPr>
                <w:rFonts w:ascii="Times New Roman" w:hAnsi="Times New Roman"/>
                <w:szCs w:val="21"/>
              </w:rPr>
              <w:t>G1 vs G3</w:t>
            </w:r>
          </w:p>
        </w:tc>
        <w:tc>
          <w:tcPr>
            <w:tcW w:w="1117" w:type="dxa"/>
            <w:tcBorders>
              <w:top w:val="single" w:color="auto" w:sz="4" w:space="0"/>
              <w:left w:val="nil"/>
              <w:bottom w:val="single" w:color="auto" w:sz="4" w:space="0"/>
              <w:right w:val="nil"/>
            </w:tcBorders>
            <w:noWrap w:val="0"/>
            <w:vAlign w:val="top"/>
          </w:tcPr>
          <w:p w14:paraId="69CF386B">
            <w:pPr>
              <w:jc w:val="center"/>
              <w:rPr>
                <w:rFonts w:hint="eastAsia" w:ascii="Times New Roman" w:hAnsi="Times New Roman"/>
                <w:szCs w:val="21"/>
              </w:rPr>
            </w:pPr>
            <w:r>
              <w:rPr>
                <w:rFonts w:ascii="Times New Roman" w:hAnsi="Times New Roman"/>
                <w:szCs w:val="21"/>
              </w:rPr>
              <w:t xml:space="preserve">G2 vs </w:t>
            </w:r>
            <w:r>
              <w:rPr>
                <w:rFonts w:hint="eastAsia" w:ascii="Times New Roman" w:hAnsi="Times New Roman"/>
                <w:szCs w:val="21"/>
              </w:rPr>
              <w:t>G3</w:t>
            </w:r>
          </w:p>
        </w:tc>
      </w:tr>
      <w:tr w14:paraId="01AD2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16" w:type="dxa"/>
            <w:tcBorders>
              <w:top w:val="single" w:color="auto" w:sz="4" w:space="0"/>
              <w:left w:val="nil"/>
              <w:bottom w:val="nil"/>
              <w:right w:val="nil"/>
            </w:tcBorders>
            <w:shd w:val="clear" w:color="auto" w:fill="auto"/>
            <w:noWrap w:val="0"/>
            <w:vAlign w:val="top"/>
          </w:tcPr>
          <w:p w14:paraId="1931FB45">
            <w:pPr>
              <w:jc w:val="center"/>
              <w:rPr>
                <w:rFonts w:ascii="Times New Roman" w:hAnsi="Times New Roman"/>
                <w:szCs w:val="21"/>
              </w:rPr>
            </w:pPr>
            <w:r>
              <w:rPr>
                <w:rFonts w:ascii="Times New Roman" w:hAnsi="Times New Roman"/>
                <w:szCs w:val="21"/>
              </w:rPr>
              <w:t>Metastasis</w:t>
            </w:r>
          </w:p>
        </w:tc>
        <w:tc>
          <w:tcPr>
            <w:tcW w:w="1117" w:type="dxa"/>
            <w:tcBorders>
              <w:top w:val="single" w:color="auto" w:sz="4" w:space="0"/>
              <w:left w:val="nil"/>
              <w:bottom w:val="nil"/>
              <w:right w:val="nil"/>
            </w:tcBorders>
            <w:shd w:val="clear" w:color="auto" w:fill="auto"/>
            <w:noWrap w:val="0"/>
            <w:vAlign w:val="top"/>
          </w:tcPr>
          <w:p w14:paraId="5428DD79">
            <w:pPr>
              <w:jc w:val="center"/>
              <w:rPr>
                <w:rFonts w:ascii="Times New Roman" w:hAnsi="Times New Roman"/>
                <w:szCs w:val="21"/>
              </w:rPr>
            </w:pPr>
            <w:r>
              <w:rPr>
                <w:rFonts w:ascii="Times New Roman" w:hAnsi="Times New Roman"/>
                <w:color w:val="FF0000"/>
                <w:szCs w:val="21"/>
              </w:rPr>
              <w:t>&lt;0.001</w:t>
            </w:r>
          </w:p>
        </w:tc>
        <w:tc>
          <w:tcPr>
            <w:tcW w:w="1116" w:type="dxa"/>
            <w:tcBorders>
              <w:top w:val="single" w:color="auto" w:sz="4" w:space="0"/>
              <w:left w:val="nil"/>
              <w:bottom w:val="nil"/>
              <w:right w:val="nil"/>
            </w:tcBorders>
            <w:shd w:val="clear" w:color="auto" w:fill="auto"/>
            <w:noWrap w:val="0"/>
            <w:vAlign w:val="top"/>
          </w:tcPr>
          <w:p w14:paraId="0CD21303">
            <w:pPr>
              <w:jc w:val="center"/>
              <w:rPr>
                <w:rFonts w:ascii="Times New Roman" w:hAnsi="Times New Roman"/>
                <w:szCs w:val="21"/>
              </w:rPr>
            </w:pPr>
            <w:r>
              <w:rPr>
                <w:rFonts w:ascii="Times New Roman" w:hAnsi="Times New Roman"/>
                <w:color w:val="FF0000"/>
                <w:szCs w:val="21"/>
              </w:rPr>
              <w:t>&lt;0.001</w:t>
            </w:r>
          </w:p>
        </w:tc>
        <w:tc>
          <w:tcPr>
            <w:tcW w:w="1117" w:type="dxa"/>
            <w:tcBorders>
              <w:top w:val="single" w:color="auto" w:sz="4" w:space="0"/>
              <w:left w:val="nil"/>
              <w:bottom w:val="nil"/>
              <w:right w:val="nil"/>
            </w:tcBorders>
            <w:noWrap w:val="0"/>
            <w:vAlign w:val="top"/>
          </w:tcPr>
          <w:p w14:paraId="701FEFD7">
            <w:pPr>
              <w:jc w:val="center"/>
              <w:rPr>
                <w:rFonts w:ascii="Times New Roman" w:hAnsi="Times New Roman"/>
                <w:szCs w:val="21"/>
              </w:rPr>
            </w:pPr>
            <w:r>
              <w:rPr>
                <w:rFonts w:ascii="Times New Roman" w:hAnsi="Times New Roman"/>
                <w:color w:val="FF0000"/>
                <w:szCs w:val="21"/>
              </w:rPr>
              <w:t>&lt;0.001</w:t>
            </w:r>
          </w:p>
        </w:tc>
      </w:tr>
      <w:tr w14:paraId="3145BE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16" w:type="dxa"/>
            <w:tcBorders>
              <w:top w:val="nil"/>
              <w:left w:val="nil"/>
              <w:bottom w:val="nil"/>
              <w:right w:val="nil"/>
            </w:tcBorders>
            <w:shd w:val="clear" w:color="auto" w:fill="auto"/>
            <w:noWrap w:val="0"/>
            <w:vAlign w:val="top"/>
          </w:tcPr>
          <w:p w14:paraId="2C620CEB">
            <w:pPr>
              <w:jc w:val="center"/>
              <w:rPr>
                <w:rFonts w:ascii="Times New Roman" w:hAnsi="Times New Roman"/>
                <w:szCs w:val="21"/>
              </w:rPr>
            </w:pPr>
            <w:r>
              <w:rPr>
                <w:rFonts w:ascii="Times New Roman" w:hAnsi="Times New Roman"/>
                <w:szCs w:val="21"/>
              </w:rPr>
              <w:t>CEA</w:t>
            </w:r>
          </w:p>
        </w:tc>
        <w:tc>
          <w:tcPr>
            <w:tcW w:w="1117" w:type="dxa"/>
            <w:tcBorders>
              <w:top w:val="nil"/>
              <w:left w:val="nil"/>
              <w:bottom w:val="nil"/>
              <w:right w:val="nil"/>
            </w:tcBorders>
            <w:shd w:val="clear" w:color="auto" w:fill="auto"/>
            <w:noWrap w:val="0"/>
            <w:vAlign w:val="top"/>
          </w:tcPr>
          <w:p w14:paraId="0A7571C6">
            <w:pPr>
              <w:jc w:val="center"/>
              <w:rPr>
                <w:rFonts w:ascii="Times New Roman" w:hAnsi="Times New Roman"/>
                <w:szCs w:val="21"/>
              </w:rPr>
            </w:pPr>
            <w:r>
              <w:rPr>
                <w:rFonts w:ascii="Times New Roman" w:hAnsi="Times New Roman"/>
                <w:szCs w:val="21"/>
              </w:rPr>
              <w:t>1.000</w:t>
            </w:r>
          </w:p>
        </w:tc>
        <w:tc>
          <w:tcPr>
            <w:tcW w:w="1116" w:type="dxa"/>
            <w:tcBorders>
              <w:top w:val="nil"/>
              <w:left w:val="nil"/>
              <w:bottom w:val="nil"/>
              <w:right w:val="nil"/>
            </w:tcBorders>
            <w:shd w:val="clear" w:color="auto" w:fill="auto"/>
            <w:noWrap w:val="0"/>
            <w:vAlign w:val="top"/>
          </w:tcPr>
          <w:p w14:paraId="0072F531">
            <w:pPr>
              <w:jc w:val="center"/>
              <w:rPr>
                <w:rFonts w:ascii="Times New Roman" w:hAnsi="Times New Roman"/>
                <w:szCs w:val="21"/>
              </w:rPr>
            </w:pPr>
            <w:r>
              <w:rPr>
                <w:rFonts w:ascii="Times New Roman" w:hAnsi="Times New Roman"/>
                <w:color w:val="FF0000"/>
                <w:szCs w:val="21"/>
              </w:rPr>
              <w:t>0.032</w:t>
            </w:r>
          </w:p>
        </w:tc>
        <w:tc>
          <w:tcPr>
            <w:tcW w:w="1117" w:type="dxa"/>
            <w:tcBorders>
              <w:top w:val="nil"/>
              <w:left w:val="nil"/>
              <w:bottom w:val="nil"/>
              <w:right w:val="nil"/>
            </w:tcBorders>
            <w:noWrap w:val="0"/>
            <w:vAlign w:val="top"/>
          </w:tcPr>
          <w:p w14:paraId="2A049149">
            <w:pPr>
              <w:jc w:val="center"/>
              <w:rPr>
                <w:rFonts w:ascii="Times New Roman" w:hAnsi="Times New Roman"/>
                <w:szCs w:val="21"/>
              </w:rPr>
            </w:pPr>
            <w:r>
              <w:rPr>
                <w:rFonts w:hint="eastAsia" w:ascii="Times New Roman" w:hAnsi="Times New Roman"/>
                <w:color w:val="FF0000"/>
                <w:szCs w:val="21"/>
              </w:rPr>
              <w:t>0.041</w:t>
            </w:r>
          </w:p>
        </w:tc>
      </w:tr>
      <w:tr w14:paraId="6780DB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16" w:type="dxa"/>
            <w:tcBorders>
              <w:top w:val="nil"/>
              <w:left w:val="nil"/>
              <w:bottom w:val="nil"/>
              <w:right w:val="nil"/>
            </w:tcBorders>
            <w:shd w:val="clear" w:color="auto" w:fill="auto"/>
            <w:noWrap w:val="0"/>
            <w:vAlign w:val="top"/>
          </w:tcPr>
          <w:p w14:paraId="2E3501C2">
            <w:pPr>
              <w:jc w:val="center"/>
              <w:rPr>
                <w:rFonts w:ascii="Times New Roman" w:hAnsi="Times New Roman"/>
                <w:szCs w:val="21"/>
              </w:rPr>
            </w:pPr>
            <w:r>
              <w:rPr>
                <w:rFonts w:ascii="Times New Roman" w:hAnsi="Times New Roman"/>
                <w:szCs w:val="21"/>
              </w:rPr>
              <w:t>CA199</w:t>
            </w:r>
          </w:p>
        </w:tc>
        <w:tc>
          <w:tcPr>
            <w:tcW w:w="1117" w:type="dxa"/>
            <w:tcBorders>
              <w:top w:val="nil"/>
              <w:left w:val="nil"/>
              <w:bottom w:val="nil"/>
              <w:right w:val="nil"/>
            </w:tcBorders>
            <w:shd w:val="clear" w:color="auto" w:fill="auto"/>
            <w:noWrap w:val="0"/>
            <w:vAlign w:val="top"/>
          </w:tcPr>
          <w:p w14:paraId="6D27975A">
            <w:pPr>
              <w:jc w:val="center"/>
              <w:rPr>
                <w:rFonts w:ascii="Times New Roman" w:hAnsi="Times New Roman"/>
                <w:szCs w:val="21"/>
              </w:rPr>
            </w:pPr>
            <w:r>
              <w:rPr>
                <w:rFonts w:ascii="Times New Roman" w:hAnsi="Times New Roman"/>
                <w:szCs w:val="21"/>
              </w:rPr>
              <w:t>0.114</w:t>
            </w:r>
          </w:p>
        </w:tc>
        <w:tc>
          <w:tcPr>
            <w:tcW w:w="1116" w:type="dxa"/>
            <w:tcBorders>
              <w:top w:val="nil"/>
              <w:left w:val="nil"/>
              <w:bottom w:val="nil"/>
              <w:right w:val="nil"/>
            </w:tcBorders>
            <w:shd w:val="clear" w:color="auto" w:fill="auto"/>
            <w:noWrap w:val="0"/>
            <w:vAlign w:val="top"/>
          </w:tcPr>
          <w:p w14:paraId="6F0098E3">
            <w:pPr>
              <w:jc w:val="center"/>
              <w:rPr>
                <w:rFonts w:ascii="Times New Roman" w:hAnsi="Times New Roman"/>
                <w:color w:val="FF0000"/>
                <w:szCs w:val="21"/>
              </w:rPr>
            </w:pPr>
            <w:r>
              <w:rPr>
                <w:rFonts w:ascii="Times New Roman" w:hAnsi="Times New Roman"/>
                <w:color w:val="FF0000"/>
                <w:szCs w:val="21"/>
              </w:rPr>
              <w:t>&lt;0.001</w:t>
            </w:r>
          </w:p>
        </w:tc>
        <w:tc>
          <w:tcPr>
            <w:tcW w:w="1117" w:type="dxa"/>
            <w:tcBorders>
              <w:top w:val="nil"/>
              <w:left w:val="nil"/>
              <w:bottom w:val="nil"/>
              <w:right w:val="nil"/>
            </w:tcBorders>
            <w:noWrap w:val="0"/>
            <w:vAlign w:val="top"/>
          </w:tcPr>
          <w:p w14:paraId="470D12A7">
            <w:pPr>
              <w:jc w:val="center"/>
              <w:rPr>
                <w:rFonts w:ascii="Times New Roman" w:hAnsi="Times New Roman"/>
                <w:color w:val="FF0000"/>
                <w:szCs w:val="21"/>
              </w:rPr>
            </w:pPr>
            <w:r>
              <w:rPr>
                <w:rFonts w:hint="eastAsia" w:ascii="Times New Roman" w:hAnsi="Times New Roman"/>
                <w:color w:val="FF0000"/>
                <w:szCs w:val="21"/>
              </w:rPr>
              <w:t>0.009</w:t>
            </w:r>
          </w:p>
        </w:tc>
      </w:tr>
      <w:tr w14:paraId="20EDE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16" w:type="dxa"/>
            <w:tcBorders>
              <w:top w:val="nil"/>
              <w:left w:val="nil"/>
              <w:bottom w:val="nil"/>
              <w:right w:val="nil"/>
            </w:tcBorders>
            <w:shd w:val="clear" w:color="auto" w:fill="auto"/>
            <w:noWrap w:val="0"/>
            <w:vAlign w:val="top"/>
          </w:tcPr>
          <w:p w14:paraId="5FE97ED8">
            <w:pPr>
              <w:jc w:val="center"/>
              <w:rPr>
                <w:rFonts w:ascii="Times New Roman" w:hAnsi="Times New Roman"/>
                <w:szCs w:val="21"/>
              </w:rPr>
            </w:pPr>
            <w:r>
              <w:rPr>
                <w:rFonts w:ascii="Times New Roman" w:hAnsi="Times New Roman"/>
                <w:szCs w:val="21"/>
              </w:rPr>
              <w:t>NSE</w:t>
            </w:r>
          </w:p>
        </w:tc>
        <w:tc>
          <w:tcPr>
            <w:tcW w:w="1117" w:type="dxa"/>
            <w:tcBorders>
              <w:top w:val="nil"/>
              <w:left w:val="nil"/>
              <w:bottom w:val="nil"/>
              <w:right w:val="nil"/>
            </w:tcBorders>
            <w:shd w:val="clear" w:color="auto" w:fill="auto"/>
            <w:noWrap w:val="0"/>
            <w:vAlign w:val="top"/>
          </w:tcPr>
          <w:p w14:paraId="6D81BF76">
            <w:pPr>
              <w:jc w:val="center"/>
              <w:rPr>
                <w:rFonts w:ascii="Times New Roman" w:hAnsi="Times New Roman"/>
                <w:szCs w:val="21"/>
              </w:rPr>
            </w:pPr>
            <w:r>
              <w:rPr>
                <w:rFonts w:hint="eastAsia" w:ascii="Times New Roman" w:hAnsi="Times New Roman"/>
                <w:szCs w:val="21"/>
              </w:rPr>
              <w:t>0.271</w:t>
            </w:r>
          </w:p>
        </w:tc>
        <w:tc>
          <w:tcPr>
            <w:tcW w:w="1116" w:type="dxa"/>
            <w:tcBorders>
              <w:top w:val="nil"/>
              <w:left w:val="nil"/>
              <w:bottom w:val="nil"/>
              <w:right w:val="nil"/>
            </w:tcBorders>
            <w:shd w:val="clear" w:color="auto" w:fill="auto"/>
            <w:noWrap w:val="0"/>
            <w:vAlign w:val="top"/>
          </w:tcPr>
          <w:p w14:paraId="3C70F9AB">
            <w:pPr>
              <w:jc w:val="center"/>
              <w:rPr>
                <w:rFonts w:ascii="Times New Roman" w:hAnsi="Times New Roman"/>
                <w:color w:val="FF0000"/>
                <w:szCs w:val="21"/>
              </w:rPr>
            </w:pPr>
            <w:r>
              <w:rPr>
                <w:rFonts w:hint="eastAsia" w:ascii="Times New Roman" w:hAnsi="Times New Roman"/>
                <w:color w:val="FF0000"/>
                <w:szCs w:val="21"/>
              </w:rPr>
              <w:t>0.013</w:t>
            </w:r>
          </w:p>
        </w:tc>
        <w:tc>
          <w:tcPr>
            <w:tcW w:w="1117" w:type="dxa"/>
            <w:tcBorders>
              <w:top w:val="nil"/>
              <w:left w:val="nil"/>
              <w:bottom w:val="nil"/>
              <w:right w:val="nil"/>
            </w:tcBorders>
            <w:noWrap w:val="0"/>
            <w:vAlign w:val="top"/>
          </w:tcPr>
          <w:p w14:paraId="29485CEC">
            <w:pPr>
              <w:jc w:val="center"/>
              <w:rPr>
                <w:rFonts w:ascii="Times New Roman" w:hAnsi="Times New Roman"/>
                <w:szCs w:val="21"/>
              </w:rPr>
            </w:pPr>
            <w:r>
              <w:rPr>
                <w:rFonts w:hint="eastAsia" w:ascii="Times New Roman" w:hAnsi="Times New Roman"/>
                <w:szCs w:val="21"/>
              </w:rPr>
              <w:t>0.216</w:t>
            </w:r>
          </w:p>
        </w:tc>
      </w:tr>
      <w:tr w14:paraId="56689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16" w:type="dxa"/>
            <w:tcBorders>
              <w:top w:val="nil"/>
              <w:left w:val="nil"/>
              <w:bottom w:val="nil"/>
              <w:right w:val="nil"/>
            </w:tcBorders>
            <w:shd w:val="clear" w:color="auto" w:fill="auto"/>
            <w:noWrap w:val="0"/>
            <w:vAlign w:val="top"/>
          </w:tcPr>
          <w:p w14:paraId="683530C8">
            <w:pPr>
              <w:jc w:val="center"/>
              <w:rPr>
                <w:rFonts w:ascii="Times New Roman" w:hAnsi="Times New Roman"/>
                <w:szCs w:val="21"/>
              </w:rPr>
            </w:pPr>
            <w:r>
              <w:rPr>
                <w:rFonts w:hint="eastAsia" w:ascii="Times New Roman" w:hAnsi="Times New Roman"/>
                <w:szCs w:val="21"/>
              </w:rPr>
              <w:t>TC</w:t>
            </w:r>
          </w:p>
        </w:tc>
        <w:tc>
          <w:tcPr>
            <w:tcW w:w="1117" w:type="dxa"/>
            <w:tcBorders>
              <w:top w:val="nil"/>
              <w:left w:val="nil"/>
              <w:bottom w:val="nil"/>
              <w:right w:val="nil"/>
            </w:tcBorders>
            <w:shd w:val="clear" w:color="auto" w:fill="auto"/>
            <w:noWrap w:val="0"/>
            <w:vAlign w:val="top"/>
          </w:tcPr>
          <w:p w14:paraId="3CA47A41">
            <w:pPr>
              <w:jc w:val="center"/>
              <w:rPr>
                <w:rFonts w:ascii="Times New Roman" w:hAnsi="Times New Roman"/>
                <w:szCs w:val="21"/>
              </w:rPr>
            </w:pPr>
            <w:r>
              <w:rPr>
                <w:rFonts w:hint="eastAsia" w:ascii="Times New Roman" w:hAnsi="Times New Roman"/>
                <w:szCs w:val="21"/>
              </w:rPr>
              <w:t>1.000</w:t>
            </w:r>
          </w:p>
        </w:tc>
        <w:tc>
          <w:tcPr>
            <w:tcW w:w="1116" w:type="dxa"/>
            <w:tcBorders>
              <w:top w:val="nil"/>
              <w:left w:val="nil"/>
              <w:bottom w:val="nil"/>
              <w:right w:val="nil"/>
            </w:tcBorders>
            <w:shd w:val="clear" w:color="auto" w:fill="auto"/>
            <w:noWrap w:val="0"/>
            <w:vAlign w:val="top"/>
          </w:tcPr>
          <w:p w14:paraId="1082A39C">
            <w:pPr>
              <w:jc w:val="center"/>
              <w:rPr>
                <w:rFonts w:ascii="Times New Roman" w:hAnsi="Times New Roman"/>
                <w:color w:val="FF0000"/>
                <w:szCs w:val="21"/>
              </w:rPr>
            </w:pPr>
            <w:r>
              <w:rPr>
                <w:rFonts w:hint="eastAsia" w:ascii="Times New Roman" w:hAnsi="Times New Roman"/>
                <w:color w:val="FF0000"/>
                <w:szCs w:val="21"/>
              </w:rPr>
              <w:t>0.024</w:t>
            </w:r>
          </w:p>
        </w:tc>
        <w:tc>
          <w:tcPr>
            <w:tcW w:w="1117" w:type="dxa"/>
            <w:tcBorders>
              <w:top w:val="nil"/>
              <w:left w:val="nil"/>
              <w:bottom w:val="nil"/>
              <w:right w:val="nil"/>
            </w:tcBorders>
            <w:noWrap w:val="0"/>
            <w:vAlign w:val="top"/>
          </w:tcPr>
          <w:p w14:paraId="5362FFFB">
            <w:pPr>
              <w:jc w:val="center"/>
              <w:rPr>
                <w:rFonts w:ascii="Times New Roman" w:hAnsi="Times New Roman"/>
                <w:szCs w:val="21"/>
              </w:rPr>
            </w:pPr>
            <w:r>
              <w:rPr>
                <w:rFonts w:hint="eastAsia" w:ascii="Times New Roman" w:hAnsi="Times New Roman"/>
                <w:szCs w:val="21"/>
              </w:rPr>
              <w:t>0.162</w:t>
            </w:r>
          </w:p>
        </w:tc>
      </w:tr>
      <w:tr w14:paraId="3540BD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16" w:type="dxa"/>
            <w:tcBorders>
              <w:top w:val="nil"/>
              <w:left w:val="nil"/>
              <w:bottom w:val="single" w:color="auto" w:sz="4" w:space="0"/>
              <w:right w:val="nil"/>
            </w:tcBorders>
            <w:shd w:val="clear" w:color="auto" w:fill="auto"/>
            <w:noWrap w:val="0"/>
            <w:vAlign w:val="top"/>
          </w:tcPr>
          <w:p w14:paraId="1700B815">
            <w:pPr>
              <w:jc w:val="center"/>
              <w:rPr>
                <w:rFonts w:ascii="Times New Roman" w:hAnsi="Times New Roman"/>
                <w:szCs w:val="21"/>
              </w:rPr>
            </w:pPr>
            <w:r>
              <w:rPr>
                <w:rFonts w:hint="eastAsia" w:ascii="Times New Roman" w:hAnsi="Times New Roman"/>
                <w:szCs w:val="21"/>
              </w:rPr>
              <w:t>LDL</w:t>
            </w:r>
            <w:r>
              <w:rPr>
                <w:rFonts w:ascii="Times New Roman" w:hAnsi="Times New Roman"/>
                <w:szCs w:val="21"/>
              </w:rPr>
              <w:t>-c</w:t>
            </w:r>
          </w:p>
        </w:tc>
        <w:tc>
          <w:tcPr>
            <w:tcW w:w="1117" w:type="dxa"/>
            <w:tcBorders>
              <w:top w:val="nil"/>
              <w:left w:val="nil"/>
              <w:bottom w:val="single" w:color="auto" w:sz="4" w:space="0"/>
              <w:right w:val="nil"/>
            </w:tcBorders>
            <w:shd w:val="clear" w:color="auto" w:fill="auto"/>
            <w:noWrap w:val="0"/>
            <w:vAlign w:val="top"/>
          </w:tcPr>
          <w:p w14:paraId="63628574">
            <w:pPr>
              <w:jc w:val="center"/>
              <w:rPr>
                <w:rFonts w:ascii="Times New Roman" w:hAnsi="Times New Roman"/>
                <w:szCs w:val="21"/>
              </w:rPr>
            </w:pPr>
            <w:r>
              <w:rPr>
                <w:rFonts w:hint="eastAsia" w:ascii="Times New Roman" w:hAnsi="Times New Roman"/>
                <w:szCs w:val="21"/>
              </w:rPr>
              <w:t>1</w:t>
            </w:r>
            <w:r>
              <w:rPr>
                <w:rFonts w:ascii="Times New Roman" w:hAnsi="Times New Roman"/>
                <w:szCs w:val="21"/>
              </w:rPr>
              <w:t>.000</w:t>
            </w:r>
          </w:p>
        </w:tc>
        <w:tc>
          <w:tcPr>
            <w:tcW w:w="1116" w:type="dxa"/>
            <w:tcBorders>
              <w:top w:val="nil"/>
              <w:left w:val="nil"/>
              <w:bottom w:val="single" w:color="auto" w:sz="4" w:space="0"/>
              <w:right w:val="nil"/>
            </w:tcBorders>
            <w:shd w:val="clear" w:color="auto" w:fill="auto"/>
            <w:noWrap w:val="0"/>
            <w:vAlign w:val="top"/>
          </w:tcPr>
          <w:p w14:paraId="46F701EC">
            <w:pPr>
              <w:jc w:val="center"/>
              <w:rPr>
                <w:rFonts w:ascii="Times New Roman" w:hAnsi="Times New Roman"/>
                <w:color w:val="FF0000"/>
                <w:szCs w:val="21"/>
              </w:rPr>
            </w:pPr>
            <w:r>
              <w:rPr>
                <w:rFonts w:hint="eastAsia" w:ascii="Times New Roman" w:hAnsi="Times New Roman"/>
                <w:color w:val="FF0000"/>
                <w:szCs w:val="21"/>
              </w:rPr>
              <w:t>0.013</w:t>
            </w:r>
          </w:p>
        </w:tc>
        <w:tc>
          <w:tcPr>
            <w:tcW w:w="1117" w:type="dxa"/>
            <w:tcBorders>
              <w:top w:val="nil"/>
              <w:left w:val="nil"/>
              <w:bottom w:val="single" w:color="auto" w:sz="4" w:space="0"/>
              <w:right w:val="nil"/>
            </w:tcBorders>
            <w:noWrap w:val="0"/>
            <w:vAlign w:val="top"/>
          </w:tcPr>
          <w:p w14:paraId="45F0D61F">
            <w:pPr>
              <w:jc w:val="center"/>
              <w:rPr>
                <w:rFonts w:hint="eastAsia" w:ascii="Times New Roman" w:hAnsi="Times New Roman"/>
                <w:szCs w:val="21"/>
              </w:rPr>
            </w:pPr>
            <w:r>
              <w:rPr>
                <w:rFonts w:hint="eastAsia" w:ascii="Times New Roman" w:hAnsi="Times New Roman"/>
                <w:szCs w:val="21"/>
              </w:rPr>
              <w:t>0.092</w:t>
            </w:r>
          </w:p>
        </w:tc>
      </w:tr>
    </w:tbl>
    <w:p w14:paraId="4911FCF2">
      <w:pPr>
        <w:jc w:val="center"/>
        <w:rPr>
          <w:rFonts w:ascii="Times New Roman" w:hAnsi="Times New Roman"/>
          <w:b/>
          <w:bCs/>
        </w:rPr>
      </w:pPr>
    </w:p>
    <w:p w14:paraId="78E00B7D">
      <w:pPr>
        <w:jc w:val="center"/>
        <w:rPr>
          <w:rFonts w:ascii="Times New Roman" w:hAnsi="Times New Roman"/>
          <w:b/>
          <w:bCs/>
        </w:rPr>
      </w:pPr>
    </w:p>
    <w:p w14:paraId="61C886C1">
      <w:pPr>
        <w:jc w:val="center"/>
        <w:rPr>
          <w:rFonts w:ascii="Times New Roman" w:hAnsi="Times New Roman"/>
          <w:b/>
          <w:bCs/>
        </w:rPr>
      </w:pPr>
    </w:p>
    <w:p w14:paraId="336214BD">
      <w:pPr>
        <w:jc w:val="center"/>
        <w:rPr>
          <w:rFonts w:ascii="Times New Roman" w:hAnsi="Times New Roman"/>
          <w:b/>
          <w:bCs/>
        </w:rPr>
      </w:pPr>
    </w:p>
    <w:p w14:paraId="21F8E49D">
      <w:pPr>
        <w:jc w:val="center"/>
        <w:rPr>
          <w:rFonts w:hint="eastAsia" w:ascii="Times New Roman" w:hAnsi="Times New Roman"/>
          <w:b/>
          <w:bCs/>
          <w:sz w:val="24"/>
          <w:szCs w:val="24"/>
        </w:rPr>
      </w:pPr>
      <w:r>
        <w:rPr>
          <w:rFonts w:ascii="Times New Roman" w:hAnsi="Times New Roman"/>
          <w:b/>
          <w:bCs/>
        </w:rPr>
        <w:t>Table 4. Characteristics of pNETs patients between low and high pathological grades</w:t>
      </w:r>
    </w:p>
    <w:tbl>
      <w:tblPr>
        <w:tblStyle w:val="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63"/>
        <w:gridCol w:w="2072"/>
        <w:gridCol w:w="2072"/>
        <w:gridCol w:w="1257"/>
        <w:gridCol w:w="1258"/>
      </w:tblGrid>
      <w:tr w14:paraId="008A55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863" w:type="dxa"/>
            <w:tcBorders>
              <w:top w:val="single" w:color="auto" w:sz="4" w:space="0"/>
              <w:left w:val="nil"/>
              <w:bottom w:val="single" w:color="auto" w:sz="4" w:space="0"/>
              <w:right w:val="nil"/>
            </w:tcBorders>
            <w:shd w:val="clear" w:color="auto" w:fill="auto"/>
            <w:noWrap w:val="0"/>
            <w:vAlign w:val="top"/>
          </w:tcPr>
          <w:p w14:paraId="2D348BE5">
            <w:pPr>
              <w:jc w:val="center"/>
              <w:rPr>
                <w:rFonts w:ascii="Times New Roman" w:hAnsi="Times New Roman"/>
                <w:szCs w:val="21"/>
              </w:rPr>
            </w:pPr>
          </w:p>
        </w:tc>
        <w:tc>
          <w:tcPr>
            <w:tcW w:w="2072" w:type="dxa"/>
            <w:tcBorders>
              <w:top w:val="single" w:color="auto" w:sz="4" w:space="0"/>
              <w:left w:val="nil"/>
              <w:bottom w:val="single" w:color="auto" w:sz="4" w:space="0"/>
              <w:right w:val="nil"/>
            </w:tcBorders>
            <w:shd w:val="clear" w:color="auto" w:fill="auto"/>
            <w:noWrap w:val="0"/>
            <w:vAlign w:val="top"/>
          </w:tcPr>
          <w:p w14:paraId="7BAE9223">
            <w:pPr>
              <w:jc w:val="center"/>
              <w:rPr>
                <w:rFonts w:ascii="Times New Roman" w:hAnsi="Times New Roman"/>
                <w:szCs w:val="21"/>
              </w:rPr>
            </w:pPr>
            <w:r>
              <w:rPr>
                <w:rFonts w:ascii="Times New Roman" w:hAnsi="Times New Roman"/>
                <w:szCs w:val="21"/>
              </w:rPr>
              <w:t>G1+G2</w:t>
            </w:r>
          </w:p>
        </w:tc>
        <w:tc>
          <w:tcPr>
            <w:tcW w:w="2072" w:type="dxa"/>
            <w:tcBorders>
              <w:top w:val="single" w:color="auto" w:sz="4" w:space="0"/>
              <w:left w:val="nil"/>
              <w:bottom w:val="single" w:color="auto" w:sz="4" w:space="0"/>
              <w:right w:val="nil"/>
            </w:tcBorders>
            <w:shd w:val="clear" w:color="auto" w:fill="auto"/>
            <w:noWrap w:val="0"/>
            <w:vAlign w:val="top"/>
          </w:tcPr>
          <w:p w14:paraId="0C3908FB">
            <w:pPr>
              <w:jc w:val="center"/>
              <w:rPr>
                <w:rFonts w:hint="eastAsia" w:ascii="Times New Roman" w:hAnsi="Times New Roman"/>
                <w:szCs w:val="21"/>
              </w:rPr>
            </w:pPr>
            <w:r>
              <w:rPr>
                <w:rFonts w:hint="eastAsia" w:ascii="Times New Roman" w:hAnsi="Times New Roman"/>
                <w:szCs w:val="21"/>
              </w:rPr>
              <w:t>G3</w:t>
            </w:r>
          </w:p>
        </w:tc>
        <w:tc>
          <w:tcPr>
            <w:tcW w:w="1257" w:type="dxa"/>
            <w:tcBorders>
              <w:top w:val="single" w:color="auto" w:sz="4" w:space="0"/>
              <w:left w:val="nil"/>
              <w:bottom w:val="single" w:color="auto" w:sz="4" w:space="0"/>
              <w:right w:val="nil"/>
            </w:tcBorders>
            <w:shd w:val="clear" w:color="auto" w:fill="auto"/>
            <w:noWrap w:val="0"/>
            <w:vAlign w:val="top"/>
          </w:tcPr>
          <w:p w14:paraId="1B383FF2">
            <w:pPr>
              <w:jc w:val="center"/>
              <w:rPr>
                <w:rFonts w:ascii="Times New Roman" w:hAnsi="Times New Roman"/>
                <w:szCs w:val="21"/>
              </w:rPr>
            </w:pPr>
            <w:r>
              <w:rPr>
                <w:rFonts w:hint="eastAsia" w:ascii="Times New Roman" w:hAnsi="Times New Roman"/>
                <w:szCs w:val="21"/>
              </w:rPr>
              <w:sym w:font="Symbol" w:char="F063"/>
            </w:r>
            <w:r>
              <w:rPr>
                <w:rFonts w:hint="eastAsia" w:ascii="Times New Roman" w:hAnsi="Times New Roman"/>
                <w:szCs w:val="21"/>
                <w:vertAlign w:val="superscript"/>
              </w:rPr>
              <w:t>2</w:t>
            </w:r>
            <w:r>
              <w:rPr>
                <w:rFonts w:hint="eastAsia" w:ascii="Times New Roman" w:hAnsi="Times New Roman"/>
                <w:szCs w:val="21"/>
              </w:rPr>
              <w:t>/</w:t>
            </w:r>
            <w:r>
              <w:rPr>
                <w:rFonts w:ascii="Times New Roman" w:hAnsi="Times New Roman"/>
                <w:szCs w:val="21"/>
              </w:rPr>
              <w:t>Z/</w:t>
            </w:r>
            <w:r>
              <w:rPr>
                <w:rFonts w:hint="eastAsia" w:ascii="Times New Roman" w:hAnsi="Times New Roman"/>
                <w:szCs w:val="21"/>
              </w:rPr>
              <w:t>t</w:t>
            </w:r>
          </w:p>
        </w:tc>
        <w:tc>
          <w:tcPr>
            <w:tcW w:w="1258" w:type="dxa"/>
            <w:tcBorders>
              <w:top w:val="single" w:color="auto" w:sz="4" w:space="0"/>
              <w:left w:val="nil"/>
              <w:bottom w:val="single" w:color="auto" w:sz="4" w:space="0"/>
              <w:right w:val="nil"/>
            </w:tcBorders>
            <w:shd w:val="clear" w:color="auto" w:fill="auto"/>
            <w:noWrap w:val="0"/>
            <w:vAlign w:val="top"/>
          </w:tcPr>
          <w:p w14:paraId="75D39EE6">
            <w:pPr>
              <w:jc w:val="center"/>
              <w:rPr>
                <w:rFonts w:ascii="Times New Roman" w:hAnsi="Times New Roman"/>
                <w:szCs w:val="21"/>
              </w:rPr>
            </w:pPr>
            <w:r>
              <w:rPr>
                <w:rFonts w:ascii="Times New Roman" w:hAnsi="Times New Roman"/>
                <w:szCs w:val="21"/>
              </w:rPr>
              <w:t>P</w:t>
            </w:r>
          </w:p>
        </w:tc>
      </w:tr>
      <w:tr w14:paraId="4E7C7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863" w:type="dxa"/>
            <w:tcBorders>
              <w:top w:val="single" w:color="auto" w:sz="4" w:space="0"/>
              <w:left w:val="nil"/>
              <w:bottom w:val="nil"/>
              <w:right w:val="nil"/>
            </w:tcBorders>
            <w:shd w:val="clear" w:color="auto" w:fill="auto"/>
            <w:noWrap w:val="0"/>
            <w:vAlign w:val="top"/>
          </w:tcPr>
          <w:p w14:paraId="3FA685C3">
            <w:pPr>
              <w:jc w:val="center"/>
              <w:rPr>
                <w:rFonts w:ascii="Times New Roman" w:hAnsi="Times New Roman"/>
                <w:szCs w:val="21"/>
              </w:rPr>
            </w:pPr>
            <w:r>
              <w:rPr>
                <w:rFonts w:ascii="Times New Roman" w:hAnsi="Times New Roman"/>
                <w:szCs w:val="21"/>
              </w:rPr>
              <w:t>Metastasis(Yes/No)</w:t>
            </w:r>
          </w:p>
        </w:tc>
        <w:tc>
          <w:tcPr>
            <w:tcW w:w="2072" w:type="dxa"/>
            <w:tcBorders>
              <w:top w:val="single" w:color="auto" w:sz="4" w:space="0"/>
              <w:left w:val="nil"/>
              <w:bottom w:val="nil"/>
              <w:right w:val="nil"/>
            </w:tcBorders>
            <w:shd w:val="clear" w:color="auto" w:fill="auto"/>
            <w:noWrap w:val="0"/>
            <w:vAlign w:val="top"/>
          </w:tcPr>
          <w:p w14:paraId="7397A0F6">
            <w:pPr>
              <w:jc w:val="center"/>
              <w:rPr>
                <w:rFonts w:ascii="Times New Roman" w:hAnsi="Times New Roman"/>
                <w:szCs w:val="21"/>
              </w:rPr>
            </w:pPr>
            <w:r>
              <w:rPr>
                <w:rFonts w:hint="eastAsia" w:ascii="Times New Roman" w:hAnsi="Times New Roman"/>
                <w:szCs w:val="21"/>
              </w:rPr>
              <w:t>35/115</w:t>
            </w:r>
          </w:p>
        </w:tc>
        <w:tc>
          <w:tcPr>
            <w:tcW w:w="2072" w:type="dxa"/>
            <w:tcBorders>
              <w:top w:val="single" w:color="auto" w:sz="4" w:space="0"/>
              <w:left w:val="nil"/>
              <w:bottom w:val="nil"/>
              <w:right w:val="nil"/>
            </w:tcBorders>
            <w:shd w:val="clear" w:color="auto" w:fill="auto"/>
            <w:noWrap w:val="0"/>
            <w:vAlign w:val="top"/>
          </w:tcPr>
          <w:p w14:paraId="5C17D1C4">
            <w:pPr>
              <w:jc w:val="center"/>
              <w:rPr>
                <w:rFonts w:ascii="Times New Roman" w:hAnsi="Times New Roman"/>
                <w:szCs w:val="21"/>
              </w:rPr>
            </w:pPr>
            <w:r>
              <w:rPr>
                <w:rFonts w:hint="eastAsia" w:ascii="Times New Roman" w:hAnsi="Times New Roman"/>
                <w:szCs w:val="21"/>
              </w:rPr>
              <w:t>19/6</w:t>
            </w:r>
          </w:p>
        </w:tc>
        <w:tc>
          <w:tcPr>
            <w:tcW w:w="1257" w:type="dxa"/>
            <w:tcBorders>
              <w:top w:val="single" w:color="auto" w:sz="4" w:space="0"/>
              <w:left w:val="nil"/>
              <w:bottom w:val="nil"/>
              <w:right w:val="nil"/>
            </w:tcBorders>
            <w:shd w:val="clear" w:color="auto" w:fill="auto"/>
            <w:noWrap w:val="0"/>
            <w:vAlign w:val="top"/>
          </w:tcPr>
          <w:p w14:paraId="71BE685E">
            <w:pPr>
              <w:jc w:val="center"/>
              <w:rPr>
                <w:rFonts w:ascii="Times New Roman" w:hAnsi="Times New Roman"/>
                <w:szCs w:val="21"/>
              </w:rPr>
            </w:pPr>
            <w:r>
              <w:rPr>
                <w:rFonts w:hint="eastAsia" w:ascii="Times New Roman" w:hAnsi="Times New Roman"/>
                <w:szCs w:val="21"/>
              </w:rPr>
              <w:t>27.859</w:t>
            </w:r>
          </w:p>
        </w:tc>
        <w:tc>
          <w:tcPr>
            <w:tcW w:w="1258" w:type="dxa"/>
            <w:tcBorders>
              <w:top w:val="single" w:color="auto" w:sz="4" w:space="0"/>
              <w:left w:val="nil"/>
              <w:bottom w:val="nil"/>
              <w:right w:val="nil"/>
            </w:tcBorders>
            <w:shd w:val="clear" w:color="auto" w:fill="auto"/>
            <w:noWrap w:val="0"/>
            <w:vAlign w:val="top"/>
          </w:tcPr>
          <w:p w14:paraId="2538B919">
            <w:pPr>
              <w:jc w:val="center"/>
              <w:rPr>
                <w:rFonts w:ascii="Times New Roman" w:hAnsi="Times New Roman"/>
                <w:szCs w:val="21"/>
              </w:rPr>
            </w:pPr>
            <w:r>
              <w:rPr>
                <w:rFonts w:hint="eastAsia" w:ascii="Times New Roman" w:hAnsi="Times New Roman"/>
                <w:color w:val="FF0000"/>
                <w:sz w:val="19"/>
                <w:szCs w:val="19"/>
              </w:rPr>
              <w:t>&lt;0.001</w:t>
            </w:r>
          </w:p>
        </w:tc>
      </w:tr>
      <w:tr w14:paraId="703F11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863" w:type="dxa"/>
            <w:tcBorders>
              <w:top w:val="nil"/>
              <w:left w:val="nil"/>
              <w:bottom w:val="nil"/>
              <w:right w:val="nil"/>
            </w:tcBorders>
            <w:shd w:val="clear" w:color="auto" w:fill="auto"/>
            <w:noWrap w:val="0"/>
            <w:vAlign w:val="top"/>
          </w:tcPr>
          <w:p w14:paraId="05025942">
            <w:pPr>
              <w:jc w:val="center"/>
              <w:rPr>
                <w:rFonts w:ascii="Times New Roman" w:hAnsi="Times New Roman"/>
                <w:szCs w:val="21"/>
              </w:rPr>
            </w:pPr>
            <w:r>
              <w:rPr>
                <w:rFonts w:ascii="Times New Roman" w:hAnsi="Times New Roman"/>
                <w:szCs w:val="21"/>
              </w:rPr>
              <w:t>Sex (Male/Female)</w:t>
            </w:r>
          </w:p>
        </w:tc>
        <w:tc>
          <w:tcPr>
            <w:tcW w:w="2072" w:type="dxa"/>
            <w:tcBorders>
              <w:top w:val="nil"/>
              <w:left w:val="nil"/>
              <w:bottom w:val="nil"/>
              <w:right w:val="nil"/>
            </w:tcBorders>
            <w:shd w:val="clear" w:color="auto" w:fill="auto"/>
            <w:noWrap w:val="0"/>
            <w:vAlign w:val="top"/>
          </w:tcPr>
          <w:p w14:paraId="509138D9">
            <w:pPr>
              <w:jc w:val="center"/>
              <w:rPr>
                <w:rFonts w:ascii="Times New Roman" w:hAnsi="Times New Roman"/>
                <w:szCs w:val="21"/>
              </w:rPr>
            </w:pPr>
            <w:r>
              <w:rPr>
                <w:rFonts w:hint="eastAsia" w:ascii="Times New Roman" w:hAnsi="Times New Roman"/>
                <w:szCs w:val="21"/>
              </w:rPr>
              <w:t>79/71</w:t>
            </w:r>
          </w:p>
        </w:tc>
        <w:tc>
          <w:tcPr>
            <w:tcW w:w="2072" w:type="dxa"/>
            <w:tcBorders>
              <w:top w:val="nil"/>
              <w:left w:val="nil"/>
              <w:bottom w:val="nil"/>
              <w:right w:val="nil"/>
            </w:tcBorders>
            <w:shd w:val="clear" w:color="auto" w:fill="auto"/>
            <w:noWrap w:val="0"/>
            <w:vAlign w:val="top"/>
          </w:tcPr>
          <w:p w14:paraId="335A1483">
            <w:pPr>
              <w:jc w:val="center"/>
              <w:rPr>
                <w:rFonts w:ascii="Times New Roman" w:hAnsi="Times New Roman"/>
                <w:szCs w:val="21"/>
              </w:rPr>
            </w:pPr>
            <w:r>
              <w:rPr>
                <w:rFonts w:hint="eastAsia" w:ascii="Times New Roman" w:hAnsi="Times New Roman"/>
                <w:szCs w:val="21"/>
              </w:rPr>
              <w:t>15/10</w:t>
            </w:r>
          </w:p>
        </w:tc>
        <w:tc>
          <w:tcPr>
            <w:tcW w:w="1257" w:type="dxa"/>
            <w:tcBorders>
              <w:top w:val="nil"/>
              <w:left w:val="nil"/>
              <w:bottom w:val="nil"/>
              <w:right w:val="nil"/>
            </w:tcBorders>
            <w:shd w:val="clear" w:color="auto" w:fill="auto"/>
            <w:noWrap w:val="0"/>
            <w:vAlign w:val="top"/>
          </w:tcPr>
          <w:p w14:paraId="5BAA1120">
            <w:pPr>
              <w:jc w:val="center"/>
              <w:rPr>
                <w:rFonts w:ascii="Times New Roman" w:hAnsi="Times New Roman"/>
                <w:szCs w:val="21"/>
              </w:rPr>
            </w:pPr>
            <w:r>
              <w:rPr>
                <w:rFonts w:hint="eastAsia" w:ascii="Times New Roman" w:hAnsi="Times New Roman"/>
                <w:szCs w:val="21"/>
              </w:rPr>
              <w:t>0.464</w:t>
            </w:r>
          </w:p>
        </w:tc>
        <w:tc>
          <w:tcPr>
            <w:tcW w:w="1258" w:type="dxa"/>
            <w:tcBorders>
              <w:top w:val="nil"/>
              <w:left w:val="nil"/>
              <w:bottom w:val="nil"/>
              <w:right w:val="nil"/>
            </w:tcBorders>
            <w:shd w:val="clear" w:color="auto" w:fill="auto"/>
            <w:noWrap w:val="0"/>
            <w:vAlign w:val="top"/>
          </w:tcPr>
          <w:p w14:paraId="2C011B87">
            <w:pPr>
              <w:jc w:val="center"/>
              <w:rPr>
                <w:rFonts w:ascii="Times New Roman" w:hAnsi="Times New Roman"/>
                <w:szCs w:val="21"/>
              </w:rPr>
            </w:pPr>
            <w:r>
              <w:rPr>
                <w:rFonts w:hint="eastAsia" w:ascii="Times New Roman" w:hAnsi="Times New Roman"/>
                <w:szCs w:val="21"/>
              </w:rPr>
              <w:t>0.496</w:t>
            </w:r>
          </w:p>
        </w:tc>
      </w:tr>
      <w:tr w14:paraId="35CD9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863" w:type="dxa"/>
            <w:tcBorders>
              <w:top w:val="nil"/>
              <w:left w:val="nil"/>
              <w:bottom w:val="nil"/>
              <w:right w:val="nil"/>
            </w:tcBorders>
            <w:shd w:val="clear" w:color="auto" w:fill="auto"/>
            <w:noWrap w:val="0"/>
            <w:vAlign w:val="top"/>
          </w:tcPr>
          <w:p w14:paraId="6729C04A">
            <w:pPr>
              <w:jc w:val="center"/>
              <w:rPr>
                <w:rFonts w:ascii="Times New Roman" w:hAnsi="Times New Roman"/>
                <w:szCs w:val="21"/>
              </w:rPr>
            </w:pPr>
            <w:r>
              <w:rPr>
                <w:rFonts w:ascii="Times New Roman" w:hAnsi="Times New Roman"/>
                <w:szCs w:val="21"/>
              </w:rPr>
              <w:t>Age (Years)</w:t>
            </w:r>
          </w:p>
        </w:tc>
        <w:tc>
          <w:tcPr>
            <w:tcW w:w="2072" w:type="dxa"/>
            <w:tcBorders>
              <w:top w:val="nil"/>
              <w:left w:val="nil"/>
              <w:bottom w:val="nil"/>
              <w:right w:val="nil"/>
            </w:tcBorders>
            <w:shd w:val="clear" w:color="auto" w:fill="auto"/>
            <w:noWrap w:val="0"/>
            <w:vAlign w:val="top"/>
          </w:tcPr>
          <w:p w14:paraId="0ACA385C">
            <w:pPr>
              <w:jc w:val="center"/>
              <w:rPr>
                <w:rFonts w:ascii="Times New Roman" w:hAnsi="Times New Roman"/>
                <w:szCs w:val="21"/>
              </w:rPr>
            </w:pPr>
            <w:r>
              <w:rPr>
                <w:rFonts w:hint="eastAsia" w:ascii="Times New Roman" w:hAnsi="Times New Roman"/>
                <w:szCs w:val="21"/>
              </w:rPr>
              <w:t>57.00(</w:t>
            </w:r>
            <w:r>
              <w:rPr>
                <w:rFonts w:ascii="Times New Roman" w:hAnsi="Times New Roman"/>
                <w:szCs w:val="21"/>
              </w:rPr>
              <w:t>50.00,65.00</w:t>
            </w:r>
            <w:r>
              <w:rPr>
                <w:rFonts w:hint="eastAsia" w:ascii="Times New Roman" w:hAnsi="Times New Roman"/>
                <w:szCs w:val="21"/>
              </w:rPr>
              <w:t>)</w:t>
            </w:r>
          </w:p>
        </w:tc>
        <w:tc>
          <w:tcPr>
            <w:tcW w:w="2072" w:type="dxa"/>
            <w:tcBorders>
              <w:top w:val="nil"/>
              <w:left w:val="nil"/>
              <w:bottom w:val="nil"/>
              <w:right w:val="nil"/>
            </w:tcBorders>
            <w:shd w:val="clear" w:color="auto" w:fill="auto"/>
            <w:noWrap w:val="0"/>
            <w:vAlign w:val="top"/>
          </w:tcPr>
          <w:p w14:paraId="37B5E38A">
            <w:pPr>
              <w:jc w:val="center"/>
              <w:rPr>
                <w:rFonts w:ascii="Times New Roman" w:hAnsi="Times New Roman"/>
                <w:sz w:val="19"/>
                <w:szCs w:val="19"/>
              </w:rPr>
            </w:pPr>
            <w:r>
              <w:rPr>
                <w:rFonts w:ascii="Times New Roman" w:hAnsi="Times New Roman"/>
                <w:sz w:val="19"/>
                <w:szCs w:val="19"/>
              </w:rPr>
              <w:t>58.52±12.68</w:t>
            </w:r>
          </w:p>
        </w:tc>
        <w:tc>
          <w:tcPr>
            <w:tcW w:w="1257" w:type="dxa"/>
            <w:tcBorders>
              <w:top w:val="nil"/>
              <w:left w:val="nil"/>
              <w:bottom w:val="nil"/>
              <w:right w:val="nil"/>
            </w:tcBorders>
            <w:shd w:val="clear" w:color="auto" w:fill="auto"/>
            <w:noWrap w:val="0"/>
            <w:vAlign w:val="top"/>
          </w:tcPr>
          <w:p w14:paraId="3BF8BA58">
            <w:pPr>
              <w:jc w:val="center"/>
              <w:rPr>
                <w:rFonts w:ascii="Times New Roman" w:hAnsi="Times New Roman"/>
                <w:szCs w:val="21"/>
              </w:rPr>
            </w:pPr>
            <w:r>
              <w:rPr>
                <w:rFonts w:hint="eastAsia" w:ascii="Times New Roman" w:hAnsi="Times New Roman"/>
                <w:szCs w:val="21"/>
              </w:rPr>
              <w:t>-0.719</w:t>
            </w:r>
          </w:p>
        </w:tc>
        <w:tc>
          <w:tcPr>
            <w:tcW w:w="1258" w:type="dxa"/>
            <w:tcBorders>
              <w:top w:val="nil"/>
              <w:left w:val="nil"/>
              <w:bottom w:val="nil"/>
              <w:right w:val="nil"/>
            </w:tcBorders>
            <w:shd w:val="clear" w:color="auto" w:fill="auto"/>
            <w:noWrap w:val="0"/>
            <w:vAlign w:val="top"/>
          </w:tcPr>
          <w:p w14:paraId="1C716F8A">
            <w:pPr>
              <w:jc w:val="center"/>
              <w:rPr>
                <w:rFonts w:ascii="Times New Roman" w:hAnsi="Times New Roman"/>
                <w:szCs w:val="21"/>
              </w:rPr>
            </w:pPr>
            <w:r>
              <w:rPr>
                <w:rFonts w:hint="eastAsia" w:ascii="Times New Roman" w:hAnsi="Times New Roman"/>
                <w:szCs w:val="21"/>
              </w:rPr>
              <w:t>0.472</w:t>
            </w:r>
          </w:p>
        </w:tc>
      </w:tr>
      <w:tr w14:paraId="0382E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863" w:type="dxa"/>
            <w:tcBorders>
              <w:top w:val="nil"/>
              <w:left w:val="nil"/>
              <w:bottom w:val="nil"/>
              <w:right w:val="nil"/>
            </w:tcBorders>
            <w:shd w:val="clear" w:color="auto" w:fill="auto"/>
            <w:noWrap w:val="0"/>
            <w:vAlign w:val="top"/>
          </w:tcPr>
          <w:p w14:paraId="4B74CBA8">
            <w:pPr>
              <w:jc w:val="center"/>
              <w:rPr>
                <w:rFonts w:hint="eastAsia" w:ascii="Times New Roman" w:hAnsi="Times New Roman"/>
                <w:szCs w:val="21"/>
              </w:rPr>
            </w:pPr>
            <w:r>
              <w:rPr>
                <w:rFonts w:hint="eastAsia" w:ascii="Times New Roman" w:hAnsi="Times New Roman"/>
                <w:szCs w:val="21"/>
              </w:rPr>
              <w:t>BMI</w:t>
            </w:r>
          </w:p>
        </w:tc>
        <w:tc>
          <w:tcPr>
            <w:tcW w:w="2072" w:type="dxa"/>
            <w:tcBorders>
              <w:top w:val="nil"/>
              <w:left w:val="nil"/>
              <w:bottom w:val="nil"/>
              <w:right w:val="nil"/>
            </w:tcBorders>
            <w:shd w:val="clear" w:color="auto" w:fill="auto"/>
            <w:noWrap w:val="0"/>
            <w:vAlign w:val="top"/>
          </w:tcPr>
          <w:p w14:paraId="61012A44">
            <w:pPr>
              <w:jc w:val="center"/>
              <w:rPr>
                <w:rFonts w:ascii="Times New Roman" w:hAnsi="Times New Roman"/>
                <w:szCs w:val="21"/>
              </w:rPr>
            </w:pPr>
            <w:r>
              <w:rPr>
                <w:rFonts w:ascii="Times New Roman" w:hAnsi="Times New Roman"/>
                <w:sz w:val="19"/>
                <w:szCs w:val="19"/>
              </w:rPr>
              <w:t>24.04±3.18</w:t>
            </w:r>
          </w:p>
        </w:tc>
        <w:tc>
          <w:tcPr>
            <w:tcW w:w="2072" w:type="dxa"/>
            <w:tcBorders>
              <w:top w:val="nil"/>
              <w:left w:val="nil"/>
              <w:bottom w:val="nil"/>
              <w:right w:val="nil"/>
            </w:tcBorders>
            <w:shd w:val="clear" w:color="auto" w:fill="auto"/>
            <w:noWrap w:val="0"/>
            <w:vAlign w:val="top"/>
          </w:tcPr>
          <w:p w14:paraId="2AD577C4">
            <w:pPr>
              <w:jc w:val="center"/>
              <w:rPr>
                <w:rFonts w:hint="eastAsia" w:ascii="Times New Roman" w:hAnsi="Times New Roman"/>
                <w:sz w:val="19"/>
                <w:szCs w:val="19"/>
              </w:rPr>
            </w:pPr>
            <w:r>
              <w:rPr>
                <w:rFonts w:ascii="Times New Roman" w:hAnsi="Times New Roman"/>
                <w:sz w:val="19"/>
                <w:szCs w:val="19"/>
              </w:rPr>
              <w:t>24.24±2.75</w:t>
            </w:r>
          </w:p>
        </w:tc>
        <w:tc>
          <w:tcPr>
            <w:tcW w:w="1257" w:type="dxa"/>
            <w:tcBorders>
              <w:top w:val="nil"/>
              <w:left w:val="nil"/>
              <w:bottom w:val="nil"/>
              <w:right w:val="nil"/>
            </w:tcBorders>
            <w:shd w:val="clear" w:color="auto" w:fill="auto"/>
            <w:noWrap w:val="0"/>
            <w:vAlign w:val="top"/>
          </w:tcPr>
          <w:p w14:paraId="4D7EBDE8">
            <w:pPr>
              <w:jc w:val="center"/>
              <w:rPr>
                <w:rFonts w:hint="eastAsia" w:ascii="Times New Roman" w:hAnsi="Times New Roman"/>
                <w:szCs w:val="21"/>
              </w:rPr>
            </w:pPr>
            <w:r>
              <w:rPr>
                <w:rFonts w:hint="eastAsia" w:ascii="Times New Roman" w:hAnsi="Times New Roman"/>
                <w:szCs w:val="21"/>
              </w:rPr>
              <w:t>-0.291</w:t>
            </w:r>
          </w:p>
        </w:tc>
        <w:tc>
          <w:tcPr>
            <w:tcW w:w="1258" w:type="dxa"/>
            <w:tcBorders>
              <w:top w:val="nil"/>
              <w:left w:val="nil"/>
              <w:bottom w:val="nil"/>
              <w:right w:val="nil"/>
            </w:tcBorders>
            <w:shd w:val="clear" w:color="auto" w:fill="auto"/>
            <w:noWrap w:val="0"/>
            <w:vAlign w:val="top"/>
          </w:tcPr>
          <w:p w14:paraId="1FE089D0">
            <w:pPr>
              <w:jc w:val="center"/>
              <w:rPr>
                <w:rFonts w:ascii="Times New Roman" w:hAnsi="Times New Roman"/>
                <w:szCs w:val="21"/>
              </w:rPr>
            </w:pPr>
            <w:r>
              <w:rPr>
                <w:rFonts w:hint="eastAsia" w:ascii="Times New Roman" w:hAnsi="Times New Roman"/>
                <w:szCs w:val="21"/>
              </w:rPr>
              <w:t>0.772</w:t>
            </w:r>
          </w:p>
        </w:tc>
      </w:tr>
      <w:tr w14:paraId="77DC0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863" w:type="dxa"/>
            <w:tcBorders>
              <w:top w:val="nil"/>
              <w:left w:val="nil"/>
              <w:bottom w:val="nil"/>
              <w:right w:val="nil"/>
            </w:tcBorders>
            <w:shd w:val="clear" w:color="auto" w:fill="auto"/>
            <w:noWrap w:val="0"/>
            <w:vAlign w:val="top"/>
          </w:tcPr>
          <w:p w14:paraId="1CAF4464">
            <w:pPr>
              <w:jc w:val="center"/>
              <w:rPr>
                <w:rFonts w:ascii="Times New Roman" w:hAnsi="Times New Roman"/>
                <w:szCs w:val="21"/>
              </w:rPr>
            </w:pPr>
            <w:r>
              <w:rPr>
                <w:rFonts w:ascii="Times New Roman" w:hAnsi="Times New Roman"/>
                <w:szCs w:val="21"/>
              </w:rPr>
              <w:t>CEA</w:t>
            </w:r>
          </w:p>
        </w:tc>
        <w:tc>
          <w:tcPr>
            <w:tcW w:w="2072" w:type="dxa"/>
            <w:tcBorders>
              <w:top w:val="nil"/>
              <w:left w:val="nil"/>
              <w:bottom w:val="nil"/>
              <w:right w:val="nil"/>
            </w:tcBorders>
            <w:shd w:val="clear" w:color="auto" w:fill="auto"/>
            <w:noWrap w:val="0"/>
            <w:vAlign w:val="top"/>
          </w:tcPr>
          <w:p w14:paraId="722B0E53">
            <w:pPr>
              <w:jc w:val="center"/>
              <w:rPr>
                <w:rFonts w:ascii="Times New Roman" w:hAnsi="Times New Roman"/>
                <w:szCs w:val="21"/>
              </w:rPr>
            </w:pPr>
            <w:r>
              <w:rPr>
                <w:rFonts w:ascii="Times New Roman" w:hAnsi="Times New Roman"/>
                <w:szCs w:val="21"/>
              </w:rPr>
              <w:t>1.69</w:t>
            </w:r>
            <w:r>
              <w:rPr>
                <w:rFonts w:hint="eastAsia" w:ascii="Times New Roman" w:hAnsi="Times New Roman"/>
                <w:szCs w:val="21"/>
              </w:rPr>
              <w:t>(</w:t>
            </w:r>
            <w:r>
              <w:rPr>
                <w:rFonts w:ascii="Times New Roman" w:hAnsi="Times New Roman"/>
                <w:szCs w:val="21"/>
              </w:rPr>
              <w:t>1.27,2.57</w:t>
            </w:r>
            <w:r>
              <w:rPr>
                <w:rFonts w:hint="eastAsia" w:ascii="Times New Roman" w:hAnsi="Times New Roman"/>
                <w:szCs w:val="21"/>
              </w:rPr>
              <w:t>)</w:t>
            </w:r>
          </w:p>
        </w:tc>
        <w:tc>
          <w:tcPr>
            <w:tcW w:w="2072" w:type="dxa"/>
            <w:tcBorders>
              <w:top w:val="nil"/>
              <w:left w:val="nil"/>
              <w:bottom w:val="nil"/>
              <w:right w:val="nil"/>
            </w:tcBorders>
            <w:shd w:val="clear" w:color="auto" w:fill="auto"/>
            <w:noWrap w:val="0"/>
            <w:vAlign w:val="top"/>
          </w:tcPr>
          <w:p w14:paraId="1C38BA9D">
            <w:pPr>
              <w:jc w:val="center"/>
              <w:rPr>
                <w:rFonts w:ascii="Times New Roman" w:hAnsi="Times New Roman"/>
                <w:sz w:val="19"/>
                <w:szCs w:val="19"/>
              </w:rPr>
            </w:pPr>
            <w:r>
              <w:rPr>
                <w:rFonts w:ascii="Times New Roman" w:hAnsi="Times New Roman"/>
                <w:sz w:val="19"/>
                <w:szCs w:val="19"/>
              </w:rPr>
              <w:t>3.01</w:t>
            </w:r>
            <w:r>
              <w:rPr>
                <w:rFonts w:hint="eastAsia" w:ascii="Times New Roman" w:hAnsi="Times New Roman"/>
                <w:sz w:val="19"/>
                <w:szCs w:val="19"/>
              </w:rPr>
              <w:t>(</w:t>
            </w:r>
            <w:r>
              <w:rPr>
                <w:rFonts w:ascii="Times New Roman" w:hAnsi="Times New Roman"/>
                <w:sz w:val="19"/>
                <w:szCs w:val="19"/>
              </w:rPr>
              <w:t>1.83,4.49</w:t>
            </w:r>
            <w:r>
              <w:rPr>
                <w:rFonts w:hint="eastAsia" w:ascii="Times New Roman" w:hAnsi="Times New Roman"/>
                <w:sz w:val="19"/>
                <w:szCs w:val="19"/>
              </w:rPr>
              <w:t>)</w:t>
            </w:r>
          </w:p>
        </w:tc>
        <w:tc>
          <w:tcPr>
            <w:tcW w:w="1257" w:type="dxa"/>
            <w:tcBorders>
              <w:top w:val="nil"/>
              <w:left w:val="nil"/>
              <w:bottom w:val="nil"/>
              <w:right w:val="nil"/>
            </w:tcBorders>
            <w:shd w:val="clear" w:color="auto" w:fill="auto"/>
            <w:noWrap w:val="0"/>
            <w:vAlign w:val="top"/>
          </w:tcPr>
          <w:p w14:paraId="2493AD3A">
            <w:pPr>
              <w:jc w:val="center"/>
              <w:rPr>
                <w:rFonts w:ascii="Times New Roman" w:hAnsi="Times New Roman"/>
                <w:szCs w:val="21"/>
              </w:rPr>
            </w:pPr>
            <w:r>
              <w:rPr>
                <w:rFonts w:hint="eastAsia" w:ascii="Times New Roman" w:hAnsi="Times New Roman"/>
                <w:szCs w:val="21"/>
              </w:rPr>
              <w:t>-2.665</w:t>
            </w:r>
          </w:p>
        </w:tc>
        <w:tc>
          <w:tcPr>
            <w:tcW w:w="1258" w:type="dxa"/>
            <w:tcBorders>
              <w:top w:val="nil"/>
              <w:left w:val="nil"/>
              <w:bottom w:val="nil"/>
              <w:right w:val="nil"/>
            </w:tcBorders>
            <w:shd w:val="clear" w:color="auto" w:fill="auto"/>
            <w:noWrap w:val="0"/>
            <w:vAlign w:val="top"/>
          </w:tcPr>
          <w:p w14:paraId="42700488">
            <w:pPr>
              <w:jc w:val="center"/>
              <w:rPr>
                <w:rFonts w:ascii="Times New Roman" w:hAnsi="Times New Roman"/>
                <w:color w:val="FF0000"/>
                <w:szCs w:val="21"/>
              </w:rPr>
            </w:pPr>
            <w:r>
              <w:rPr>
                <w:rFonts w:hint="eastAsia" w:ascii="Times New Roman" w:hAnsi="Times New Roman"/>
                <w:color w:val="FF0000"/>
                <w:szCs w:val="21"/>
              </w:rPr>
              <w:t>0.008</w:t>
            </w:r>
          </w:p>
        </w:tc>
      </w:tr>
      <w:tr w14:paraId="3966D3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863" w:type="dxa"/>
            <w:tcBorders>
              <w:top w:val="nil"/>
              <w:left w:val="nil"/>
              <w:bottom w:val="nil"/>
              <w:right w:val="nil"/>
            </w:tcBorders>
            <w:shd w:val="clear" w:color="auto" w:fill="auto"/>
            <w:noWrap w:val="0"/>
            <w:vAlign w:val="top"/>
          </w:tcPr>
          <w:p w14:paraId="53A3BEED">
            <w:pPr>
              <w:jc w:val="center"/>
              <w:rPr>
                <w:rFonts w:ascii="Times New Roman" w:hAnsi="Times New Roman"/>
                <w:szCs w:val="21"/>
              </w:rPr>
            </w:pPr>
            <w:r>
              <w:rPr>
                <w:rFonts w:ascii="Times New Roman" w:hAnsi="Times New Roman"/>
                <w:szCs w:val="21"/>
              </w:rPr>
              <w:t>CA199</w:t>
            </w:r>
          </w:p>
        </w:tc>
        <w:tc>
          <w:tcPr>
            <w:tcW w:w="2072" w:type="dxa"/>
            <w:tcBorders>
              <w:top w:val="nil"/>
              <w:left w:val="nil"/>
              <w:bottom w:val="nil"/>
              <w:right w:val="nil"/>
            </w:tcBorders>
            <w:shd w:val="clear" w:color="auto" w:fill="auto"/>
            <w:noWrap w:val="0"/>
            <w:vAlign w:val="top"/>
          </w:tcPr>
          <w:p w14:paraId="695C0B8F">
            <w:pPr>
              <w:jc w:val="center"/>
              <w:rPr>
                <w:rFonts w:ascii="Times New Roman" w:hAnsi="Times New Roman"/>
                <w:szCs w:val="21"/>
              </w:rPr>
            </w:pPr>
            <w:r>
              <w:rPr>
                <w:rFonts w:ascii="Times New Roman" w:hAnsi="Times New Roman"/>
                <w:szCs w:val="21"/>
              </w:rPr>
              <w:t>9.96</w:t>
            </w:r>
            <w:r>
              <w:rPr>
                <w:rFonts w:hint="eastAsia" w:ascii="Times New Roman" w:hAnsi="Times New Roman"/>
                <w:szCs w:val="21"/>
              </w:rPr>
              <w:t>(</w:t>
            </w:r>
            <w:r>
              <w:rPr>
                <w:rFonts w:ascii="Times New Roman" w:hAnsi="Times New Roman"/>
                <w:szCs w:val="21"/>
              </w:rPr>
              <w:t>6.74,18.08</w:t>
            </w:r>
            <w:r>
              <w:rPr>
                <w:rFonts w:hint="eastAsia" w:ascii="Times New Roman" w:hAnsi="Times New Roman"/>
                <w:szCs w:val="21"/>
              </w:rPr>
              <w:t>)</w:t>
            </w:r>
          </w:p>
        </w:tc>
        <w:tc>
          <w:tcPr>
            <w:tcW w:w="2072" w:type="dxa"/>
            <w:tcBorders>
              <w:top w:val="nil"/>
              <w:left w:val="nil"/>
              <w:bottom w:val="nil"/>
              <w:right w:val="nil"/>
            </w:tcBorders>
            <w:shd w:val="clear" w:color="auto" w:fill="auto"/>
            <w:noWrap w:val="0"/>
            <w:vAlign w:val="top"/>
          </w:tcPr>
          <w:p w14:paraId="565A4F77">
            <w:pPr>
              <w:jc w:val="center"/>
              <w:rPr>
                <w:rFonts w:ascii="Times New Roman" w:hAnsi="Times New Roman"/>
                <w:sz w:val="19"/>
                <w:szCs w:val="19"/>
              </w:rPr>
            </w:pPr>
            <w:r>
              <w:rPr>
                <w:rFonts w:ascii="Times New Roman" w:hAnsi="Times New Roman"/>
                <w:sz w:val="19"/>
                <w:szCs w:val="19"/>
              </w:rPr>
              <w:t>25.32</w:t>
            </w:r>
            <w:r>
              <w:rPr>
                <w:rFonts w:hint="eastAsia" w:ascii="Times New Roman" w:hAnsi="Times New Roman"/>
                <w:sz w:val="19"/>
                <w:szCs w:val="19"/>
              </w:rPr>
              <w:t>(</w:t>
            </w:r>
            <w:r>
              <w:rPr>
                <w:rFonts w:ascii="Times New Roman" w:hAnsi="Times New Roman"/>
                <w:sz w:val="19"/>
                <w:szCs w:val="19"/>
              </w:rPr>
              <w:t>10.42,57.14</w:t>
            </w:r>
            <w:r>
              <w:rPr>
                <w:rFonts w:hint="eastAsia" w:ascii="Times New Roman" w:hAnsi="Times New Roman"/>
                <w:sz w:val="19"/>
                <w:szCs w:val="19"/>
              </w:rPr>
              <w:t>)</w:t>
            </w:r>
          </w:p>
        </w:tc>
        <w:tc>
          <w:tcPr>
            <w:tcW w:w="1257" w:type="dxa"/>
            <w:tcBorders>
              <w:top w:val="nil"/>
              <w:left w:val="nil"/>
              <w:bottom w:val="nil"/>
              <w:right w:val="nil"/>
            </w:tcBorders>
            <w:shd w:val="clear" w:color="auto" w:fill="auto"/>
            <w:noWrap w:val="0"/>
            <w:vAlign w:val="top"/>
          </w:tcPr>
          <w:p w14:paraId="2F24E374">
            <w:pPr>
              <w:jc w:val="center"/>
              <w:rPr>
                <w:rFonts w:ascii="Times New Roman" w:hAnsi="Times New Roman"/>
                <w:szCs w:val="21"/>
              </w:rPr>
            </w:pPr>
            <w:r>
              <w:rPr>
                <w:rFonts w:hint="eastAsia" w:ascii="Times New Roman" w:hAnsi="Times New Roman"/>
                <w:szCs w:val="21"/>
              </w:rPr>
              <w:t>-3.646</w:t>
            </w:r>
          </w:p>
        </w:tc>
        <w:tc>
          <w:tcPr>
            <w:tcW w:w="1258" w:type="dxa"/>
            <w:tcBorders>
              <w:top w:val="nil"/>
              <w:left w:val="nil"/>
              <w:bottom w:val="nil"/>
              <w:right w:val="nil"/>
            </w:tcBorders>
            <w:shd w:val="clear" w:color="auto" w:fill="auto"/>
            <w:noWrap w:val="0"/>
            <w:vAlign w:val="top"/>
          </w:tcPr>
          <w:p w14:paraId="733074CE">
            <w:pPr>
              <w:jc w:val="center"/>
              <w:rPr>
                <w:rFonts w:ascii="Times New Roman" w:hAnsi="Times New Roman"/>
                <w:szCs w:val="21"/>
              </w:rPr>
            </w:pPr>
            <w:r>
              <w:rPr>
                <w:rFonts w:hint="eastAsia" w:ascii="Times New Roman" w:hAnsi="Times New Roman"/>
                <w:color w:val="FF0000"/>
                <w:sz w:val="19"/>
                <w:szCs w:val="19"/>
              </w:rPr>
              <w:t>&lt;0.001</w:t>
            </w:r>
          </w:p>
        </w:tc>
      </w:tr>
      <w:tr w14:paraId="0C19D8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863" w:type="dxa"/>
            <w:tcBorders>
              <w:top w:val="nil"/>
              <w:left w:val="nil"/>
              <w:bottom w:val="nil"/>
              <w:right w:val="nil"/>
            </w:tcBorders>
            <w:shd w:val="clear" w:color="auto" w:fill="auto"/>
            <w:noWrap w:val="0"/>
            <w:vAlign w:val="top"/>
          </w:tcPr>
          <w:p w14:paraId="000320BE">
            <w:pPr>
              <w:jc w:val="center"/>
              <w:rPr>
                <w:rFonts w:ascii="Times New Roman" w:hAnsi="Times New Roman"/>
                <w:szCs w:val="21"/>
              </w:rPr>
            </w:pPr>
            <w:r>
              <w:rPr>
                <w:rFonts w:ascii="Times New Roman" w:hAnsi="Times New Roman"/>
                <w:szCs w:val="21"/>
              </w:rPr>
              <w:t>NSE</w:t>
            </w:r>
          </w:p>
        </w:tc>
        <w:tc>
          <w:tcPr>
            <w:tcW w:w="2072" w:type="dxa"/>
            <w:tcBorders>
              <w:top w:val="nil"/>
              <w:left w:val="nil"/>
              <w:bottom w:val="nil"/>
              <w:right w:val="nil"/>
            </w:tcBorders>
            <w:shd w:val="clear" w:color="auto" w:fill="auto"/>
            <w:noWrap w:val="0"/>
            <w:vAlign w:val="top"/>
          </w:tcPr>
          <w:p w14:paraId="1142F340">
            <w:pPr>
              <w:jc w:val="center"/>
              <w:rPr>
                <w:rFonts w:ascii="Times New Roman" w:hAnsi="Times New Roman"/>
                <w:szCs w:val="21"/>
              </w:rPr>
            </w:pPr>
            <w:r>
              <w:rPr>
                <w:rFonts w:ascii="Times New Roman" w:hAnsi="Times New Roman"/>
                <w:szCs w:val="21"/>
              </w:rPr>
              <w:t>19.11</w:t>
            </w:r>
            <w:r>
              <w:rPr>
                <w:rFonts w:hint="eastAsia" w:ascii="Times New Roman" w:hAnsi="Times New Roman"/>
                <w:szCs w:val="21"/>
              </w:rPr>
              <w:t>(</w:t>
            </w:r>
            <w:r>
              <w:rPr>
                <w:rFonts w:ascii="Times New Roman" w:hAnsi="Times New Roman"/>
                <w:szCs w:val="21"/>
              </w:rPr>
              <w:t>15.31,23.43</w:t>
            </w:r>
            <w:r>
              <w:rPr>
                <w:rFonts w:hint="eastAsia" w:ascii="Times New Roman" w:hAnsi="Times New Roman"/>
                <w:szCs w:val="21"/>
              </w:rPr>
              <w:t>)</w:t>
            </w:r>
          </w:p>
        </w:tc>
        <w:tc>
          <w:tcPr>
            <w:tcW w:w="2072" w:type="dxa"/>
            <w:tcBorders>
              <w:top w:val="nil"/>
              <w:left w:val="nil"/>
              <w:bottom w:val="nil"/>
              <w:right w:val="nil"/>
            </w:tcBorders>
            <w:shd w:val="clear" w:color="auto" w:fill="auto"/>
            <w:noWrap w:val="0"/>
            <w:vAlign w:val="top"/>
          </w:tcPr>
          <w:p w14:paraId="08BC5F67">
            <w:pPr>
              <w:jc w:val="center"/>
              <w:rPr>
                <w:rFonts w:ascii="Times New Roman" w:hAnsi="Times New Roman"/>
                <w:sz w:val="19"/>
                <w:szCs w:val="19"/>
              </w:rPr>
            </w:pPr>
            <w:r>
              <w:rPr>
                <w:rFonts w:ascii="Times New Roman" w:hAnsi="Times New Roman"/>
                <w:sz w:val="19"/>
                <w:szCs w:val="19"/>
              </w:rPr>
              <w:t>20.61</w:t>
            </w:r>
            <w:r>
              <w:rPr>
                <w:rFonts w:hint="eastAsia" w:ascii="Times New Roman" w:hAnsi="Times New Roman"/>
                <w:sz w:val="19"/>
                <w:szCs w:val="19"/>
              </w:rPr>
              <w:t>(</w:t>
            </w:r>
            <w:r>
              <w:rPr>
                <w:rFonts w:ascii="Times New Roman" w:hAnsi="Times New Roman"/>
                <w:sz w:val="19"/>
                <w:szCs w:val="19"/>
              </w:rPr>
              <w:t>17.25,44.26</w:t>
            </w:r>
            <w:r>
              <w:rPr>
                <w:rFonts w:hint="eastAsia" w:ascii="Times New Roman" w:hAnsi="Times New Roman"/>
                <w:sz w:val="19"/>
                <w:szCs w:val="19"/>
              </w:rPr>
              <w:t>)</w:t>
            </w:r>
          </w:p>
        </w:tc>
        <w:tc>
          <w:tcPr>
            <w:tcW w:w="1257" w:type="dxa"/>
            <w:tcBorders>
              <w:top w:val="nil"/>
              <w:left w:val="nil"/>
              <w:bottom w:val="nil"/>
              <w:right w:val="nil"/>
            </w:tcBorders>
            <w:shd w:val="clear" w:color="auto" w:fill="auto"/>
            <w:noWrap w:val="0"/>
            <w:vAlign w:val="top"/>
          </w:tcPr>
          <w:p w14:paraId="52594DA4">
            <w:pPr>
              <w:jc w:val="center"/>
              <w:rPr>
                <w:rFonts w:ascii="Times New Roman" w:hAnsi="Times New Roman"/>
                <w:szCs w:val="21"/>
              </w:rPr>
            </w:pPr>
            <w:r>
              <w:rPr>
                <w:rFonts w:hint="eastAsia" w:ascii="Times New Roman" w:hAnsi="Times New Roman"/>
                <w:szCs w:val="21"/>
              </w:rPr>
              <w:t>-2.324</w:t>
            </w:r>
          </w:p>
        </w:tc>
        <w:tc>
          <w:tcPr>
            <w:tcW w:w="1258" w:type="dxa"/>
            <w:tcBorders>
              <w:top w:val="nil"/>
              <w:left w:val="nil"/>
              <w:bottom w:val="nil"/>
              <w:right w:val="nil"/>
            </w:tcBorders>
            <w:shd w:val="clear" w:color="auto" w:fill="auto"/>
            <w:noWrap w:val="0"/>
            <w:vAlign w:val="top"/>
          </w:tcPr>
          <w:p w14:paraId="5ABFBF75">
            <w:pPr>
              <w:jc w:val="center"/>
              <w:rPr>
                <w:rFonts w:ascii="Times New Roman" w:hAnsi="Times New Roman"/>
                <w:color w:val="FF0000"/>
                <w:szCs w:val="21"/>
              </w:rPr>
            </w:pPr>
            <w:r>
              <w:rPr>
                <w:rFonts w:hint="eastAsia" w:ascii="Times New Roman" w:hAnsi="Times New Roman"/>
                <w:color w:val="FF0000"/>
                <w:szCs w:val="21"/>
              </w:rPr>
              <w:t>0.020</w:t>
            </w:r>
          </w:p>
        </w:tc>
      </w:tr>
      <w:tr w14:paraId="68CAA5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863" w:type="dxa"/>
            <w:tcBorders>
              <w:top w:val="nil"/>
              <w:left w:val="nil"/>
              <w:bottom w:val="nil"/>
              <w:right w:val="nil"/>
            </w:tcBorders>
            <w:shd w:val="clear" w:color="auto" w:fill="auto"/>
            <w:noWrap w:val="0"/>
            <w:vAlign w:val="top"/>
          </w:tcPr>
          <w:p w14:paraId="7226A6A5">
            <w:pPr>
              <w:jc w:val="center"/>
              <w:rPr>
                <w:rFonts w:ascii="Times New Roman" w:hAnsi="Times New Roman"/>
                <w:szCs w:val="21"/>
              </w:rPr>
            </w:pPr>
            <w:r>
              <w:rPr>
                <w:rFonts w:hint="eastAsia" w:ascii="Times New Roman" w:hAnsi="Times New Roman"/>
                <w:szCs w:val="21"/>
              </w:rPr>
              <w:t>TC</w:t>
            </w:r>
          </w:p>
        </w:tc>
        <w:tc>
          <w:tcPr>
            <w:tcW w:w="2072" w:type="dxa"/>
            <w:tcBorders>
              <w:top w:val="nil"/>
              <w:left w:val="nil"/>
              <w:bottom w:val="nil"/>
              <w:right w:val="nil"/>
            </w:tcBorders>
            <w:shd w:val="clear" w:color="auto" w:fill="auto"/>
            <w:noWrap w:val="0"/>
            <w:vAlign w:val="top"/>
          </w:tcPr>
          <w:p w14:paraId="383189EB">
            <w:pPr>
              <w:jc w:val="center"/>
              <w:rPr>
                <w:rFonts w:ascii="Times New Roman" w:hAnsi="Times New Roman"/>
                <w:szCs w:val="21"/>
              </w:rPr>
            </w:pPr>
            <w:r>
              <w:rPr>
                <w:rFonts w:ascii="Times New Roman" w:hAnsi="Times New Roman"/>
                <w:szCs w:val="21"/>
              </w:rPr>
              <w:t>4.19</w:t>
            </w:r>
            <w:r>
              <w:rPr>
                <w:rFonts w:hint="eastAsia" w:ascii="Times New Roman" w:hAnsi="Times New Roman"/>
                <w:szCs w:val="21"/>
              </w:rPr>
              <w:t>(</w:t>
            </w:r>
            <w:r>
              <w:rPr>
                <w:rFonts w:ascii="Times New Roman" w:hAnsi="Times New Roman"/>
                <w:szCs w:val="21"/>
              </w:rPr>
              <w:t>3.61,4.79</w:t>
            </w:r>
            <w:r>
              <w:rPr>
                <w:rFonts w:hint="eastAsia" w:ascii="Times New Roman" w:hAnsi="Times New Roman"/>
                <w:szCs w:val="21"/>
              </w:rPr>
              <w:t>)</w:t>
            </w:r>
          </w:p>
        </w:tc>
        <w:tc>
          <w:tcPr>
            <w:tcW w:w="2072" w:type="dxa"/>
            <w:tcBorders>
              <w:top w:val="nil"/>
              <w:left w:val="nil"/>
              <w:bottom w:val="nil"/>
              <w:right w:val="nil"/>
            </w:tcBorders>
            <w:shd w:val="clear" w:color="auto" w:fill="auto"/>
            <w:noWrap w:val="0"/>
            <w:vAlign w:val="top"/>
          </w:tcPr>
          <w:p w14:paraId="3A256E61">
            <w:pPr>
              <w:jc w:val="center"/>
              <w:rPr>
                <w:rFonts w:ascii="Times New Roman" w:hAnsi="Times New Roman"/>
                <w:sz w:val="19"/>
                <w:szCs w:val="19"/>
              </w:rPr>
            </w:pPr>
            <w:r>
              <w:rPr>
                <w:rFonts w:ascii="Times New Roman" w:hAnsi="Times New Roman"/>
                <w:sz w:val="19"/>
                <w:szCs w:val="19"/>
              </w:rPr>
              <w:t>4.72</w:t>
            </w:r>
            <w:r>
              <w:rPr>
                <w:rFonts w:hint="eastAsia" w:ascii="Times New Roman" w:hAnsi="Times New Roman"/>
                <w:sz w:val="19"/>
                <w:szCs w:val="19"/>
              </w:rPr>
              <w:t>(</w:t>
            </w:r>
            <w:r>
              <w:rPr>
                <w:rFonts w:ascii="Times New Roman" w:hAnsi="Times New Roman"/>
                <w:sz w:val="19"/>
                <w:szCs w:val="19"/>
              </w:rPr>
              <w:t>4.27,5.51</w:t>
            </w:r>
            <w:r>
              <w:rPr>
                <w:rFonts w:hint="eastAsia" w:ascii="Times New Roman" w:hAnsi="Times New Roman"/>
                <w:sz w:val="19"/>
                <w:szCs w:val="19"/>
              </w:rPr>
              <w:t>)</w:t>
            </w:r>
          </w:p>
        </w:tc>
        <w:tc>
          <w:tcPr>
            <w:tcW w:w="1257" w:type="dxa"/>
            <w:tcBorders>
              <w:top w:val="nil"/>
              <w:left w:val="nil"/>
              <w:bottom w:val="nil"/>
              <w:right w:val="nil"/>
            </w:tcBorders>
            <w:shd w:val="clear" w:color="auto" w:fill="auto"/>
            <w:noWrap w:val="0"/>
            <w:vAlign w:val="top"/>
          </w:tcPr>
          <w:p w14:paraId="6DA10280">
            <w:pPr>
              <w:jc w:val="center"/>
              <w:rPr>
                <w:rFonts w:ascii="Times New Roman" w:hAnsi="Times New Roman"/>
                <w:szCs w:val="21"/>
              </w:rPr>
            </w:pPr>
            <w:r>
              <w:rPr>
                <w:rFonts w:hint="eastAsia" w:ascii="Times New Roman" w:hAnsi="Times New Roman"/>
                <w:szCs w:val="21"/>
              </w:rPr>
              <w:t>-2.554</w:t>
            </w:r>
          </w:p>
        </w:tc>
        <w:tc>
          <w:tcPr>
            <w:tcW w:w="1258" w:type="dxa"/>
            <w:tcBorders>
              <w:top w:val="nil"/>
              <w:left w:val="nil"/>
              <w:bottom w:val="nil"/>
              <w:right w:val="nil"/>
            </w:tcBorders>
            <w:shd w:val="clear" w:color="auto" w:fill="auto"/>
            <w:noWrap w:val="0"/>
            <w:vAlign w:val="top"/>
          </w:tcPr>
          <w:p w14:paraId="7FF75289">
            <w:pPr>
              <w:jc w:val="center"/>
              <w:rPr>
                <w:rFonts w:ascii="Times New Roman" w:hAnsi="Times New Roman"/>
                <w:color w:val="FF0000"/>
                <w:szCs w:val="21"/>
              </w:rPr>
            </w:pPr>
            <w:r>
              <w:rPr>
                <w:rFonts w:hint="eastAsia" w:ascii="Times New Roman" w:hAnsi="Times New Roman"/>
                <w:color w:val="FF0000"/>
                <w:szCs w:val="21"/>
              </w:rPr>
              <w:t>0</w:t>
            </w:r>
            <w:r>
              <w:rPr>
                <w:rFonts w:ascii="Times New Roman" w:hAnsi="Times New Roman"/>
                <w:color w:val="FF0000"/>
                <w:szCs w:val="21"/>
              </w:rPr>
              <w:t>.011</w:t>
            </w:r>
          </w:p>
        </w:tc>
      </w:tr>
      <w:tr w14:paraId="1855AA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863" w:type="dxa"/>
            <w:tcBorders>
              <w:top w:val="nil"/>
              <w:left w:val="nil"/>
              <w:bottom w:val="nil"/>
              <w:right w:val="nil"/>
            </w:tcBorders>
            <w:shd w:val="clear" w:color="auto" w:fill="auto"/>
            <w:noWrap w:val="0"/>
            <w:vAlign w:val="top"/>
          </w:tcPr>
          <w:p w14:paraId="32CE2670">
            <w:pPr>
              <w:jc w:val="center"/>
              <w:rPr>
                <w:rFonts w:ascii="Times New Roman" w:hAnsi="Times New Roman"/>
                <w:szCs w:val="21"/>
              </w:rPr>
            </w:pPr>
            <w:r>
              <w:rPr>
                <w:rFonts w:hint="eastAsia" w:ascii="Times New Roman" w:hAnsi="Times New Roman"/>
                <w:szCs w:val="21"/>
              </w:rPr>
              <w:t>HDL</w:t>
            </w:r>
            <w:r>
              <w:rPr>
                <w:rFonts w:ascii="Times New Roman" w:hAnsi="Times New Roman"/>
                <w:szCs w:val="21"/>
              </w:rPr>
              <w:t>-c</w:t>
            </w:r>
          </w:p>
        </w:tc>
        <w:tc>
          <w:tcPr>
            <w:tcW w:w="2072" w:type="dxa"/>
            <w:tcBorders>
              <w:top w:val="nil"/>
              <w:left w:val="nil"/>
              <w:bottom w:val="nil"/>
              <w:right w:val="nil"/>
            </w:tcBorders>
            <w:shd w:val="clear" w:color="auto" w:fill="auto"/>
            <w:noWrap w:val="0"/>
            <w:vAlign w:val="top"/>
          </w:tcPr>
          <w:p w14:paraId="391B5055">
            <w:pPr>
              <w:jc w:val="center"/>
              <w:rPr>
                <w:rFonts w:ascii="Times New Roman" w:hAnsi="Times New Roman"/>
                <w:szCs w:val="21"/>
              </w:rPr>
            </w:pPr>
            <w:r>
              <w:rPr>
                <w:rFonts w:ascii="Times New Roman" w:hAnsi="Times New Roman"/>
                <w:szCs w:val="21"/>
              </w:rPr>
              <w:t>1.08</w:t>
            </w:r>
            <w:r>
              <w:rPr>
                <w:rFonts w:hint="eastAsia" w:ascii="Times New Roman" w:hAnsi="Times New Roman"/>
                <w:szCs w:val="21"/>
              </w:rPr>
              <w:t>(</w:t>
            </w:r>
            <w:r>
              <w:rPr>
                <w:rFonts w:ascii="Times New Roman" w:hAnsi="Times New Roman"/>
                <w:szCs w:val="21"/>
              </w:rPr>
              <w:t>0.92,1.23</w:t>
            </w:r>
            <w:r>
              <w:rPr>
                <w:rFonts w:hint="eastAsia" w:ascii="Times New Roman" w:hAnsi="Times New Roman"/>
                <w:szCs w:val="21"/>
              </w:rPr>
              <w:t>)</w:t>
            </w:r>
          </w:p>
        </w:tc>
        <w:tc>
          <w:tcPr>
            <w:tcW w:w="2072" w:type="dxa"/>
            <w:tcBorders>
              <w:top w:val="nil"/>
              <w:left w:val="nil"/>
              <w:bottom w:val="nil"/>
              <w:right w:val="nil"/>
            </w:tcBorders>
            <w:shd w:val="clear" w:color="auto" w:fill="auto"/>
            <w:noWrap w:val="0"/>
            <w:vAlign w:val="top"/>
          </w:tcPr>
          <w:p w14:paraId="4A1CC4C0">
            <w:pPr>
              <w:jc w:val="center"/>
              <w:rPr>
                <w:rFonts w:ascii="Times New Roman" w:hAnsi="Times New Roman"/>
                <w:sz w:val="19"/>
                <w:szCs w:val="19"/>
              </w:rPr>
            </w:pPr>
            <w:r>
              <w:rPr>
                <w:rFonts w:ascii="Times New Roman" w:hAnsi="Times New Roman"/>
                <w:sz w:val="19"/>
                <w:szCs w:val="19"/>
              </w:rPr>
              <w:t>1.11±0.40</w:t>
            </w:r>
          </w:p>
        </w:tc>
        <w:tc>
          <w:tcPr>
            <w:tcW w:w="1257" w:type="dxa"/>
            <w:tcBorders>
              <w:top w:val="nil"/>
              <w:left w:val="nil"/>
              <w:bottom w:val="nil"/>
              <w:right w:val="nil"/>
            </w:tcBorders>
            <w:shd w:val="clear" w:color="auto" w:fill="auto"/>
            <w:noWrap w:val="0"/>
            <w:vAlign w:val="top"/>
          </w:tcPr>
          <w:p w14:paraId="4648D06A">
            <w:pPr>
              <w:jc w:val="center"/>
              <w:rPr>
                <w:rFonts w:ascii="Times New Roman" w:hAnsi="Times New Roman"/>
                <w:szCs w:val="21"/>
              </w:rPr>
            </w:pPr>
            <w:r>
              <w:rPr>
                <w:rFonts w:hint="eastAsia" w:ascii="Times New Roman" w:hAnsi="Times New Roman"/>
                <w:szCs w:val="21"/>
              </w:rPr>
              <w:t>-0.348</w:t>
            </w:r>
          </w:p>
        </w:tc>
        <w:tc>
          <w:tcPr>
            <w:tcW w:w="1258" w:type="dxa"/>
            <w:tcBorders>
              <w:top w:val="nil"/>
              <w:left w:val="nil"/>
              <w:bottom w:val="nil"/>
              <w:right w:val="nil"/>
            </w:tcBorders>
            <w:shd w:val="clear" w:color="auto" w:fill="auto"/>
            <w:noWrap w:val="0"/>
            <w:vAlign w:val="top"/>
          </w:tcPr>
          <w:p w14:paraId="4F76692B">
            <w:pPr>
              <w:jc w:val="center"/>
              <w:rPr>
                <w:rFonts w:hint="eastAsia" w:ascii="Times New Roman" w:hAnsi="Times New Roman"/>
                <w:szCs w:val="21"/>
              </w:rPr>
            </w:pPr>
            <w:r>
              <w:rPr>
                <w:rFonts w:hint="eastAsia" w:ascii="Times New Roman" w:hAnsi="Times New Roman"/>
                <w:szCs w:val="21"/>
              </w:rPr>
              <w:t>0.728</w:t>
            </w:r>
          </w:p>
        </w:tc>
      </w:tr>
      <w:tr w14:paraId="275C45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863" w:type="dxa"/>
            <w:tcBorders>
              <w:top w:val="nil"/>
              <w:left w:val="nil"/>
              <w:bottom w:val="nil"/>
              <w:right w:val="nil"/>
            </w:tcBorders>
            <w:shd w:val="clear" w:color="auto" w:fill="auto"/>
            <w:noWrap w:val="0"/>
            <w:vAlign w:val="top"/>
          </w:tcPr>
          <w:p w14:paraId="2970110B">
            <w:pPr>
              <w:jc w:val="center"/>
              <w:rPr>
                <w:rFonts w:hint="eastAsia" w:ascii="Times New Roman" w:hAnsi="Times New Roman"/>
                <w:szCs w:val="21"/>
              </w:rPr>
            </w:pPr>
            <w:r>
              <w:rPr>
                <w:rFonts w:hint="eastAsia" w:ascii="Times New Roman" w:hAnsi="Times New Roman"/>
                <w:szCs w:val="21"/>
              </w:rPr>
              <w:t>LDL</w:t>
            </w:r>
            <w:r>
              <w:rPr>
                <w:rFonts w:ascii="Times New Roman" w:hAnsi="Times New Roman"/>
                <w:szCs w:val="21"/>
              </w:rPr>
              <w:t>-c</w:t>
            </w:r>
          </w:p>
        </w:tc>
        <w:tc>
          <w:tcPr>
            <w:tcW w:w="2072" w:type="dxa"/>
            <w:tcBorders>
              <w:top w:val="nil"/>
              <w:left w:val="nil"/>
              <w:bottom w:val="nil"/>
              <w:right w:val="nil"/>
            </w:tcBorders>
            <w:shd w:val="clear" w:color="auto" w:fill="auto"/>
            <w:noWrap w:val="0"/>
            <w:vAlign w:val="top"/>
          </w:tcPr>
          <w:p w14:paraId="06D765F1">
            <w:pPr>
              <w:jc w:val="center"/>
              <w:rPr>
                <w:rFonts w:ascii="Times New Roman" w:hAnsi="Times New Roman"/>
                <w:szCs w:val="21"/>
              </w:rPr>
            </w:pPr>
            <w:r>
              <w:rPr>
                <w:rFonts w:ascii="Times New Roman" w:hAnsi="Times New Roman"/>
                <w:szCs w:val="21"/>
              </w:rPr>
              <w:t>2.50</w:t>
            </w:r>
            <w:r>
              <w:rPr>
                <w:rFonts w:hint="eastAsia" w:ascii="Times New Roman" w:hAnsi="Times New Roman"/>
                <w:szCs w:val="21"/>
              </w:rPr>
              <w:t>(</w:t>
            </w:r>
            <w:r>
              <w:rPr>
                <w:rFonts w:ascii="Times New Roman" w:hAnsi="Times New Roman"/>
                <w:szCs w:val="21"/>
              </w:rPr>
              <w:t>2.12,2.89</w:t>
            </w:r>
            <w:r>
              <w:rPr>
                <w:rFonts w:hint="eastAsia" w:ascii="Times New Roman" w:hAnsi="Times New Roman"/>
                <w:szCs w:val="21"/>
              </w:rPr>
              <w:t>)</w:t>
            </w:r>
          </w:p>
        </w:tc>
        <w:tc>
          <w:tcPr>
            <w:tcW w:w="2072" w:type="dxa"/>
            <w:tcBorders>
              <w:top w:val="nil"/>
              <w:left w:val="nil"/>
              <w:bottom w:val="nil"/>
              <w:right w:val="nil"/>
            </w:tcBorders>
            <w:shd w:val="clear" w:color="auto" w:fill="auto"/>
            <w:noWrap w:val="0"/>
            <w:vAlign w:val="top"/>
          </w:tcPr>
          <w:p w14:paraId="14A798AC">
            <w:pPr>
              <w:jc w:val="center"/>
              <w:rPr>
                <w:rFonts w:ascii="Times New Roman" w:hAnsi="Times New Roman"/>
                <w:sz w:val="19"/>
                <w:szCs w:val="19"/>
              </w:rPr>
            </w:pPr>
            <w:r>
              <w:rPr>
                <w:rFonts w:ascii="Times New Roman" w:hAnsi="Times New Roman"/>
                <w:sz w:val="19"/>
                <w:szCs w:val="19"/>
              </w:rPr>
              <w:t>2.88</w:t>
            </w:r>
            <w:r>
              <w:rPr>
                <w:rFonts w:hint="eastAsia" w:ascii="Times New Roman" w:hAnsi="Times New Roman"/>
                <w:sz w:val="19"/>
                <w:szCs w:val="19"/>
              </w:rPr>
              <w:t>(</w:t>
            </w:r>
            <w:r>
              <w:rPr>
                <w:rFonts w:ascii="Times New Roman" w:hAnsi="Times New Roman"/>
                <w:sz w:val="19"/>
                <w:szCs w:val="19"/>
              </w:rPr>
              <w:t>2.46,3.55</w:t>
            </w:r>
            <w:r>
              <w:rPr>
                <w:rFonts w:hint="eastAsia" w:ascii="Times New Roman" w:hAnsi="Times New Roman"/>
                <w:sz w:val="19"/>
                <w:szCs w:val="19"/>
              </w:rPr>
              <w:t>)</w:t>
            </w:r>
          </w:p>
        </w:tc>
        <w:tc>
          <w:tcPr>
            <w:tcW w:w="1257" w:type="dxa"/>
            <w:tcBorders>
              <w:top w:val="nil"/>
              <w:left w:val="nil"/>
              <w:bottom w:val="nil"/>
              <w:right w:val="nil"/>
            </w:tcBorders>
            <w:shd w:val="clear" w:color="auto" w:fill="auto"/>
            <w:noWrap w:val="0"/>
            <w:vAlign w:val="top"/>
          </w:tcPr>
          <w:p w14:paraId="178782A4">
            <w:pPr>
              <w:jc w:val="center"/>
              <w:rPr>
                <w:rFonts w:ascii="Times New Roman" w:hAnsi="Times New Roman"/>
                <w:szCs w:val="21"/>
              </w:rPr>
            </w:pPr>
            <w:r>
              <w:rPr>
                <w:rFonts w:hint="eastAsia" w:ascii="Times New Roman" w:hAnsi="Times New Roman"/>
                <w:szCs w:val="21"/>
              </w:rPr>
              <w:t>-2.789</w:t>
            </w:r>
          </w:p>
        </w:tc>
        <w:tc>
          <w:tcPr>
            <w:tcW w:w="1258" w:type="dxa"/>
            <w:tcBorders>
              <w:top w:val="nil"/>
              <w:left w:val="nil"/>
              <w:bottom w:val="nil"/>
              <w:right w:val="nil"/>
            </w:tcBorders>
            <w:shd w:val="clear" w:color="auto" w:fill="auto"/>
            <w:noWrap w:val="0"/>
            <w:vAlign w:val="top"/>
          </w:tcPr>
          <w:p w14:paraId="2C9B5A20">
            <w:pPr>
              <w:jc w:val="center"/>
              <w:rPr>
                <w:rFonts w:ascii="Times New Roman" w:hAnsi="Times New Roman"/>
                <w:color w:val="FF0000"/>
                <w:szCs w:val="21"/>
              </w:rPr>
            </w:pPr>
            <w:r>
              <w:rPr>
                <w:rFonts w:hint="eastAsia" w:ascii="Times New Roman" w:hAnsi="Times New Roman"/>
                <w:color w:val="FF0000"/>
                <w:szCs w:val="21"/>
              </w:rPr>
              <w:t>0.005</w:t>
            </w:r>
          </w:p>
        </w:tc>
      </w:tr>
      <w:tr w14:paraId="6D5BA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863" w:type="dxa"/>
            <w:tcBorders>
              <w:top w:val="nil"/>
              <w:left w:val="nil"/>
              <w:bottom w:val="single" w:color="auto" w:sz="4" w:space="0"/>
              <w:right w:val="nil"/>
            </w:tcBorders>
            <w:shd w:val="clear" w:color="auto" w:fill="auto"/>
            <w:noWrap w:val="0"/>
            <w:vAlign w:val="top"/>
          </w:tcPr>
          <w:p w14:paraId="31B4BE15">
            <w:pPr>
              <w:jc w:val="center"/>
              <w:rPr>
                <w:rFonts w:hint="eastAsia" w:ascii="Times New Roman" w:hAnsi="Times New Roman"/>
                <w:szCs w:val="21"/>
              </w:rPr>
            </w:pPr>
            <w:r>
              <w:rPr>
                <w:rFonts w:ascii="Times New Roman" w:hAnsi="Times New Roman"/>
                <w:szCs w:val="21"/>
              </w:rPr>
              <w:t>Triglyceride</w:t>
            </w:r>
          </w:p>
        </w:tc>
        <w:tc>
          <w:tcPr>
            <w:tcW w:w="2072" w:type="dxa"/>
            <w:tcBorders>
              <w:top w:val="nil"/>
              <w:left w:val="nil"/>
              <w:bottom w:val="single" w:color="auto" w:sz="4" w:space="0"/>
              <w:right w:val="nil"/>
            </w:tcBorders>
            <w:shd w:val="clear" w:color="auto" w:fill="auto"/>
            <w:noWrap w:val="0"/>
            <w:vAlign w:val="top"/>
          </w:tcPr>
          <w:p w14:paraId="3A1655F1">
            <w:pPr>
              <w:jc w:val="center"/>
              <w:rPr>
                <w:rFonts w:ascii="Times New Roman" w:hAnsi="Times New Roman"/>
                <w:szCs w:val="21"/>
              </w:rPr>
            </w:pPr>
            <w:r>
              <w:rPr>
                <w:rFonts w:ascii="Times New Roman" w:hAnsi="Times New Roman"/>
                <w:szCs w:val="21"/>
              </w:rPr>
              <w:t>1.54</w:t>
            </w:r>
            <w:r>
              <w:rPr>
                <w:rFonts w:hint="eastAsia" w:ascii="Times New Roman" w:hAnsi="Times New Roman"/>
                <w:szCs w:val="21"/>
              </w:rPr>
              <w:t>(</w:t>
            </w:r>
            <w:r>
              <w:rPr>
                <w:rFonts w:ascii="Times New Roman" w:hAnsi="Times New Roman"/>
                <w:szCs w:val="21"/>
              </w:rPr>
              <w:t>1.05,2.67</w:t>
            </w:r>
            <w:r>
              <w:rPr>
                <w:rFonts w:hint="eastAsia" w:ascii="Times New Roman" w:hAnsi="Times New Roman"/>
                <w:szCs w:val="21"/>
              </w:rPr>
              <w:t>)</w:t>
            </w:r>
          </w:p>
        </w:tc>
        <w:tc>
          <w:tcPr>
            <w:tcW w:w="2072" w:type="dxa"/>
            <w:tcBorders>
              <w:top w:val="nil"/>
              <w:left w:val="nil"/>
              <w:bottom w:val="single" w:color="auto" w:sz="4" w:space="0"/>
              <w:right w:val="nil"/>
            </w:tcBorders>
            <w:shd w:val="clear" w:color="auto" w:fill="auto"/>
            <w:noWrap w:val="0"/>
            <w:vAlign w:val="top"/>
          </w:tcPr>
          <w:p w14:paraId="3355557B">
            <w:pPr>
              <w:jc w:val="center"/>
              <w:rPr>
                <w:rFonts w:ascii="Times New Roman" w:hAnsi="Times New Roman"/>
                <w:sz w:val="19"/>
                <w:szCs w:val="19"/>
              </w:rPr>
            </w:pPr>
            <w:r>
              <w:rPr>
                <w:rFonts w:ascii="Times New Roman" w:hAnsi="Times New Roman"/>
                <w:sz w:val="19"/>
                <w:szCs w:val="19"/>
              </w:rPr>
              <w:t>1.54</w:t>
            </w:r>
            <w:r>
              <w:rPr>
                <w:rFonts w:hint="eastAsia" w:ascii="Times New Roman" w:hAnsi="Times New Roman"/>
                <w:sz w:val="19"/>
                <w:szCs w:val="19"/>
              </w:rPr>
              <w:t>(</w:t>
            </w:r>
            <w:r>
              <w:rPr>
                <w:rFonts w:ascii="Times New Roman" w:hAnsi="Times New Roman"/>
                <w:sz w:val="19"/>
                <w:szCs w:val="19"/>
              </w:rPr>
              <w:t>1.05,2.67</w:t>
            </w:r>
            <w:r>
              <w:rPr>
                <w:rFonts w:hint="eastAsia" w:ascii="Times New Roman" w:hAnsi="Times New Roman"/>
                <w:sz w:val="19"/>
                <w:szCs w:val="19"/>
              </w:rPr>
              <w:t>)</w:t>
            </w:r>
          </w:p>
        </w:tc>
        <w:tc>
          <w:tcPr>
            <w:tcW w:w="1257" w:type="dxa"/>
            <w:tcBorders>
              <w:top w:val="nil"/>
              <w:left w:val="nil"/>
              <w:bottom w:val="single" w:color="auto" w:sz="4" w:space="0"/>
              <w:right w:val="nil"/>
            </w:tcBorders>
            <w:shd w:val="clear" w:color="auto" w:fill="auto"/>
            <w:noWrap w:val="0"/>
            <w:vAlign w:val="top"/>
          </w:tcPr>
          <w:p w14:paraId="7FDBDB71">
            <w:pPr>
              <w:jc w:val="center"/>
              <w:rPr>
                <w:rFonts w:ascii="Times New Roman" w:hAnsi="Times New Roman"/>
                <w:szCs w:val="21"/>
              </w:rPr>
            </w:pPr>
            <w:r>
              <w:rPr>
                <w:rFonts w:hint="eastAsia" w:ascii="Times New Roman" w:hAnsi="Times New Roman"/>
                <w:szCs w:val="21"/>
              </w:rPr>
              <w:t>-0.245</w:t>
            </w:r>
          </w:p>
        </w:tc>
        <w:tc>
          <w:tcPr>
            <w:tcW w:w="1258" w:type="dxa"/>
            <w:tcBorders>
              <w:top w:val="nil"/>
              <w:left w:val="nil"/>
              <w:bottom w:val="single" w:color="auto" w:sz="4" w:space="0"/>
              <w:right w:val="nil"/>
            </w:tcBorders>
            <w:shd w:val="clear" w:color="auto" w:fill="auto"/>
            <w:noWrap w:val="0"/>
            <w:vAlign w:val="top"/>
          </w:tcPr>
          <w:p w14:paraId="6EBF9A24">
            <w:pPr>
              <w:jc w:val="center"/>
              <w:rPr>
                <w:rFonts w:ascii="Times New Roman" w:hAnsi="Times New Roman"/>
                <w:szCs w:val="21"/>
              </w:rPr>
            </w:pPr>
            <w:r>
              <w:rPr>
                <w:rFonts w:hint="eastAsia" w:ascii="Times New Roman" w:hAnsi="Times New Roman"/>
                <w:szCs w:val="21"/>
              </w:rPr>
              <w:t>0.806</w:t>
            </w:r>
          </w:p>
        </w:tc>
      </w:tr>
    </w:tbl>
    <w:p w14:paraId="10E4DE60">
      <w:pPr>
        <w:jc w:val="center"/>
        <w:rPr>
          <w:rFonts w:ascii="Times New Roman" w:hAnsi="Times New Roman"/>
          <w:b/>
          <w:bCs/>
        </w:rPr>
      </w:pPr>
    </w:p>
    <w:p w14:paraId="0C8495FA">
      <w:pPr>
        <w:jc w:val="center"/>
        <w:rPr>
          <w:rFonts w:ascii="Times New Roman" w:hAnsi="Times New Roman"/>
          <w:b/>
          <w:bCs/>
        </w:rPr>
      </w:pPr>
    </w:p>
    <w:p w14:paraId="1DA01A99">
      <w:pPr>
        <w:jc w:val="center"/>
        <w:rPr>
          <w:rFonts w:hint="eastAsia" w:ascii="Times New Roman" w:hAnsi="Times New Roman"/>
          <w:b/>
          <w:bCs/>
        </w:rPr>
      </w:pPr>
      <w:r>
        <w:rPr>
          <w:rFonts w:ascii="Times New Roman" w:hAnsi="Times New Roman"/>
          <w:b/>
          <w:bCs/>
        </w:rPr>
        <w:t xml:space="preserve">Table 5. Characteristics of pNETs patients with or without metastasis </w:t>
      </w:r>
    </w:p>
    <w:tbl>
      <w:tblPr>
        <w:tblStyle w:val="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51"/>
        <w:gridCol w:w="2268"/>
        <w:gridCol w:w="2268"/>
        <w:gridCol w:w="1017"/>
        <w:gridCol w:w="1018"/>
      </w:tblGrid>
      <w:tr w14:paraId="7266AA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nil"/>
              <w:bottom w:val="single" w:color="auto" w:sz="4" w:space="0"/>
              <w:right w:val="nil"/>
            </w:tcBorders>
            <w:shd w:val="clear" w:color="auto" w:fill="auto"/>
            <w:noWrap w:val="0"/>
            <w:vAlign w:val="top"/>
          </w:tcPr>
          <w:p w14:paraId="692C7B69">
            <w:pPr>
              <w:jc w:val="center"/>
              <w:rPr>
                <w:rFonts w:ascii="Times New Roman" w:hAnsi="Times New Roman"/>
              </w:rPr>
            </w:pPr>
          </w:p>
        </w:tc>
        <w:tc>
          <w:tcPr>
            <w:tcW w:w="2268" w:type="dxa"/>
            <w:tcBorders>
              <w:top w:val="single" w:color="auto" w:sz="4" w:space="0"/>
              <w:left w:val="nil"/>
              <w:bottom w:val="single" w:color="auto" w:sz="4" w:space="0"/>
              <w:right w:val="nil"/>
            </w:tcBorders>
            <w:shd w:val="clear" w:color="auto" w:fill="auto"/>
            <w:noWrap w:val="0"/>
            <w:vAlign w:val="top"/>
          </w:tcPr>
          <w:p w14:paraId="686AADE3">
            <w:pPr>
              <w:jc w:val="center"/>
              <w:rPr>
                <w:rFonts w:ascii="Times New Roman" w:hAnsi="Times New Roman"/>
              </w:rPr>
            </w:pPr>
            <w:r>
              <w:rPr>
                <w:rFonts w:ascii="Times New Roman" w:hAnsi="Times New Roman"/>
              </w:rPr>
              <w:t>Without metastasis</w:t>
            </w:r>
            <w:r>
              <w:rPr>
                <w:rFonts w:ascii="Times New Roman" w:hAnsi="Times New Roman"/>
                <w:b/>
                <w:bCs/>
              </w:rPr>
              <w:t xml:space="preserve"> </w:t>
            </w:r>
          </w:p>
        </w:tc>
        <w:tc>
          <w:tcPr>
            <w:tcW w:w="2268" w:type="dxa"/>
            <w:tcBorders>
              <w:top w:val="single" w:color="auto" w:sz="4" w:space="0"/>
              <w:left w:val="nil"/>
              <w:bottom w:val="single" w:color="auto" w:sz="4" w:space="0"/>
              <w:right w:val="nil"/>
            </w:tcBorders>
            <w:shd w:val="clear" w:color="auto" w:fill="auto"/>
            <w:noWrap w:val="0"/>
            <w:vAlign w:val="top"/>
          </w:tcPr>
          <w:p w14:paraId="359CA836">
            <w:pPr>
              <w:jc w:val="center"/>
              <w:rPr>
                <w:rFonts w:ascii="Times New Roman" w:hAnsi="Times New Roman"/>
              </w:rPr>
            </w:pPr>
            <w:r>
              <w:rPr>
                <w:rFonts w:ascii="Times New Roman" w:hAnsi="Times New Roman"/>
              </w:rPr>
              <w:t>With metastasis</w:t>
            </w:r>
          </w:p>
        </w:tc>
        <w:tc>
          <w:tcPr>
            <w:tcW w:w="1017" w:type="dxa"/>
            <w:tcBorders>
              <w:top w:val="single" w:color="auto" w:sz="4" w:space="0"/>
              <w:left w:val="nil"/>
              <w:bottom w:val="single" w:color="auto" w:sz="4" w:space="0"/>
              <w:right w:val="nil"/>
            </w:tcBorders>
            <w:shd w:val="clear" w:color="auto" w:fill="auto"/>
            <w:noWrap w:val="0"/>
            <w:vAlign w:val="top"/>
          </w:tcPr>
          <w:p w14:paraId="521A4A45">
            <w:pPr>
              <w:jc w:val="center"/>
              <w:rPr>
                <w:rFonts w:ascii="Times New Roman" w:hAnsi="Times New Roman"/>
              </w:rPr>
            </w:pPr>
            <w:r>
              <w:rPr>
                <w:rFonts w:hint="eastAsia" w:ascii="Times New Roman" w:hAnsi="Times New Roman"/>
                <w:szCs w:val="21"/>
              </w:rPr>
              <w:sym w:font="Symbol" w:char="F063"/>
            </w:r>
            <w:r>
              <w:rPr>
                <w:rFonts w:hint="eastAsia" w:ascii="Times New Roman" w:hAnsi="Times New Roman"/>
                <w:szCs w:val="21"/>
                <w:vertAlign w:val="superscript"/>
              </w:rPr>
              <w:t>2</w:t>
            </w:r>
            <w:r>
              <w:rPr>
                <w:rFonts w:hint="eastAsia" w:ascii="Times New Roman" w:hAnsi="Times New Roman"/>
                <w:szCs w:val="21"/>
              </w:rPr>
              <w:t>/</w:t>
            </w:r>
            <w:r>
              <w:rPr>
                <w:rFonts w:ascii="Times New Roman" w:hAnsi="Times New Roman"/>
                <w:szCs w:val="21"/>
              </w:rPr>
              <w:t>Z/</w:t>
            </w:r>
            <w:r>
              <w:rPr>
                <w:rFonts w:hint="eastAsia" w:ascii="Times New Roman" w:hAnsi="Times New Roman"/>
                <w:szCs w:val="21"/>
              </w:rPr>
              <w:t>t</w:t>
            </w:r>
          </w:p>
        </w:tc>
        <w:tc>
          <w:tcPr>
            <w:tcW w:w="1018" w:type="dxa"/>
            <w:tcBorders>
              <w:top w:val="single" w:color="auto" w:sz="4" w:space="0"/>
              <w:left w:val="nil"/>
              <w:bottom w:val="single" w:color="auto" w:sz="4" w:space="0"/>
              <w:right w:val="nil"/>
            </w:tcBorders>
            <w:shd w:val="clear" w:color="auto" w:fill="auto"/>
            <w:noWrap w:val="0"/>
            <w:vAlign w:val="top"/>
          </w:tcPr>
          <w:p w14:paraId="2FD57CB8">
            <w:pPr>
              <w:jc w:val="center"/>
              <w:rPr>
                <w:rFonts w:ascii="Times New Roman" w:hAnsi="Times New Roman"/>
              </w:rPr>
            </w:pPr>
            <w:r>
              <w:rPr>
                <w:rFonts w:ascii="Times New Roman" w:hAnsi="Times New Roman"/>
              </w:rPr>
              <w:t>P</w:t>
            </w:r>
          </w:p>
        </w:tc>
      </w:tr>
      <w:tr w14:paraId="3DC77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nil"/>
              <w:bottom w:val="nil"/>
              <w:right w:val="nil"/>
            </w:tcBorders>
            <w:shd w:val="clear" w:color="auto" w:fill="auto"/>
            <w:noWrap w:val="0"/>
            <w:vAlign w:val="top"/>
          </w:tcPr>
          <w:p w14:paraId="6AD5C518">
            <w:pPr>
              <w:jc w:val="center"/>
              <w:rPr>
                <w:rFonts w:ascii="Times New Roman" w:hAnsi="Times New Roman"/>
              </w:rPr>
            </w:pPr>
            <w:r>
              <w:rPr>
                <w:rFonts w:ascii="Times New Roman" w:hAnsi="Times New Roman"/>
              </w:rPr>
              <w:t>Sex (Male/Female)</w:t>
            </w:r>
          </w:p>
        </w:tc>
        <w:tc>
          <w:tcPr>
            <w:tcW w:w="2268" w:type="dxa"/>
            <w:tcBorders>
              <w:top w:val="single" w:color="auto" w:sz="4" w:space="0"/>
              <w:left w:val="nil"/>
              <w:bottom w:val="nil"/>
              <w:right w:val="nil"/>
            </w:tcBorders>
            <w:shd w:val="clear" w:color="auto" w:fill="auto"/>
            <w:noWrap w:val="0"/>
            <w:vAlign w:val="top"/>
          </w:tcPr>
          <w:p w14:paraId="075E7C24">
            <w:pPr>
              <w:jc w:val="center"/>
              <w:rPr>
                <w:rFonts w:ascii="Times New Roman" w:hAnsi="Times New Roman"/>
              </w:rPr>
            </w:pPr>
            <w:r>
              <w:rPr>
                <w:rFonts w:ascii="Times New Roman" w:hAnsi="Times New Roman"/>
              </w:rPr>
              <w:t>59/62</w:t>
            </w:r>
          </w:p>
        </w:tc>
        <w:tc>
          <w:tcPr>
            <w:tcW w:w="2268" w:type="dxa"/>
            <w:tcBorders>
              <w:top w:val="single" w:color="auto" w:sz="4" w:space="0"/>
              <w:left w:val="nil"/>
              <w:bottom w:val="nil"/>
              <w:right w:val="nil"/>
            </w:tcBorders>
            <w:shd w:val="clear" w:color="auto" w:fill="auto"/>
            <w:noWrap w:val="0"/>
            <w:vAlign w:val="top"/>
          </w:tcPr>
          <w:p w14:paraId="4CE3F5BB">
            <w:pPr>
              <w:jc w:val="center"/>
              <w:rPr>
                <w:rFonts w:ascii="Times New Roman" w:hAnsi="Times New Roman"/>
              </w:rPr>
            </w:pPr>
            <w:r>
              <w:rPr>
                <w:rFonts w:ascii="Times New Roman" w:hAnsi="Times New Roman"/>
              </w:rPr>
              <w:t>35/19</w:t>
            </w:r>
          </w:p>
        </w:tc>
        <w:tc>
          <w:tcPr>
            <w:tcW w:w="1017" w:type="dxa"/>
            <w:tcBorders>
              <w:top w:val="single" w:color="auto" w:sz="4" w:space="0"/>
              <w:left w:val="nil"/>
              <w:bottom w:val="nil"/>
              <w:right w:val="nil"/>
            </w:tcBorders>
            <w:shd w:val="clear" w:color="auto" w:fill="auto"/>
            <w:noWrap w:val="0"/>
            <w:vAlign w:val="top"/>
          </w:tcPr>
          <w:p w14:paraId="7282BB22">
            <w:pPr>
              <w:jc w:val="center"/>
              <w:rPr>
                <w:rFonts w:ascii="Times New Roman" w:hAnsi="Times New Roman"/>
              </w:rPr>
            </w:pPr>
            <w:r>
              <w:rPr>
                <w:rFonts w:hint="eastAsia" w:ascii="Times New Roman" w:hAnsi="Times New Roman"/>
              </w:rPr>
              <w:t>3.871</w:t>
            </w:r>
          </w:p>
        </w:tc>
        <w:tc>
          <w:tcPr>
            <w:tcW w:w="1018" w:type="dxa"/>
            <w:tcBorders>
              <w:top w:val="single" w:color="auto" w:sz="4" w:space="0"/>
              <w:left w:val="nil"/>
              <w:bottom w:val="nil"/>
              <w:right w:val="nil"/>
            </w:tcBorders>
            <w:shd w:val="clear" w:color="auto" w:fill="auto"/>
            <w:noWrap w:val="0"/>
            <w:vAlign w:val="top"/>
          </w:tcPr>
          <w:p w14:paraId="1EA97AF5">
            <w:pPr>
              <w:jc w:val="center"/>
              <w:rPr>
                <w:rFonts w:ascii="Times New Roman" w:hAnsi="Times New Roman"/>
                <w:color w:val="FF0000"/>
              </w:rPr>
            </w:pPr>
            <w:r>
              <w:rPr>
                <w:rFonts w:hint="eastAsia" w:ascii="Times New Roman" w:hAnsi="Times New Roman"/>
                <w:color w:val="FF0000"/>
              </w:rPr>
              <w:t>0.049</w:t>
            </w:r>
          </w:p>
        </w:tc>
      </w:tr>
      <w:tr w14:paraId="7EB71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nil"/>
              <w:left w:val="nil"/>
              <w:bottom w:val="nil"/>
              <w:right w:val="nil"/>
            </w:tcBorders>
            <w:shd w:val="clear" w:color="auto" w:fill="auto"/>
            <w:noWrap w:val="0"/>
            <w:vAlign w:val="top"/>
          </w:tcPr>
          <w:p w14:paraId="2E415451">
            <w:pPr>
              <w:jc w:val="center"/>
              <w:rPr>
                <w:rFonts w:ascii="Times New Roman" w:hAnsi="Times New Roman"/>
              </w:rPr>
            </w:pPr>
            <w:r>
              <w:rPr>
                <w:rFonts w:ascii="Times New Roman" w:hAnsi="Times New Roman"/>
              </w:rPr>
              <w:t>Age (Years)</w:t>
            </w:r>
          </w:p>
        </w:tc>
        <w:tc>
          <w:tcPr>
            <w:tcW w:w="2268" w:type="dxa"/>
            <w:tcBorders>
              <w:top w:val="nil"/>
              <w:left w:val="nil"/>
              <w:bottom w:val="nil"/>
              <w:right w:val="nil"/>
            </w:tcBorders>
            <w:shd w:val="clear" w:color="auto" w:fill="auto"/>
            <w:noWrap w:val="0"/>
            <w:vAlign w:val="top"/>
          </w:tcPr>
          <w:p w14:paraId="07E3047B">
            <w:pPr>
              <w:jc w:val="center"/>
              <w:rPr>
                <w:rFonts w:ascii="Times New Roman" w:hAnsi="Times New Roman"/>
              </w:rPr>
            </w:pPr>
            <w:r>
              <w:rPr>
                <w:rFonts w:hint="eastAsia" w:ascii="Times New Roman" w:hAnsi="Times New Roman"/>
              </w:rPr>
              <w:t>57.00(</w:t>
            </w:r>
            <w:r>
              <w:rPr>
                <w:rFonts w:ascii="Times New Roman" w:hAnsi="Times New Roman"/>
              </w:rPr>
              <w:t>50.00,65.00</w:t>
            </w:r>
            <w:r>
              <w:rPr>
                <w:rFonts w:hint="eastAsia" w:ascii="Times New Roman" w:hAnsi="Times New Roman"/>
              </w:rPr>
              <w:t>)</w:t>
            </w:r>
          </w:p>
        </w:tc>
        <w:tc>
          <w:tcPr>
            <w:tcW w:w="2268" w:type="dxa"/>
            <w:tcBorders>
              <w:top w:val="nil"/>
              <w:left w:val="nil"/>
              <w:bottom w:val="nil"/>
              <w:right w:val="nil"/>
            </w:tcBorders>
            <w:shd w:val="clear" w:color="auto" w:fill="auto"/>
            <w:noWrap w:val="0"/>
            <w:vAlign w:val="top"/>
          </w:tcPr>
          <w:p w14:paraId="05A8CD5F">
            <w:pPr>
              <w:jc w:val="center"/>
              <w:rPr>
                <w:rFonts w:ascii="Times New Roman" w:hAnsi="Times New Roman"/>
              </w:rPr>
            </w:pPr>
            <w:r>
              <w:rPr>
                <w:rFonts w:hint="eastAsia" w:ascii="Times New Roman" w:hAnsi="Times New Roman"/>
              </w:rPr>
              <w:t>56.17</w:t>
            </w:r>
            <w:r>
              <w:rPr>
                <w:rFonts w:ascii="Times New Roman" w:hAnsi="Times New Roman"/>
                <w:sz w:val="19"/>
                <w:szCs w:val="19"/>
              </w:rPr>
              <w:t>±12.77</w:t>
            </w:r>
          </w:p>
        </w:tc>
        <w:tc>
          <w:tcPr>
            <w:tcW w:w="1017" w:type="dxa"/>
            <w:tcBorders>
              <w:top w:val="nil"/>
              <w:left w:val="nil"/>
              <w:bottom w:val="nil"/>
              <w:right w:val="nil"/>
            </w:tcBorders>
            <w:shd w:val="clear" w:color="auto" w:fill="auto"/>
            <w:noWrap w:val="0"/>
            <w:vAlign w:val="top"/>
          </w:tcPr>
          <w:p w14:paraId="1EE818B3">
            <w:pPr>
              <w:jc w:val="center"/>
              <w:rPr>
                <w:rFonts w:ascii="Times New Roman" w:hAnsi="Times New Roman"/>
              </w:rPr>
            </w:pPr>
            <w:r>
              <w:rPr>
                <w:rFonts w:hint="eastAsia" w:ascii="Times New Roman" w:hAnsi="Times New Roman"/>
              </w:rPr>
              <w:t>-0.139</w:t>
            </w:r>
          </w:p>
        </w:tc>
        <w:tc>
          <w:tcPr>
            <w:tcW w:w="1018" w:type="dxa"/>
            <w:tcBorders>
              <w:top w:val="nil"/>
              <w:left w:val="nil"/>
              <w:bottom w:val="nil"/>
              <w:right w:val="nil"/>
            </w:tcBorders>
            <w:shd w:val="clear" w:color="auto" w:fill="auto"/>
            <w:noWrap w:val="0"/>
            <w:vAlign w:val="top"/>
          </w:tcPr>
          <w:p w14:paraId="405F2BEC">
            <w:pPr>
              <w:jc w:val="center"/>
              <w:rPr>
                <w:rFonts w:ascii="Times New Roman" w:hAnsi="Times New Roman"/>
              </w:rPr>
            </w:pPr>
            <w:r>
              <w:rPr>
                <w:rFonts w:hint="eastAsia" w:ascii="Times New Roman" w:hAnsi="Times New Roman"/>
              </w:rPr>
              <w:t>0.889</w:t>
            </w:r>
          </w:p>
        </w:tc>
      </w:tr>
      <w:tr w14:paraId="7ACBCB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nil"/>
              <w:left w:val="nil"/>
              <w:bottom w:val="nil"/>
              <w:right w:val="nil"/>
            </w:tcBorders>
            <w:shd w:val="clear" w:color="auto" w:fill="auto"/>
            <w:noWrap w:val="0"/>
            <w:vAlign w:val="top"/>
          </w:tcPr>
          <w:p w14:paraId="6D25DA75">
            <w:pPr>
              <w:jc w:val="center"/>
              <w:rPr>
                <w:rFonts w:hint="eastAsia" w:ascii="Times New Roman" w:hAnsi="Times New Roman"/>
                <w:szCs w:val="21"/>
              </w:rPr>
            </w:pPr>
            <w:r>
              <w:rPr>
                <w:rFonts w:hint="eastAsia" w:ascii="Times New Roman" w:hAnsi="Times New Roman"/>
                <w:szCs w:val="21"/>
              </w:rPr>
              <w:t>BMI</w:t>
            </w:r>
          </w:p>
        </w:tc>
        <w:tc>
          <w:tcPr>
            <w:tcW w:w="2268" w:type="dxa"/>
            <w:tcBorders>
              <w:top w:val="nil"/>
              <w:left w:val="nil"/>
              <w:bottom w:val="nil"/>
              <w:right w:val="nil"/>
            </w:tcBorders>
            <w:shd w:val="clear" w:color="auto" w:fill="auto"/>
            <w:noWrap w:val="0"/>
            <w:vAlign w:val="top"/>
          </w:tcPr>
          <w:p w14:paraId="7A9AB74F">
            <w:pPr>
              <w:jc w:val="center"/>
              <w:rPr>
                <w:rFonts w:ascii="Times New Roman" w:hAnsi="Times New Roman"/>
              </w:rPr>
            </w:pPr>
            <w:r>
              <w:rPr>
                <w:rFonts w:hint="eastAsia" w:ascii="Times New Roman" w:hAnsi="Times New Roman"/>
              </w:rPr>
              <w:t>2</w:t>
            </w:r>
            <w:r>
              <w:rPr>
                <w:rFonts w:ascii="Times New Roman" w:hAnsi="Times New Roman"/>
              </w:rPr>
              <w:t>4.15</w:t>
            </w:r>
            <w:r>
              <w:rPr>
                <w:rFonts w:ascii="Times New Roman" w:hAnsi="Times New Roman"/>
                <w:sz w:val="19"/>
                <w:szCs w:val="19"/>
              </w:rPr>
              <w:t>±3.30</w:t>
            </w:r>
          </w:p>
        </w:tc>
        <w:tc>
          <w:tcPr>
            <w:tcW w:w="2268" w:type="dxa"/>
            <w:tcBorders>
              <w:top w:val="nil"/>
              <w:left w:val="nil"/>
              <w:bottom w:val="nil"/>
              <w:right w:val="nil"/>
            </w:tcBorders>
            <w:shd w:val="clear" w:color="auto" w:fill="auto"/>
            <w:noWrap w:val="0"/>
            <w:vAlign w:val="top"/>
          </w:tcPr>
          <w:p w14:paraId="2F876F3B">
            <w:pPr>
              <w:jc w:val="center"/>
              <w:rPr>
                <w:rFonts w:ascii="Times New Roman" w:hAnsi="Times New Roman"/>
              </w:rPr>
            </w:pPr>
            <w:r>
              <w:rPr>
                <w:rFonts w:hint="eastAsia" w:ascii="Times New Roman" w:hAnsi="Times New Roman"/>
              </w:rPr>
              <w:t>23.90</w:t>
            </w:r>
            <w:r>
              <w:rPr>
                <w:rFonts w:ascii="Times New Roman" w:hAnsi="Times New Roman"/>
                <w:sz w:val="19"/>
                <w:szCs w:val="19"/>
              </w:rPr>
              <w:t>±2.66</w:t>
            </w:r>
          </w:p>
        </w:tc>
        <w:tc>
          <w:tcPr>
            <w:tcW w:w="1017" w:type="dxa"/>
            <w:tcBorders>
              <w:top w:val="nil"/>
              <w:left w:val="nil"/>
              <w:bottom w:val="nil"/>
              <w:right w:val="nil"/>
            </w:tcBorders>
            <w:shd w:val="clear" w:color="auto" w:fill="auto"/>
            <w:noWrap w:val="0"/>
            <w:vAlign w:val="top"/>
          </w:tcPr>
          <w:p w14:paraId="0052D55E">
            <w:pPr>
              <w:jc w:val="center"/>
              <w:rPr>
                <w:rFonts w:ascii="Times New Roman" w:hAnsi="Times New Roman"/>
              </w:rPr>
            </w:pPr>
            <w:r>
              <w:rPr>
                <w:rFonts w:hint="eastAsia" w:ascii="Times New Roman" w:hAnsi="Times New Roman"/>
              </w:rPr>
              <w:t>0.491</w:t>
            </w:r>
          </w:p>
        </w:tc>
        <w:tc>
          <w:tcPr>
            <w:tcW w:w="1018" w:type="dxa"/>
            <w:tcBorders>
              <w:top w:val="nil"/>
              <w:left w:val="nil"/>
              <w:bottom w:val="nil"/>
              <w:right w:val="nil"/>
            </w:tcBorders>
            <w:shd w:val="clear" w:color="auto" w:fill="auto"/>
            <w:noWrap w:val="0"/>
            <w:vAlign w:val="top"/>
          </w:tcPr>
          <w:p w14:paraId="2F5276FE">
            <w:pPr>
              <w:jc w:val="center"/>
              <w:rPr>
                <w:rFonts w:ascii="Times New Roman" w:hAnsi="Times New Roman"/>
              </w:rPr>
            </w:pPr>
            <w:r>
              <w:rPr>
                <w:rFonts w:hint="eastAsia" w:ascii="Times New Roman" w:hAnsi="Times New Roman"/>
              </w:rPr>
              <w:t>0</w:t>
            </w:r>
            <w:r>
              <w:rPr>
                <w:rFonts w:ascii="Times New Roman" w:hAnsi="Times New Roman"/>
              </w:rPr>
              <w:t>.624</w:t>
            </w:r>
          </w:p>
        </w:tc>
      </w:tr>
      <w:tr w14:paraId="52B5A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nil"/>
              <w:left w:val="nil"/>
              <w:bottom w:val="nil"/>
              <w:right w:val="nil"/>
            </w:tcBorders>
            <w:shd w:val="clear" w:color="auto" w:fill="auto"/>
            <w:noWrap w:val="0"/>
            <w:vAlign w:val="top"/>
          </w:tcPr>
          <w:p w14:paraId="6815E25C">
            <w:pPr>
              <w:jc w:val="center"/>
              <w:rPr>
                <w:rFonts w:ascii="Times New Roman" w:hAnsi="Times New Roman"/>
              </w:rPr>
            </w:pPr>
            <w:r>
              <w:rPr>
                <w:rFonts w:ascii="Times New Roman" w:hAnsi="Times New Roman"/>
              </w:rPr>
              <w:t>CEA</w:t>
            </w:r>
          </w:p>
        </w:tc>
        <w:tc>
          <w:tcPr>
            <w:tcW w:w="2268" w:type="dxa"/>
            <w:tcBorders>
              <w:top w:val="nil"/>
              <w:left w:val="nil"/>
              <w:bottom w:val="nil"/>
              <w:right w:val="nil"/>
            </w:tcBorders>
            <w:shd w:val="clear" w:color="auto" w:fill="auto"/>
            <w:noWrap w:val="0"/>
            <w:vAlign w:val="top"/>
          </w:tcPr>
          <w:p w14:paraId="5E7FBE42">
            <w:pPr>
              <w:jc w:val="center"/>
              <w:rPr>
                <w:rFonts w:ascii="Times New Roman" w:hAnsi="Times New Roman"/>
              </w:rPr>
            </w:pPr>
            <w:r>
              <w:rPr>
                <w:rFonts w:ascii="Times New Roman" w:hAnsi="Times New Roman"/>
              </w:rPr>
              <w:t>1.69</w:t>
            </w:r>
            <w:r>
              <w:rPr>
                <w:rFonts w:hint="eastAsia" w:ascii="Times New Roman" w:hAnsi="Times New Roman"/>
              </w:rPr>
              <w:t>(</w:t>
            </w:r>
            <w:r>
              <w:rPr>
                <w:rFonts w:ascii="Times New Roman" w:hAnsi="Times New Roman"/>
              </w:rPr>
              <w:t>1.19,2.47</w:t>
            </w:r>
            <w:r>
              <w:rPr>
                <w:rFonts w:hint="eastAsia" w:ascii="Times New Roman" w:hAnsi="Times New Roman"/>
              </w:rPr>
              <w:t>)</w:t>
            </w:r>
          </w:p>
        </w:tc>
        <w:tc>
          <w:tcPr>
            <w:tcW w:w="2268" w:type="dxa"/>
            <w:tcBorders>
              <w:top w:val="nil"/>
              <w:left w:val="nil"/>
              <w:bottom w:val="nil"/>
              <w:right w:val="nil"/>
            </w:tcBorders>
            <w:shd w:val="clear" w:color="auto" w:fill="auto"/>
            <w:noWrap w:val="0"/>
            <w:vAlign w:val="top"/>
          </w:tcPr>
          <w:p w14:paraId="4FE9DE3E">
            <w:pPr>
              <w:jc w:val="center"/>
              <w:rPr>
                <w:rFonts w:ascii="Times New Roman" w:hAnsi="Times New Roman"/>
              </w:rPr>
            </w:pPr>
            <w:r>
              <w:rPr>
                <w:rFonts w:ascii="Times New Roman" w:hAnsi="Times New Roman"/>
              </w:rPr>
              <w:t>2.58</w:t>
            </w:r>
            <w:r>
              <w:rPr>
                <w:rFonts w:hint="eastAsia" w:ascii="Times New Roman" w:hAnsi="Times New Roman"/>
              </w:rPr>
              <w:t>(</w:t>
            </w:r>
            <w:r>
              <w:rPr>
                <w:rFonts w:ascii="Times New Roman" w:hAnsi="Times New Roman"/>
              </w:rPr>
              <w:t>1.53,4.54</w:t>
            </w:r>
            <w:r>
              <w:rPr>
                <w:rFonts w:hint="eastAsia" w:ascii="Times New Roman" w:hAnsi="Times New Roman"/>
              </w:rPr>
              <w:t>)</w:t>
            </w:r>
          </w:p>
        </w:tc>
        <w:tc>
          <w:tcPr>
            <w:tcW w:w="1017" w:type="dxa"/>
            <w:tcBorders>
              <w:top w:val="nil"/>
              <w:left w:val="nil"/>
              <w:bottom w:val="nil"/>
              <w:right w:val="nil"/>
            </w:tcBorders>
            <w:shd w:val="clear" w:color="auto" w:fill="auto"/>
            <w:noWrap w:val="0"/>
            <w:vAlign w:val="top"/>
          </w:tcPr>
          <w:p w14:paraId="5D6B94DC">
            <w:pPr>
              <w:jc w:val="center"/>
              <w:rPr>
                <w:rFonts w:ascii="Times New Roman" w:hAnsi="Times New Roman"/>
              </w:rPr>
            </w:pPr>
            <w:r>
              <w:rPr>
                <w:rFonts w:hint="eastAsia" w:ascii="Times New Roman" w:hAnsi="Times New Roman"/>
              </w:rPr>
              <w:t>-3.623</w:t>
            </w:r>
          </w:p>
        </w:tc>
        <w:tc>
          <w:tcPr>
            <w:tcW w:w="1018" w:type="dxa"/>
            <w:tcBorders>
              <w:top w:val="nil"/>
              <w:left w:val="nil"/>
              <w:bottom w:val="nil"/>
              <w:right w:val="nil"/>
            </w:tcBorders>
            <w:shd w:val="clear" w:color="auto" w:fill="auto"/>
            <w:noWrap w:val="0"/>
            <w:vAlign w:val="top"/>
          </w:tcPr>
          <w:p w14:paraId="4F87E00F">
            <w:pPr>
              <w:jc w:val="center"/>
              <w:rPr>
                <w:rFonts w:ascii="Times New Roman" w:hAnsi="Times New Roman"/>
              </w:rPr>
            </w:pPr>
            <w:r>
              <w:rPr>
                <w:rFonts w:hint="eastAsia" w:ascii="Times New Roman" w:hAnsi="Times New Roman"/>
                <w:color w:val="FF0000"/>
                <w:sz w:val="19"/>
                <w:szCs w:val="19"/>
              </w:rPr>
              <w:t>&lt;0.001</w:t>
            </w:r>
          </w:p>
        </w:tc>
      </w:tr>
      <w:tr w14:paraId="73A49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nil"/>
              <w:left w:val="nil"/>
              <w:bottom w:val="nil"/>
              <w:right w:val="nil"/>
            </w:tcBorders>
            <w:shd w:val="clear" w:color="auto" w:fill="auto"/>
            <w:noWrap w:val="0"/>
            <w:vAlign w:val="top"/>
          </w:tcPr>
          <w:p w14:paraId="616F1BB9">
            <w:pPr>
              <w:jc w:val="center"/>
              <w:rPr>
                <w:rFonts w:ascii="Times New Roman" w:hAnsi="Times New Roman"/>
              </w:rPr>
            </w:pPr>
            <w:r>
              <w:rPr>
                <w:rFonts w:ascii="Times New Roman" w:hAnsi="Times New Roman"/>
              </w:rPr>
              <w:t>CA199</w:t>
            </w:r>
          </w:p>
        </w:tc>
        <w:tc>
          <w:tcPr>
            <w:tcW w:w="2268" w:type="dxa"/>
            <w:tcBorders>
              <w:top w:val="nil"/>
              <w:left w:val="nil"/>
              <w:bottom w:val="nil"/>
              <w:right w:val="nil"/>
            </w:tcBorders>
            <w:shd w:val="clear" w:color="auto" w:fill="auto"/>
            <w:noWrap w:val="0"/>
            <w:vAlign w:val="top"/>
          </w:tcPr>
          <w:p w14:paraId="048203F6">
            <w:pPr>
              <w:jc w:val="center"/>
              <w:rPr>
                <w:rFonts w:ascii="Times New Roman" w:hAnsi="Times New Roman"/>
              </w:rPr>
            </w:pPr>
            <w:r>
              <w:rPr>
                <w:rFonts w:ascii="Times New Roman" w:hAnsi="Times New Roman"/>
              </w:rPr>
              <w:t>9.24</w:t>
            </w:r>
            <w:r>
              <w:rPr>
                <w:rFonts w:hint="eastAsia" w:ascii="Times New Roman" w:hAnsi="Times New Roman"/>
              </w:rPr>
              <w:t>(</w:t>
            </w:r>
            <w:r>
              <w:rPr>
                <w:rFonts w:ascii="Times New Roman" w:hAnsi="Times New Roman"/>
              </w:rPr>
              <w:t>6.20,16.84</w:t>
            </w:r>
            <w:r>
              <w:rPr>
                <w:rFonts w:hint="eastAsia" w:ascii="Times New Roman" w:hAnsi="Times New Roman"/>
              </w:rPr>
              <w:t>)</w:t>
            </w:r>
          </w:p>
        </w:tc>
        <w:tc>
          <w:tcPr>
            <w:tcW w:w="2268" w:type="dxa"/>
            <w:tcBorders>
              <w:top w:val="nil"/>
              <w:left w:val="nil"/>
              <w:bottom w:val="nil"/>
              <w:right w:val="nil"/>
            </w:tcBorders>
            <w:shd w:val="clear" w:color="auto" w:fill="auto"/>
            <w:noWrap w:val="0"/>
            <w:vAlign w:val="top"/>
          </w:tcPr>
          <w:p w14:paraId="79478CC7">
            <w:pPr>
              <w:jc w:val="center"/>
              <w:rPr>
                <w:rFonts w:ascii="Times New Roman" w:hAnsi="Times New Roman"/>
              </w:rPr>
            </w:pPr>
            <w:r>
              <w:rPr>
                <w:rFonts w:ascii="Times New Roman" w:hAnsi="Times New Roman"/>
              </w:rPr>
              <w:t>17.31</w:t>
            </w:r>
            <w:r>
              <w:rPr>
                <w:rFonts w:hint="eastAsia" w:ascii="Times New Roman" w:hAnsi="Times New Roman"/>
              </w:rPr>
              <w:t>(</w:t>
            </w:r>
            <w:r>
              <w:rPr>
                <w:rFonts w:ascii="Times New Roman" w:hAnsi="Times New Roman"/>
              </w:rPr>
              <w:t>8.67,33.20</w:t>
            </w:r>
            <w:r>
              <w:rPr>
                <w:rFonts w:hint="eastAsia" w:ascii="Times New Roman" w:hAnsi="Times New Roman"/>
              </w:rPr>
              <w:t>)</w:t>
            </w:r>
          </w:p>
        </w:tc>
        <w:tc>
          <w:tcPr>
            <w:tcW w:w="1017" w:type="dxa"/>
            <w:tcBorders>
              <w:top w:val="nil"/>
              <w:left w:val="nil"/>
              <w:bottom w:val="nil"/>
              <w:right w:val="nil"/>
            </w:tcBorders>
            <w:shd w:val="clear" w:color="auto" w:fill="auto"/>
            <w:noWrap w:val="0"/>
            <w:vAlign w:val="top"/>
          </w:tcPr>
          <w:p w14:paraId="034B0115">
            <w:pPr>
              <w:jc w:val="center"/>
              <w:rPr>
                <w:rFonts w:ascii="Times New Roman" w:hAnsi="Times New Roman"/>
              </w:rPr>
            </w:pPr>
            <w:r>
              <w:rPr>
                <w:rFonts w:hint="eastAsia" w:ascii="Times New Roman" w:hAnsi="Times New Roman"/>
              </w:rPr>
              <w:t>-4.708</w:t>
            </w:r>
          </w:p>
        </w:tc>
        <w:tc>
          <w:tcPr>
            <w:tcW w:w="1018" w:type="dxa"/>
            <w:tcBorders>
              <w:top w:val="nil"/>
              <w:left w:val="nil"/>
              <w:bottom w:val="nil"/>
              <w:right w:val="nil"/>
            </w:tcBorders>
            <w:shd w:val="clear" w:color="auto" w:fill="auto"/>
            <w:noWrap w:val="0"/>
            <w:vAlign w:val="top"/>
          </w:tcPr>
          <w:p w14:paraId="758CD858">
            <w:pPr>
              <w:jc w:val="center"/>
              <w:rPr>
                <w:rFonts w:ascii="Times New Roman" w:hAnsi="Times New Roman"/>
              </w:rPr>
            </w:pPr>
            <w:r>
              <w:rPr>
                <w:rFonts w:hint="eastAsia" w:ascii="Times New Roman" w:hAnsi="Times New Roman"/>
                <w:color w:val="FF0000"/>
                <w:sz w:val="19"/>
                <w:szCs w:val="19"/>
              </w:rPr>
              <w:t>&lt;0.001</w:t>
            </w:r>
          </w:p>
        </w:tc>
      </w:tr>
      <w:tr w14:paraId="211B0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nil"/>
              <w:left w:val="nil"/>
              <w:bottom w:val="nil"/>
              <w:right w:val="nil"/>
            </w:tcBorders>
            <w:shd w:val="clear" w:color="auto" w:fill="auto"/>
            <w:noWrap w:val="0"/>
            <w:vAlign w:val="top"/>
          </w:tcPr>
          <w:p w14:paraId="235C8731">
            <w:pPr>
              <w:jc w:val="center"/>
              <w:rPr>
                <w:rFonts w:ascii="Times New Roman" w:hAnsi="Times New Roman"/>
              </w:rPr>
            </w:pPr>
            <w:r>
              <w:rPr>
                <w:rFonts w:ascii="Times New Roman" w:hAnsi="Times New Roman"/>
              </w:rPr>
              <w:t>NSE</w:t>
            </w:r>
          </w:p>
        </w:tc>
        <w:tc>
          <w:tcPr>
            <w:tcW w:w="2268" w:type="dxa"/>
            <w:tcBorders>
              <w:top w:val="nil"/>
              <w:left w:val="nil"/>
              <w:bottom w:val="nil"/>
              <w:right w:val="nil"/>
            </w:tcBorders>
            <w:shd w:val="clear" w:color="auto" w:fill="auto"/>
            <w:noWrap w:val="0"/>
            <w:vAlign w:val="top"/>
          </w:tcPr>
          <w:p w14:paraId="408035C8">
            <w:pPr>
              <w:jc w:val="center"/>
              <w:rPr>
                <w:rFonts w:ascii="Times New Roman" w:hAnsi="Times New Roman"/>
              </w:rPr>
            </w:pPr>
            <w:r>
              <w:rPr>
                <w:rFonts w:ascii="Times New Roman" w:hAnsi="Times New Roman"/>
              </w:rPr>
              <w:t>18.47</w:t>
            </w:r>
            <w:r>
              <w:rPr>
                <w:rFonts w:hint="eastAsia" w:ascii="Times New Roman" w:hAnsi="Times New Roman"/>
              </w:rPr>
              <w:t>(</w:t>
            </w:r>
            <w:r>
              <w:rPr>
                <w:rFonts w:ascii="Times New Roman" w:hAnsi="Times New Roman"/>
              </w:rPr>
              <w:t>15.26,22.36</w:t>
            </w:r>
            <w:r>
              <w:rPr>
                <w:rFonts w:hint="eastAsia" w:ascii="Times New Roman" w:hAnsi="Times New Roman"/>
              </w:rPr>
              <w:t>)</w:t>
            </w:r>
          </w:p>
        </w:tc>
        <w:tc>
          <w:tcPr>
            <w:tcW w:w="2268" w:type="dxa"/>
            <w:tcBorders>
              <w:top w:val="nil"/>
              <w:left w:val="nil"/>
              <w:bottom w:val="nil"/>
              <w:right w:val="nil"/>
            </w:tcBorders>
            <w:shd w:val="clear" w:color="auto" w:fill="auto"/>
            <w:noWrap w:val="0"/>
            <w:vAlign w:val="top"/>
          </w:tcPr>
          <w:p w14:paraId="56D6D1A0">
            <w:pPr>
              <w:jc w:val="center"/>
              <w:rPr>
                <w:rFonts w:ascii="Times New Roman" w:hAnsi="Times New Roman"/>
              </w:rPr>
            </w:pPr>
            <w:r>
              <w:rPr>
                <w:rFonts w:ascii="Times New Roman" w:hAnsi="Times New Roman"/>
              </w:rPr>
              <w:t>21.89</w:t>
            </w:r>
            <w:r>
              <w:rPr>
                <w:rFonts w:hint="eastAsia" w:ascii="Times New Roman" w:hAnsi="Times New Roman"/>
              </w:rPr>
              <w:t>(</w:t>
            </w:r>
            <w:r>
              <w:rPr>
                <w:rFonts w:ascii="Times New Roman" w:hAnsi="Times New Roman"/>
              </w:rPr>
              <w:t>17.19,30.82</w:t>
            </w:r>
            <w:r>
              <w:rPr>
                <w:rFonts w:hint="eastAsia" w:ascii="Times New Roman" w:hAnsi="Times New Roman"/>
              </w:rPr>
              <w:t>)</w:t>
            </w:r>
          </w:p>
        </w:tc>
        <w:tc>
          <w:tcPr>
            <w:tcW w:w="1017" w:type="dxa"/>
            <w:tcBorders>
              <w:top w:val="nil"/>
              <w:left w:val="nil"/>
              <w:bottom w:val="nil"/>
              <w:right w:val="nil"/>
            </w:tcBorders>
            <w:shd w:val="clear" w:color="auto" w:fill="auto"/>
            <w:noWrap w:val="0"/>
            <w:vAlign w:val="top"/>
          </w:tcPr>
          <w:p w14:paraId="62D59CAA">
            <w:pPr>
              <w:jc w:val="center"/>
              <w:rPr>
                <w:rFonts w:ascii="Times New Roman" w:hAnsi="Times New Roman"/>
              </w:rPr>
            </w:pPr>
            <w:r>
              <w:rPr>
                <w:rFonts w:hint="eastAsia" w:ascii="Times New Roman" w:hAnsi="Times New Roman"/>
              </w:rPr>
              <w:t>-3.192</w:t>
            </w:r>
          </w:p>
        </w:tc>
        <w:tc>
          <w:tcPr>
            <w:tcW w:w="1018" w:type="dxa"/>
            <w:tcBorders>
              <w:top w:val="nil"/>
              <w:left w:val="nil"/>
              <w:bottom w:val="nil"/>
              <w:right w:val="nil"/>
            </w:tcBorders>
            <w:shd w:val="clear" w:color="auto" w:fill="auto"/>
            <w:noWrap w:val="0"/>
            <w:vAlign w:val="top"/>
          </w:tcPr>
          <w:p w14:paraId="1FCA6887">
            <w:pPr>
              <w:jc w:val="center"/>
              <w:rPr>
                <w:rFonts w:ascii="Times New Roman" w:hAnsi="Times New Roman"/>
              </w:rPr>
            </w:pPr>
            <w:r>
              <w:rPr>
                <w:rFonts w:hint="eastAsia" w:ascii="Times New Roman" w:hAnsi="Times New Roman"/>
                <w:color w:val="FF0000"/>
                <w:sz w:val="19"/>
                <w:szCs w:val="19"/>
              </w:rPr>
              <w:t>0.001</w:t>
            </w:r>
          </w:p>
        </w:tc>
      </w:tr>
      <w:tr w14:paraId="7AAD1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nil"/>
              <w:left w:val="nil"/>
              <w:bottom w:val="nil"/>
              <w:right w:val="nil"/>
            </w:tcBorders>
            <w:shd w:val="clear" w:color="auto" w:fill="auto"/>
            <w:noWrap w:val="0"/>
            <w:vAlign w:val="top"/>
          </w:tcPr>
          <w:p w14:paraId="0394EB35">
            <w:pPr>
              <w:jc w:val="center"/>
              <w:rPr>
                <w:rFonts w:ascii="Times New Roman" w:hAnsi="Times New Roman"/>
                <w:szCs w:val="21"/>
              </w:rPr>
            </w:pPr>
            <w:r>
              <w:rPr>
                <w:rFonts w:hint="eastAsia" w:ascii="Times New Roman" w:hAnsi="Times New Roman"/>
                <w:szCs w:val="21"/>
              </w:rPr>
              <w:t>TC</w:t>
            </w:r>
          </w:p>
        </w:tc>
        <w:tc>
          <w:tcPr>
            <w:tcW w:w="2268" w:type="dxa"/>
            <w:tcBorders>
              <w:top w:val="nil"/>
              <w:left w:val="nil"/>
              <w:bottom w:val="nil"/>
              <w:right w:val="nil"/>
            </w:tcBorders>
            <w:shd w:val="clear" w:color="auto" w:fill="auto"/>
            <w:noWrap w:val="0"/>
            <w:vAlign w:val="top"/>
          </w:tcPr>
          <w:p w14:paraId="49E641A7">
            <w:pPr>
              <w:jc w:val="center"/>
              <w:rPr>
                <w:rFonts w:ascii="Times New Roman" w:hAnsi="Times New Roman"/>
              </w:rPr>
            </w:pPr>
            <w:r>
              <w:rPr>
                <w:rFonts w:ascii="Times New Roman" w:hAnsi="Times New Roman"/>
              </w:rPr>
              <w:t>4.16</w:t>
            </w:r>
            <w:r>
              <w:rPr>
                <w:rFonts w:hint="eastAsia" w:ascii="Times New Roman" w:hAnsi="Times New Roman"/>
              </w:rPr>
              <w:t>(</w:t>
            </w:r>
            <w:r>
              <w:rPr>
                <w:rFonts w:ascii="Times New Roman" w:hAnsi="Times New Roman"/>
              </w:rPr>
              <w:t>3.69,4.78</w:t>
            </w:r>
            <w:r>
              <w:rPr>
                <w:rFonts w:hint="eastAsia" w:ascii="Times New Roman" w:hAnsi="Times New Roman"/>
              </w:rPr>
              <w:t>)</w:t>
            </w:r>
          </w:p>
        </w:tc>
        <w:tc>
          <w:tcPr>
            <w:tcW w:w="2268" w:type="dxa"/>
            <w:tcBorders>
              <w:top w:val="nil"/>
              <w:left w:val="nil"/>
              <w:bottom w:val="nil"/>
              <w:right w:val="nil"/>
            </w:tcBorders>
            <w:shd w:val="clear" w:color="auto" w:fill="auto"/>
            <w:noWrap w:val="0"/>
            <w:vAlign w:val="top"/>
          </w:tcPr>
          <w:p w14:paraId="4D1724B5">
            <w:pPr>
              <w:jc w:val="center"/>
              <w:rPr>
                <w:rFonts w:ascii="Times New Roman" w:hAnsi="Times New Roman"/>
              </w:rPr>
            </w:pPr>
            <w:r>
              <w:rPr>
                <w:rFonts w:ascii="Times New Roman" w:hAnsi="Times New Roman"/>
              </w:rPr>
              <w:t>4.39</w:t>
            </w:r>
            <w:r>
              <w:rPr>
                <w:rFonts w:hint="eastAsia" w:ascii="Times New Roman" w:hAnsi="Times New Roman"/>
              </w:rPr>
              <w:t>(</w:t>
            </w:r>
            <w:r>
              <w:rPr>
                <w:rFonts w:ascii="Times New Roman" w:hAnsi="Times New Roman"/>
              </w:rPr>
              <w:t>3.61,5.13</w:t>
            </w:r>
            <w:r>
              <w:rPr>
                <w:rFonts w:hint="eastAsia" w:ascii="Times New Roman" w:hAnsi="Times New Roman"/>
              </w:rPr>
              <w:t>)</w:t>
            </w:r>
          </w:p>
        </w:tc>
        <w:tc>
          <w:tcPr>
            <w:tcW w:w="1017" w:type="dxa"/>
            <w:tcBorders>
              <w:top w:val="nil"/>
              <w:left w:val="nil"/>
              <w:bottom w:val="nil"/>
              <w:right w:val="nil"/>
            </w:tcBorders>
            <w:shd w:val="clear" w:color="auto" w:fill="auto"/>
            <w:noWrap w:val="0"/>
            <w:vAlign w:val="top"/>
          </w:tcPr>
          <w:p w14:paraId="1F516C4D">
            <w:pPr>
              <w:jc w:val="center"/>
              <w:rPr>
                <w:rFonts w:ascii="Times New Roman" w:hAnsi="Times New Roman"/>
              </w:rPr>
            </w:pPr>
            <w:r>
              <w:rPr>
                <w:rFonts w:hint="eastAsia" w:ascii="Times New Roman" w:hAnsi="Times New Roman"/>
              </w:rPr>
              <w:t>-0.877</w:t>
            </w:r>
          </w:p>
        </w:tc>
        <w:tc>
          <w:tcPr>
            <w:tcW w:w="1018" w:type="dxa"/>
            <w:tcBorders>
              <w:top w:val="nil"/>
              <w:left w:val="nil"/>
              <w:bottom w:val="nil"/>
              <w:right w:val="nil"/>
            </w:tcBorders>
            <w:shd w:val="clear" w:color="auto" w:fill="auto"/>
            <w:noWrap w:val="0"/>
            <w:vAlign w:val="top"/>
          </w:tcPr>
          <w:p w14:paraId="3C493F7E">
            <w:pPr>
              <w:jc w:val="center"/>
              <w:rPr>
                <w:rFonts w:ascii="Times New Roman" w:hAnsi="Times New Roman"/>
              </w:rPr>
            </w:pPr>
            <w:r>
              <w:rPr>
                <w:rFonts w:hint="eastAsia" w:ascii="Times New Roman" w:hAnsi="Times New Roman"/>
              </w:rPr>
              <w:t>0.380</w:t>
            </w:r>
          </w:p>
        </w:tc>
      </w:tr>
      <w:tr w14:paraId="3AAAA1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nil"/>
              <w:left w:val="nil"/>
              <w:bottom w:val="nil"/>
              <w:right w:val="nil"/>
            </w:tcBorders>
            <w:shd w:val="clear" w:color="auto" w:fill="auto"/>
            <w:noWrap w:val="0"/>
            <w:vAlign w:val="top"/>
          </w:tcPr>
          <w:p w14:paraId="271D0904">
            <w:pPr>
              <w:jc w:val="center"/>
              <w:rPr>
                <w:rFonts w:ascii="Times New Roman" w:hAnsi="Times New Roman"/>
                <w:szCs w:val="21"/>
              </w:rPr>
            </w:pPr>
            <w:r>
              <w:rPr>
                <w:rFonts w:hint="eastAsia" w:ascii="Times New Roman" w:hAnsi="Times New Roman"/>
                <w:szCs w:val="21"/>
              </w:rPr>
              <w:t>HDL</w:t>
            </w:r>
            <w:r>
              <w:rPr>
                <w:rFonts w:ascii="Times New Roman" w:hAnsi="Times New Roman"/>
                <w:szCs w:val="21"/>
              </w:rPr>
              <w:t>-c</w:t>
            </w:r>
          </w:p>
        </w:tc>
        <w:tc>
          <w:tcPr>
            <w:tcW w:w="2268" w:type="dxa"/>
            <w:tcBorders>
              <w:top w:val="nil"/>
              <w:left w:val="nil"/>
              <w:bottom w:val="nil"/>
              <w:right w:val="nil"/>
            </w:tcBorders>
            <w:shd w:val="clear" w:color="auto" w:fill="auto"/>
            <w:noWrap w:val="0"/>
            <w:vAlign w:val="top"/>
          </w:tcPr>
          <w:p w14:paraId="0C9E808A">
            <w:pPr>
              <w:jc w:val="center"/>
              <w:rPr>
                <w:rFonts w:ascii="Times New Roman" w:hAnsi="Times New Roman"/>
              </w:rPr>
            </w:pPr>
            <w:r>
              <w:rPr>
                <w:rFonts w:ascii="Times New Roman" w:hAnsi="Times New Roman"/>
              </w:rPr>
              <w:t>1.08</w:t>
            </w:r>
            <w:r>
              <w:rPr>
                <w:rFonts w:hint="eastAsia" w:ascii="Times New Roman" w:hAnsi="Times New Roman"/>
              </w:rPr>
              <w:t>(</w:t>
            </w:r>
            <w:r>
              <w:rPr>
                <w:rFonts w:ascii="Times New Roman" w:hAnsi="Times New Roman"/>
              </w:rPr>
              <w:t>0.94,1.24</w:t>
            </w:r>
            <w:r>
              <w:rPr>
                <w:rFonts w:hint="eastAsia" w:ascii="Times New Roman" w:hAnsi="Times New Roman"/>
              </w:rPr>
              <w:t>)</w:t>
            </w:r>
          </w:p>
        </w:tc>
        <w:tc>
          <w:tcPr>
            <w:tcW w:w="2268" w:type="dxa"/>
            <w:tcBorders>
              <w:top w:val="nil"/>
              <w:left w:val="nil"/>
              <w:bottom w:val="nil"/>
              <w:right w:val="nil"/>
            </w:tcBorders>
            <w:shd w:val="clear" w:color="auto" w:fill="auto"/>
            <w:noWrap w:val="0"/>
            <w:vAlign w:val="top"/>
          </w:tcPr>
          <w:p w14:paraId="15125DA4">
            <w:pPr>
              <w:jc w:val="center"/>
              <w:rPr>
                <w:rFonts w:ascii="Times New Roman" w:hAnsi="Times New Roman"/>
              </w:rPr>
            </w:pPr>
            <w:r>
              <w:rPr>
                <w:rFonts w:ascii="Times New Roman" w:hAnsi="Times New Roman"/>
              </w:rPr>
              <w:t>1.08</w:t>
            </w:r>
            <w:r>
              <w:rPr>
                <w:rFonts w:hint="eastAsia" w:ascii="Times New Roman" w:hAnsi="Times New Roman"/>
              </w:rPr>
              <w:t>(</w:t>
            </w:r>
            <w:r>
              <w:rPr>
                <w:rFonts w:ascii="Times New Roman" w:hAnsi="Times New Roman"/>
              </w:rPr>
              <w:t>0.85,1.21</w:t>
            </w:r>
            <w:r>
              <w:rPr>
                <w:rFonts w:hint="eastAsia" w:ascii="Times New Roman" w:hAnsi="Times New Roman"/>
              </w:rPr>
              <w:t>)</w:t>
            </w:r>
          </w:p>
        </w:tc>
        <w:tc>
          <w:tcPr>
            <w:tcW w:w="1017" w:type="dxa"/>
            <w:tcBorders>
              <w:top w:val="nil"/>
              <w:left w:val="nil"/>
              <w:bottom w:val="nil"/>
              <w:right w:val="nil"/>
            </w:tcBorders>
            <w:shd w:val="clear" w:color="auto" w:fill="auto"/>
            <w:noWrap w:val="0"/>
            <w:vAlign w:val="top"/>
          </w:tcPr>
          <w:p w14:paraId="53B1E1F7">
            <w:pPr>
              <w:jc w:val="center"/>
              <w:rPr>
                <w:rFonts w:ascii="Times New Roman" w:hAnsi="Times New Roman"/>
              </w:rPr>
            </w:pPr>
            <w:r>
              <w:rPr>
                <w:rFonts w:hint="eastAsia" w:ascii="Times New Roman" w:hAnsi="Times New Roman"/>
              </w:rPr>
              <w:t>-1.158</w:t>
            </w:r>
          </w:p>
        </w:tc>
        <w:tc>
          <w:tcPr>
            <w:tcW w:w="1018" w:type="dxa"/>
            <w:tcBorders>
              <w:top w:val="nil"/>
              <w:left w:val="nil"/>
              <w:bottom w:val="nil"/>
              <w:right w:val="nil"/>
            </w:tcBorders>
            <w:shd w:val="clear" w:color="auto" w:fill="auto"/>
            <w:noWrap w:val="0"/>
            <w:vAlign w:val="top"/>
          </w:tcPr>
          <w:p w14:paraId="39C5A8E3">
            <w:pPr>
              <w:jc w:val="center"/>
              <w:rPr>
                <w:rFonts w:ascii="Times New Roman" w:hAnsi="Times New Roman"/>
              </w:rPr>
            </w:pPr>
            <w:r>
              <w:rPr>
                <w:rFonts w:hint="eastAsia" w:ascii="Times New Roman" w:hAnsi="Times New Roman"/>
              </w:rPr>
              <w:t>0.247</w:t>
            </w:r>
          </w:p>
        </w:tc>
      </w:tr>
      <w:tr w14:paraId="741EBE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nil"/>
              <w:left w:val="nil"/>
              <w:bottom w:val="nil"/>
              <w:right w:val="nil"/>
            </w:tcBorders>
            <w:shd w:val="clear" w:color="auto" w:fill="auto"/>
            <w:noWrap w:val="0"/>
            <w:vAlign w:val="top"/>
          </w:tcPr>
          <w:p w14:paraId="42A58667">
            <w:pPr>
              <w:jc w:val="center"/>
              <w:rPr>
                <w:rFonts w:hint="eastAsia" w:ascii="Times New Roman" w:hAnsi="Times New Roman"/>
                <w:szCs w:val="21"/>
              </w:rPr>
            </w:pPr>
            <w:r>
              <w:rPr>
                <w:rFonts w:hint="eastAsia" w:ascii="Times New Roman" w:hAnsi="Times New Roman"/>
                <w:szCs w:val="21"/>
              </w:rPr>
              <w:t>LDL</w:t>
            </w:r>
            <w:r>
              <w:rPr>
                <w:rFonts w:ascii="Times New Roman" w:hAnsi="Times New Roman"/>
                <w:szCs w:val="21"/>
              </w:rPr>
              <w:t>-c</w:t>
            </w:r>
          </w:p>
        </w:tc>
        <w:tc>
          <w:tcPr>
            <w:tcW w:w="2268" w:type="dxa"/>
            <w:tcBorders>
              <w:top w:val="nil"/>
              <w:left w:val="nil"/>
              <w:bottom w:val="nil"/>
              <w:right w:val="nil"/>
            </w:tcBorders>
            <w:shd w:val="clear" w:color="auto" w:fill="auto"/>
            <w:noWrap w:val="0"/>
            <w:vAlign w:val="top"/>
          </w:tcPr>
          <w:p w14:paraId="4C9F0296">
            <w:pPr>
              <w:jc w:val="center"/>
              <w:rPr>
                <w:rFonts w:ascii="Times New Roman" w:hAnsi="Times New Roman"/>
              </w:rPr>
            </w:pPr>
            <w:r>
              <w:rPr>
                <w:rFonts w:ascii="Times New Roman" w:hAnsi="Times New Roman"/>
              </w:rPr>
              <w:t>2.52</w:t>
            </w:r>
            <w:r>
              <w:rPr>
                <w:rFonts w:hint="eastAsia" w:ascii="Times New Roman" w:hAnsi="Times New Roman"/>
              </w:rPr>
              <w:t>(</w:t>
            </w:r>
            <w:r>
              <w:rPr>
                <w:rFonts w:ascii="Times New Roman" w:hAnsi="Times New Roman"/>
              </w:rPr>
              <w:t>2.18,2.89</w:t>
            </w:r>
            <w:r>
              <w:rPr>
                <w:rFonts w:hint="eastAsia" w:ascii="Times New Roman" w:hAnsi="Times New Roman"/>
              </w:rPr>
              <w:t>)</w:t>
            </w:r>
          </w:p>
        </w:tc>
        <w:tc>
          <w:tcPr>
            <w:tcW w:w="2268" w:type="dxa"/>
            <w:tcBorders>
              <w:top w:val="nil"/>
              <w:left w:val="nil"/>
              <w:bottom w:val="nil"/>
              <w:right w:val="nil"/>
            </w:tcBorders>
            <w:shd w:val="clear" w:color="auto" w:fill="auto"/>
            <w:noWrap w:val="0"/>
            <w:vAlign w:val="top"/>
          </w:tcPr>
          <w:p w14:paraId="1C657354">
            <w:pPr>
              <w:jc w:val="center"/>
              <w:rPr>
                <w:rFonts w:ascii="Times New Roman" w:hAnsi="Times New Roman"/>
              </w:rPr>
            </w:pPr>
            <w:r>
              <w:rPr>
                <w:rFonts w:ascii="Times New Roman" w:hAnsi="Times New Roman"/>
              </w:rPr>
              <w:t>2.70</w:t>
            </w:r>
            <w:r>
              <w:rPr>
                <w:rFonts w:hint="eastAsia" w:ascii="Times New Roman" w:hAnsi="Times New Roman"/>
              </w:rPr>
              <w:t>(</w:t>
            </w:r>
            <w:r>
              <w:rPr>
                <w:rFonts w:ascii="Times New Roman" w:hAnsi="Times New Roman"/>
              </w:rPr>
              <w:t>2.14,3.26</w:t>
            </w:r>
            <w:r>
              <w:rPr>
                <w:rFonts w:hint="eastAsia" w:ascii="Times New Roman" w:hAnsi="Times New Roman"/>
              </w:rPr>
              <w:t>)</w:t>
            </w:r>
          </w:p>
        </w:tc>
        <w:tc>
          <w:tcPr>
            <w:tcW w:w="1017" w:type="dxa"/>
            <w:tcBorders>
              <w:top w:val="nil"/>
              <w:left w:val="nil"/>
              <w:bottom w:val="nil"/>
              <w:right w:val="nil"/>
            </w:tcBorders>
            <w:shd w:val="clear" w:color="auto" w:fill="auto"/>
            <w:noWrap w:val="0"/>
            <w:vAlign w:val="top"/>
          </w:tcPr>
          <w:p w14:paraId="3F80093A">
            <w:pPr>
              <w:jc w:val="center"/>
              <w:rPr>
                <w:rFonts w:ascii="Times New Roman" w:hAnsi="Times New Roman"/>
              </w:rPr>
            </w:pPr>
            <w:r>
              <w:rPr>
                <w:rFonts w:hint="eastAsia" w:ascii="Times New Roman" w:hAnsi="Times New Roman"/>
              </w:rPr>
              <w:t>-1.064</w:t>
            </w:r>
          </w:p>
        </w:tc>
        <w:tc>
          <w:tcPr>
            <w:tcW w:w="1018" w:type="dxa"/>
            <w:tcBorders>
              <w:top w:val="nil"/>
              <w:left w:val="nil"/>
              <w:bottom w:val="nil"/>
              <w:right w:val="nil"/>
            </w:tcBorders>
            <w:shd w:val="clear" w:color="auto" w:fill="auto"/>
            <w:noWrap w:val="0"/>
            <w:vAlign w:val="top"/>
          </w:tcPr>
          <w:p w14:paraId="2CD1FF08">
            <w:pPr>
              <w:jc w:val="center"/>
              <w:rPr>
                <w:rFonts w:ascii="Times New Roman" w:hAnsi="Times New Roman"/>
              </w:rPr>
            </w:pPr>
            <w:r>
              <w:rPr>
                <w:rFonts w:hint="eastAsia" w:ascii="Times New Roman" w:hAnsi="Times New Roman"/>
              </w:rPr>
              <w:t>0.287</w:t>
            </w:r>
          </w:p>
        </w:tc>
      </w:tr>
      <w:tr w14:paraId="5A6514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nil"/>
              <w:left w:val="nil"/>
              <w:bottom w:val="single" w:color="auto" w:sz="4" w:space="0"/>
              <w:right w:val="nil"/>
            </w:tcBorders>
            <w:shd w:val="clear" w:color="auto" w:fill="auto"/>
            <w:noWrap w:val="0"/>
            <w:vAlign w:val="top"/>
          </w:tcPr>
          <w:p w14:paraId="2521A68D">
            <w:pPr>
              <w:jc w:val="center"/>
              <w:rPr>
                <w:rFonts w:hint="eastAsia" w:ascii="Times New Roman" w:hAnsi="Times New Roman"/>
                <w:szCs w:val="21"/>
              </w:rPr>
            </w:pPr>
            <w:r>
              <w:rPr>
                <w:rFonts w:ascii="Times New Roman" w:hAnsi="Times New Roman"/>
                <w:szCs w:val="21"/>
              </w:rPr>
              <w:t>Triglyceride</w:t>
            </w:r>
          </w:p>
        </w:tc>
        <w:tc>
          <w:tcPr>
            <w:tcW w:w="2268" w:type="dxa"/>
            <w:tcBorders>
              <w:top w:val="nil"/>
              <w:left w:val="nil"/>
              <w:bottom w:val="single" w:color="auto" w:sz="4" w:space="0"/>
              <w:right w:val="nil"/>
            </w:tcBorders>
            <w:shd w:val="clear" w:color="auto" w:fill="auto"/>
            <w:noWrap w:val="0"/>
            <w:vAlign w:val="top"/>
          </w:tcPr>
          <w:p w14:paraId="1552B513">
            <w:pPr>
              <w:jc w:val="center"/>
              <w:rPr>
                <w:rFonts w:ascii="Times New Roman" w:hAnsi="Times New Roman"/>
              </w:rPr>
            </w:pPr>
            <w:r>
              <w:rPr>
                <w:rFonts w:ascii="Times New Roman" w:hAnsi="Times New Roman"/>
              </w:rPr>
              <w:t>1.62</w:t>
            </w:r>
            <w:r>
              <w:rPr>
                <w:rFonts w:hint="eastAsia" w:ascii="Times New Roman" w:hAnsi="Times New Roman"/>
              </w:rPr>
              <w:t>(</w:t>
            </w:r>
            <w:r>
              <w:rPr>
                <w:rFonts w:ascii="Times New Roman" w:hAnsi="Times New Roman"/>
              </w:rPr>
              <w:t>1.06,29.00</w:t>
            </w:r>
            <w:r>
              <w:rPr>
                <w:rFonts w:hint="eastAsia" w:ascii="Times New Roman" w:hAnsi="Times New Roman"/>
              </w:rPr>
              <w:t>)</w:t>
            </w:r>
          </w:p>
        </w:tc>
        <w:tc>
          <w:tcPr>
            <w:tcW w:w="2268" w:type="dxa"/>
            <w:tcBorders>
              <w:top w:val="nil"/>
              <w:left w:val="nil"/>
              <w:bottom w:val="single" w:color="auto" w:sz="4" w:space="0"/>
              <w:right w:val="nil"/>
            </w:tcBorders>
            <w:shd w:val="clear" w:color="auto" w:fill="auto"/>
            <w:noWrap w:val="0"/>
            <w:vAlign w:val="top"/>
          </w:tcPr>
          <w:p w14:paraId="38143334">
            <w:pPr>
              <w:jc w:val="center"/>
              <w:rPr>
                <w:rFonts w:ascii="Times New Roman" w:hAnsi="Times New Roman"/>
              </w:rPr>
            </w:pPr>
            <w:r>
              <w:rPr>
                <w:rFonts w:ascii="Times New Roman" w:hAnsi="Times New Roman"/>
              </w:rPr>
              <w:t>1.38</w:t>
            </w:r>
            <w:r>
              <w:rPr>
                <w:rFonts w:hint="eastAsia" w:ascii="Times New Roman" w:hAnsi="Times New Roman"/>
              </w:rPr>
              <w:t>(</w:t>
            </w:r>
            <w:r>
              <w:rPr>
                <w:rFonts w:ascii="Times New Roman" w:hAnsi="Times New Roman"/>
              </w:rPr>
              <w:t>0.90,2.67</w:t>
            </w:r>
            <w:r>
              <w:rPr>
                <w:rFonts w:hint="eastAsia" w:ascii="Times New Roman" w:hAnsi="Times New Roman"/>
              </w:rPr>
              <w:t>)</w:t>
            </w:r>
          </w:p>
        </w:tc>
        <w:tc>
          <w:tcPr>
            <w:tcW w:w="1017" w:type="dxa"/>
            <w:tcBorders>
              <w:top w:val="nil"/>
              <w:left w:val="nil"/>
              <w:bottom w:val="single" w:color="auto" w:sz="4" w:space="0"/>
              <w:right w:val="nil"/>
            </w:tcBorders>
            <w:shd w:val="clear" w:color="auto" w:fill="auto"/>
            <w:noWrap w:val="0"/>
            <w:vAlign w:val="top"/>
          </w:tcPr>
          <w:p w14:paraId="2E5A8010">
            <w:pPr>
              <w:jc w:val="center"/>
              <w:rPr>
                <w:rFonts w:ascii="Times New Roman" w:hAnsi="Times New Roman"/>
              </w:rPr>
            </w:pPr>
            <w:r>
              <w:rPr>
                <w:rFonts w:hint="eastAsia" w:ascii="Times New Roman" w:hAnsi="Times New Roman"/>
              </w:rPr>
              <w:t>-1.560</w:t>
            </w:r>
          </w:p>
        </w:tc>
        <w:tc>
          <w:tcPr>
            <w:tcW w:w="1018" w:type="dxa"/>
            <w:tcBorders>
              <w:top w:val="nil"/>
              <w:left w:val="nil"/>
              <w:bottom w:val="single" w:color="auto" w:sz="4" w:space="0"/>
              <w:right w:val="nil"/>
            </w:tcBorders>
            <w:shd w:val="clear" w:color="auto" w:fill="auto"/>
            <w:noWrap w:val="0"/>
            <w:vAlign w:val="top"/>
          </w:tcPr>
          <w:p w14:paraId="1E268658">
            <w:pPr>
              <w:jc w:val="center"/>
              <w:rPr>
                <w:rFonts w:ascii="Times New Roman" w:hAnsi="Times New Roman"/>
              </w:rPr>
            </w:pPr>
            <w:r>
              <w:rPr>
                <w:rFonts w:hint="eastAsia" w:ascii="Times New Roman" w:hAnsi="Times New Roman"/>
              </w:rPr>
              <w:t>0.119</w:t>
            </w:r>
          </w:p>
        </w:tc>
      </w:tr>
    </w:tbl>
    <w:p w14:paraId="1307BBFB">
      <w:pPr>
        <w:jc w:val="center"/>
        <w:rPr>
          <w:rFonts w:ascii="Times New Roman" w:hAnsi="Times New Roman"/>
          <w:b/>
          <w:bCs/>
        </w:rPr>
      </w:pPr>
    </w:p>
    <w:p w14:paraId="3F6FC5D5">
      <w:pPr>
        <w:jc w:val="center"/>
        <w:rPr>
          <w:rFonts w:ascii="Times New Roman" w:hAnsi="Times New Roman"/>
          <w:b/>
          <w:bCs/>
        </w:rPr>
      </w:pPr>
    </w:p>
    <w:p w14:paraId="0BCFF6F9">
      <w:pPr>
        <w:jc w:val="center"/>
        <w:rPr>
          <w:rFonts w:hint="eastAsia" w:ascii="Times New Roman" w:hAnsi="Times New Roman"/>
          <w:b/>
          <w:bCs/>
        </w:rPr>
      </w:pPr>
      <w:r>
        <w:rPr>
          <w:rFonts w:ascii="Times New Roman" w:hAnsi="Times New Roman"/>
          <w:b/>
          <w:bCs/>
        </w:rPr>
        <w:t>Table 6. Results of ROCs to predict pNETs occurrence, grade and metastasis</w:t>
      </w:r>
    </w:p>
    <w:tbl>
      <w:tblPr>
        <w:tblStyle w:val="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03"/>
        <w:gridCol w:w="1966"/>
        <w:gridCol w:w="1134"/>
        <w:gridCol w:w="1134"/>
        <w:gridCol w:w="1134"/>
        <w:gridCol w:w="1701"/>
      </w:tblGrid>
      <w:tr w14:paraId="06EA9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3" w:type="dxa"/>
            <w:tcBorders>
              <w:top w:val="single" w:color="auto" w:sz="4" w:space="0"/>
              <w:left w:val="nil"/>
              <w:bottom w:val="single" w:color="auto" w:sz="4" w:space="0"/>
              <w:right w:val="nil"/>
            </w:tcBorders>
            <w:shd w:val="clear" w:color="auto" w:fill="auto"/>
            <w:noWrap w:val="0"/>
            <w:vAlign w:val="top"/>
          </w:tcPr>
          <w:p w14:paraId="0700EC6F">
            <w:pPr>
              <w:jc w:val="center"/>
              <w:rPr>
                <w:rFonts w:ascii="Times New Roman" w:hAnsi="Times New Roman"/>
              </w:rPr>
            </w:pPr>
            <w:r>
              <w:rPr>
                <w:rFonts w:ascii="Times New Roman" w:hAnsi="Times New Roman"/>
              </w:rPr>
              <w:t>PNETs</w:t>
            </w:r>
          </w:p>
        </w:tc>
        <w:tc>
          <w:tcPr>
            <w:tcW w:w="1966" w:type="dxa"/>
            <w:tcBorders>
              <w:top w:val="single" w:color="auto" w:sz="4" w:space="0"/>
              <w:left w:val="nil"/>
              <w:bottom w:val="single" w:color="auto" w:sz="4" w:space="0"/>
              <w:right w:val="nil"/>
            </w:tcBorders>
            <w:shd w:val="clear" w:color="auto" w:fill="auto"/>
            <w:noWrap w:val="0"/>
            <w:vAlign w:val="top"/>
          </w:tcPr>
          <w:p w14:paraId="0B355A74">
            <w:pPr>
              <w:jc w:val="center"/>
              <w:rPr>
                <w:rFonts w:hint="eastAsia" w:ascii="Times New Roman" w:hAnsi="Times New Roman"/>
              </w:rPr>
            </w:pPr>
            <w:r>
              <w:rPr>
                <w:rFonts w:hint="eastAsia" w:ascii="Times New Roman" w:hAnsi="Times New Roman"/>
              </w:rPr>
              <w:t>Index</w:t>
            </w:r>
          </w:p>
        </w:tc>
        <w:tc>
          <w:tcPr>
            <w:tcW w:w="1134" w:type="dxa"/>
            <w:tcBorders>
              <w:top w:val="single" w:color="auto" w:sz="4" w:space="0"/>
              <w:left w:val="nil"/>
              <w:bottom w:val="single" w:color="auto" w:sz="4" w:space="0"/>
              <w:right w:val="nil"/>
            </w:tcBorders>
            <w:shd w:val="clear" w:color="auto" w:fill="auto"/>
            <w:noWrap w:val="0"/>
            <w:vAlign w:val="top"/>
          </w:tcPr>
          <w:p w14:paraId="0B1148D1">
            <w:pPr>
              <w:jc w:val="center"/>
              <w:rPr>
                <w:rFonts w:ascii="Times New Roman" w:hAnsi="Times New Roman"/>
              </w:rPr>
            </w:pPr>
            <w:bookmarkStart w:id="0" w:name="OLE_LINK1"/>
            <w:bookmarkStart w:id="1" w:name="OLE_LINK2"/>
            <w:r>
              <w:rPr>
                <w:rFonts w:ascii="Times New Roman" w:hAnsi="Times New Roman"/>
              </w:rPr>
              <w:t>Sensitivity</w:t>
            </w:r>
            <w:bookmarkEnd w:id="0"/>
            <w:bookmarkEnd w:id="1"/>
          </w:p>
        </w:tc>
        <w:tc>
          <w:tcPr>
            <w:tcW w:w="1134" w:type="dxa"/>
            <w:tcBorders>
              <w:top w:val="single" w:color="auto" w:sz="4" w:space="0"/>
              <w:left w:val="nil"/>
              <w:bottom w:val="single" w:color="auto" w:sz="4" w:space="0"/>
              <w:right w:val="nil"/>
            </w:tcBorders>
            <w:shd w:val="clear" w:color="auto" w:fill="auto"/>
            <w:noWrap w:val="0"/>
            <w:vAlign w:val="top"/>
          </w:tcPr>
          <w:p w14:paraId="3F0B3661">
            <w:pPr>
              <w:jc w:val="center"/>
              <w:rPr>
                <w:rFonts w:ascii="Times New Roman" w:hAnsi="Times New Roman"/>
              </w:rPr>
            </w:pPr>
            <w:r>
              <w:rPr>
                <w:rFonts w:ascii="Times New Roman" w:hAnsi="Times New Roman"/>
              </w:rPr>
              <w:t>Specificity</w:t>
            </w:r>
          </w:p>
        </w:tc>
        <w:tc>
          <w:tcPr>
            <w:tcW w:w="1134" w:type="dxa"/>
            <w:tcBorders>
              <w:top w:val="single" w:color="auto" w:sz="4" w:space="0"/>
              <w:left w:val="nil"/>
              <w:bottom w:val="single" w:color="auto" w:sz="4" w:space="0"/>
              <w:right w:val="nil"/>
            </w:tcBorders>
            <w:shd w:val="clear" w:color="auto" w:fill="auto"/>
            <w:noWrap w:val="0"/>
            <w:vAlign w:val="top"/>
          </w:tcPr>
          <w:p w14:paraId="77213B4C">
            <w:pPr>
              <w:jc w:val="center"/>
              <w:rPr>
                <w:rFonts w:ascii="Times New Roman" w:hAnsi="Times New Roman"/>
              </w:rPr>
            </w:pPr>
            <w:r>
              <w:rPr>
                <w:rFonts w:hint="eastAsia" w:ascii="Times New Roman" w:hAnsi="Times New Roman"/>
              </w:rPr>
              <w:t>AUC</w:t>
            </w:r>
          </w:p>
        </w:tc>
        <w:tc>
          <w:tcPr>
            <w:tcW w:w="1701" w:type="dxa"/>
            <w:tcBorders>
              <w:top w:val="single" w:color="auto" w:sz="4" w:space="0"/>
              <w:left w:val="nil"/>
              <w:bottom w:val="single" w:color="auto" w:sz="4" w:space="0"/>
              <w:right w:val="nil"/>
            </w:tcBorders>
            <w:shd w:val="clear" w:color="auto" w:fill="auto"/>
            <w:noWrap w:val="0"/>
            <w:vAlign w:val="top"/>
          </w:tcPr>
          <w:p w14:paraId="52A20CAD">
            <w:pPr>
              <w:jc w:val="center"/>
              <w:rPr>
                <w:rFonts w:ascii="Times New Roman" w:hAnsi="Times New Roman"/>
              </w:rPr>
            </w:pPr>
            <w:r>
              <w:rPr>
                <w:rFonts w:hint="eastAsia" w:ascii="Times New Roman" w:hAnsi="Times New Roman"/>
              </w:rPr>
              <w:t>95%CI</w:t>
            </w:r>
            <w:r>
              <w:rPr>
                <w:rFonts w:ascii="Times New Roman" w:hAnsi="Times New Roman"/>
              </w:rPr>
              <w:t xml:space="preserve"> </w:t>
            </w:r>
            <w:r>
              <w:rPr>
                <w:rFonts w:hint="eastAsia" w:ascii="Times New Roman" w:hAnsi="Times New Roman"/>
              </w:rPr>
              <w:t>of</w:t>
            </w:r>
            <w:r>
              <w:rPr>
                <w:rFonts w:ascii="Times New Roman" w:hAnsi="Times New Roman"/>
              </w:rPr>
              <w:t xml:space="preserve"> AUC</w:t>
            </w:r>
          </w:p>
        </w:tc>
      </w:tr>
      <w:tr w14:paraId="53360F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3" w:type="dxa"/>
            <w:vMerge w:val="restart"/>
            <w:tcBorders>
              <w:top w:val="single" w:color="auto" w:sz="4" w:space="0"/>
              <w:left w:val="nil"/>
              <w:right w:val="nil"/>
            </w:tcBorders>
            <w:shd w:val="clear" w:color="auto" w:fill="auto"/>
            <w:noWrap w:val="0"/>
            <w:vAlign w:val="top"/>
          </w:tcPr>
          <w:p w14:paraId="425FD0F4">
            <w:pPr>
              <w:spacing w:line="720" w:lineRule="auto"/>
              <w:jc w:val="center"/>
              <w:rPr>
                <w:rFonts w:ascii="Times New Roman" w:hAnsi="Times New Roman"/>
              </w:rPr>
            </w:pPr>
            <w:r>
              <w:rPr>
                <w:rFonts w:ascii="Times New Roman" w:hAnsi="Times New Roman"/>
              </w:rPr>
              <w:t>Occurrence</w:t>
            </w:r>
          </w:p>
        </w:tc>
        <w:tc>
          <w:tcPr>
            <w:tcW w:w="1966" w:type="dxa"/>
            <w:tcBorders>
              <w:top w:val="single" w:color="auto" w:sz="4" w:space="0"/>
              <w:left w:val="nil"/>
              <w:bottom w:val="nil"/>
              <w:right w:val="nil"/>
            </w:tcBorders>
            <w:shd w:val="clear" w:color="auto" w:fill="auto"/>
            <w:noWrap w:val="0"/>
            <w:vAlign w:val="top"/>
          </w:tcPr>
          <w:p w14:paraId="45DA4F51">
            <w:pPr>
              <w:jc w:val="center"/>
              <w:rPr>
                <w:rFonts w:ascii="Times New Roman" w:hAnsi="Times New Roman"/>
              </w:rPr>
            </w:pPr>
            <w:r>
              <w:rPr>
                <w:rFonts w:hint="eastAsia" w:ascii="Times New Roman" w:hAnsi="Times New Roman"/>
              </w:rPr>
              <w:t>NSE</w:t>
            </w:r>
          </w:p>
        </w:tc>
        <w:tc>
          <w:tcPr>
            <w:tcW w:w="1134" w:type="dxa"/>
            <w:tcBorders>
              <w:top w:val="single" w:color="auto" w:sz="4" w:space="0"/>
              <w:left w:val="nil"/>
              <w:bottom w:val="nil"/>
              <w:right w:val="nil"/>
            </w:tcBorders>
            <w:shd w:val="clear" w:color="auto" w:fill="auto"/>
            <w:noWrap w:val="0"/>
            <w:vAlign w:val="top"/>
          </w:tcPr>
          <w:p w14:paraId="5EE976F2">
            <w:pPr>
              <w:jc w:val="center"/>
              <w:rPr>
                <w:rFonts w:ascii="Times New Roman" w:hAnsi="Times New Roman"/>
              </w:rPr>
            </w:pPr>
            <w:r>
              <w:rPr>
                <w:rFonts w:hint="eastAsia" w:ascii="Times New Roman" w:hAnsi="Times New Roman"/>
              </w:rPr>
              <w:t>0.7</w:t>
            </w:r>
            <w:r>
              <w:rPr>
                <w:rFonts w:ascii="Times New Roman" w:hAnsi="Times New Roman"/>
              </w:rPr>
              <w:t>14</w:t>
            </w:r>
          </w:p>
        </w:tc>
        <w:tc>
          <w:tcPr>
            <w:tcW w:w="1134" w:type="dxa"/>
            <w:tcBorders>
              <w:top w:val="single" w:color="auto" w:sz="4" w:space="0"/>
              <w:left w:val="nil"/>
              <w:bottom w:val="nil"/>
              <w:right w:val="nil"/>
            </w:tcBorders>
            <w:shd w:val="clear" w:color="auto" w:fill="auto"/>
            <w:noWrap w:val="0"/>
            <w:vAlign w:val="top"/>
          </w:tcPr>
          <w:p w14:paraId="0F694BEC">
            <w:pPr>
              <w:jc w:val="center"/>
              <w:rPr>
                <w:rFonts w:ascii="Times New Roman" w:hAnsi="Times New Roman"/>
              </w:rPr>
            </w:pPr>
            <w:r>
              <w:rPr>
                <w:rFonts w:ascii="Times New Roman" w:hAnsi="Times New Roman"/>
              </w:rPr>
              <w:t>1.000</w:t>
            </w:r>
          </w:p>
        </w:tc>
        <w:tc>
          <w:tcPr>
            <w:tcW w:w="1134" w:type="dxa"/>
            <w:tcBorders>
              <w:top w:val="single" w:color="auto" w:sz="4" w:space="0"/>
              <w:left w:val="nil"/>
              <w:bottom w:val="nil"/>
              <w:right w:val="nil"/>
            </w:tcBorders>
            <w:shd w:val="clear" w:color="auto" w:fill="auto"/>
            <w:noWrap w:val="0"/>
            <w:vAlign w:val="top"/>
          </w:tcPr>
          <w:p w14:paraId="2A16E7E6">
            <w:pPr>
              <w:jc w:val="center"/>
              <w:rPr>
                <w:rFonts w:ascii="Times New Roman" w:hAnsi="Times New Roman"/>
              </w:rPr>
            </w:pPr>
            <w:r>
              <w:rPr>
                <w:rFonts w:hint="eastAsia" w:ascii="Times New Roman" w:hAnsi="Times New Roman"/>
              </w:rPr>
              <w:t>0</w:t>
            </w:r>
            <w:r>
              <w:rPr>
                <w:rFonts w:ascii="Times New Roman" w:hAnsi="Times New Roman"/>
              </w:rPr>
              <w:t>.899</w:t>
            </w:r>
          </w:p>
        </w:tc>
        <w:tc>
          <w:tcPr>
            <w:tcW w:w="1701" w:type="dxa"/>
            <w:tcBorders>
              <w:top w:val="single" w:color="auto" w:sz="4" w:space="0"/>
              <w:left w:val="nil"/>
              <w:bottom w:val="nil"/>
              <w:right w:val="nil"/>
            </w:tcBorders>
            <w:shd w:val="clear" w:color="auto" w:fill="auto"/>
            <w:noWrap w:val="0"/>
            <w:vAlign w:val="top"/>
          </w:tcPr>
          <w:p w14:paraId="3D9EDE52">
            <w:pPr>
              <w:jc w:val="center"/>
              <w:rPr>
                <w:rFonts w:ascii="Times New Roman" w:hAnsi="Times New Roman"/>
              </w:rPr>
            </w:pPr>
            <w:r>
              <w:rPr>
                <w:rFonts w:hint="eastAsia" w:ascii="Times New Roman" w:hAnsi="Times New Roman"/>
              </w:rPr>
              <w:t>[</w:t>
            </w:r>
            <w:r>
              <w:rPr>
                <w:rFonts w:ascii="Times New Roman" w:hAnsi="Times New Roman"/>
              </w:rPr>
              <w:t>0.864, 0.934</w:t>
            </w:r>
            <w:r>
              <w:rPr>
                <w:rFonts w:hint="eastAsia" w:ascii="Times New Roman" w:hAnsi="Times New Roman"/>
              </w:rPr>
              <w:t>]</w:t>
            </w:r>
          </w:p>
        </w:tc>
      </w:tr>
      <w:tr w14:paraId="3A1D30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3" w:type="dxa"/>
            <w:vMerge w:val="continue"/>
            <w:tcBorders>
              <w:left w:val="nil"/>
              <w:right w:val="nil"/>
            </w:tcBorders>
            <w:shd w:val="clear" w:color="auto" w:fill="auto"/>
            <w:noWrap w:val="0"/>
            <w:vAlign w:val="top"/>
          </w:tcPr>
          <w:p w14:paraId="05A1925C">
            <w:pPr>
              <w:spacing w:line="720" w:lineRule="auto"/>
              <w:jc w:val="center"/>
              <w:rPr>
                <w:rFonts w:ascii="Times New Roman" w:hAnsi="Times New Roman"/>
              </w:rPr>
            </w:pPr>
          </w:p>
        </w:tc>
        <w:tc>
          <w:tcPr>
            <w:tcW w:w="1966" w:type="dxa"/>
            <w:tcBorders>
              <w:top w:val="nil"/>
              <w:left w:val="nil"/>
              <w:bottom w:val="nil"/>
              <w:right w:val="nil"/>
            </w:tcBorders>
            <w:shd w:val="clear" w:color="auto" w:fill="auto"/>
            <w:noWrap w:val="0"/>
            <w:vAlign w:val="top"/>
          </w:tcPr>
          <w:p w14:paraId="47430184">
            <w:pPr>
              <w:jc w:val="center"/>
              <w:rPr>
                <w:rFonts w:ascii="Times New Roman" w:hAnsi="Times New Roman"/>
              </w:rPr>
            </w:pPr>
            <w:r>
              <w:rPr>
                <w:rFonts w:hint="eastAsia" w:ascii="Times New Roman" w:hAnsi="Times New Roman"/>
              </w:rPr>
              <w:t>HDL-c</w:t>
            </w:r>
          </w:p>
        </w:tc>
        <w:tc>
          <w:tcPr>
            <w:tcW w:w="1134" w:type="dxa"/>
            <w:tcBorders>
              <w:top w:val="nil"/>
              <w:left w:val="nil"/>
              <w:bottom w:val="nil"/>
              <w:right w:val="nil"/>
            </w:tcBorders>
            <w:shd w:val="clear" w:color="auto" w:fill="auto"/>
            <w:noWrap w:val="0"/>
            <w:vAlign w:val="top"/>
          </w:tcPr>
          <w:p w14:paraId="23C80048">
            <w:pPr>
              <w:jc w:val="center"/>
              <w:rPr>
                <w:rFonts w:ascii="Times New Roman" w:hAnsi="Times New Roman"/>
              </w:rPr>
            </w:pPr>
            <w:r>
              <w:rPr>
                <w:rFonts w:hint="eastAsia" w:ascii="Times New Roman" w:hAnsi="Times New Roman"/>
              </w:rPr>
              <w:t>0.994</w:t>
            </w:r>
          </w:p>
        </w:tc>
        <w:tc>
          <w:tcPr>
            <w:tcW w:w="1134" w:type="dxa"/>
            <w:tcBorders>
              <w:top w:val="nil"/>
              <w:left w:val="nil"/>
              <w:bottom w:val="nil"/>
              <w:right w:val="nil"/>
            </w:tcBorders>
            <w:shd w:val="clear" w:color="auto" w:fill="auto"/>
            <w:noWrap w:val="0"/>
            <w:vAlign w:val="top"/>
          </w:tcPr>
          <w:p w14:paraId="3EB994A3">
            <w:pPr>
              <w:jc w:val="center"/>
              <w:rPr>
                <w:rFonts w:ascii="Times New Roman" w:hAnsi="Times New Roman"/>
              </w:rPr>
            </w:pPr>
            <w:r>
              <w:rPr>
                <w:rFonts w:hint="eastAsia" w:ascii="Times New Roman" w:hAnsi="Times New Roman"/>
              </w:rPr>
              <w:t>0.102</w:t>
            </w:r>
          </w:p>
        </w:tc>
        <w:tc>
          <w:tcPr>
            <w:tcW w:w="1134" w:type="dxa"/>
            <w:tcBorders>
              <w:top w:val="nil"/>
              <w:left w:val="nil"/>
              <w:bottom w:val="nil"/>
              <w:right w:val="nil"/>
            </w:tcBorders>
            <w:shd w:val="clear" w:color="auto" w:fill="auto"/>
            <w:noWrap w:val="0"/>
            <w:vAlign w:val="top"/>
          </w:tcPr>
          <w:p w14:paraId="6AD9C544">
            <w:pPr>
              <w:jc w:val="center"/>
              <w:rPr>
                <w:rFonts w:ascii="Times New Roman" w:hAnsi="Times New Roman"/>
              </w:rPr>
            </w:pPr>
            <w:r>
              <w:rPr>
                <w:rFonts w:hint="eastAsia" w:ascii="Times New Roman" w:hAnsi="Times New Roman"/>
              </w:rPr>
              <w:t>0</w:t>
            </w:r>
            <w:r>
              <w:rPr>
                <w:rFonts w:ascii="Times New Roman" w:hAnsi="Times New Roman"/>
              </w:rPr>
              <w:t>.666</w:t>
            </w:r>
          </w:p>
        </w:tc>
        <w:tc>
          <w:tcPr>
            <w:tcW w:w="1701" w:type="dxa"/>
            <w:tcBorders>
              <w:top w:val="nil"/>
              <w:left w:val="nil"/>
              <w:bottom w:val="nil"/>
              <w:right w:val="nil"/>
            </w:tcBorders>
            <w:shd w:val="clear" w:color="auto" w:fill="auto"/>
            <w:noWrap w:val="0"/>
            <w:vAlign w:val="top"/>
          </w:tcPr>
          <w:p w14:paraId="308942DB">
            <w:pPr>
              <w:jc w:val="center"/>
              <w:rPr>
                <w:rFonts w:ascii="Times New Roman" w:hAnsi="Times New Roman"/>
              </w:rPr>
            </w:pPr>
            <w:r>
              <w:rPr>
                <w:rFonts w:hint="eastAsia" w:ascii="Times New Roman" w:hAnsi="Times New Roman"/>
              </w:rPr>
              <w:t>[</w:t>
            </w:r>
            <w:r>
              <w:rPr>
                <w:rFonts w:ascii="Times New Roman" w:hAnsi="Times New Roman"/>
              </w:rPr>
              <w:t>0.590, 0.742</w:t>
            </w:r>
            <w:r>
              <w:rPr>
                <w:rFonts w:hint="eastAsia" w:ascii="Times New Roman" w:hAnsi="Times New Roman"/>
              </w:rPr>
              <w:t>]</w:t>
            </w:r>
          </w:p>
        </w:tc>
      </w:tr>
      <w:tr w14:paraId="6874F4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3" w:type="dxa"/>
            <w:vMerge w:val="continue"/>
            <w:tcBorders>
              <w:left w:val="nil"/>
              <w:bottom w:val="single" w:color="auto" w:sz="4" w:space="0"/>
              <w:right w:val="nil"/>
            </w:tcBorders>
            <w:shd w:val="clear" w:color="auto" w:fill="auto"/>
            <w:noWrap w:val="0"/>
            <w:vAlign w:val="top"/>
          </w:tcPr>
          <w:p w14:paraId="15E92ACD">
            <w:pPr>
              <w:spacing w:line="720" w:lineRule="auto"/>
              <w:jc w:val="center"/>
              <w:rPr>
                <w:rFonts w:hint="eastAsia" w:ascii="Times New Roman" w:hAnsi="Times New Roman"/>
              </w:rPr>
            </w:pPr>
          </w:p>
        </w:tc>
        <w:tc>
          <w:tcPr>
            <w:tcW w:w="1966" w:type="dxa"/>
            <w:tcBorders>
              <w:top w:val="nil"/>
              <w:left w:val="nil"/>
              <w:bottom w:val="single" w:color="auto" w:sz="4" w:space="0"/>
              <w:right w:val="nil"/>
            </w:tcBorders>
            <w:shd w:val="clear" w:color="auto" w:fill="auto"/>
            <w:noWrap w:val="0"/>
            <w:vAlign w:val="top"/>
          </w:tcPr>
          <w:p w14:paraId="30356493">
            <w:pPr>
              <w:jc w:val="center"/>
              <w:rPr>
                <w:rFonts w:ascii="Times New Roman" w:hAnsi="Times New Roman"/>
              </w:rPr>
            </w:pPr>
            <w:r>
              <w:rPr>
                <w:rFonts w:hint="eastAsia" w:ascii="Times New Roman" w:hAnsi="Times New Roman"/>
              </w:rPr>
              <w:t>NSE+HDL-c</w:t>
            </w:r>
          </w:p>
        </w:tc>
        <w:tc>
          <w:tcPr>
            <w:tcW w:w="1134" w:type="dxa"/>
            <w:tcBorders>
              <w:top w:val="nil"/>
              <w:left w:val="nil"/>
              <w:bottom w:val="nil"/>
              <w:right w:val="nil"/>
            </w:tcBorders>
            <w:shd w:val="clear" w:color="auto" w:fill="auto"/>
            <w:noWrap w:val="0"/>
            <w:vAlign w:val="top"/>
          </w:tcPr>
          <w:p w14:paraId="4E099C51">
            <w:pPr>
              <w:jc w:val="center"/>
              <w:rPr>
                <w:rFonts w:ascii="Times New Roman" w:hAnsi="Times New Roman"/>
              </w:rPr>
            </w:pPr>
            <w:r>
              <w:rPr>
                <w:rFonts w:hint="eastAsia" w:ascii="Times New Roman" w:hAnsi="Times New Roman"/>
              </w:rPr>
              <w:t>0.720</w:t>
            </w:r>
          </w:p>
        </w:tc>
        <w:tc>
          <w:tcPr>
            <w:tcW w:w="1134" w:type="dxa"/>
            <w:tcBorders>
              <w:top w:val="nil"/>
              <w:left w:val="nil"/>
              <w:bottom w:val="nil"/>
              <w:right w:val="nil"/>
            </w:tcBorders>
            <w:shd w:val="clear" w:color="auto" w:fill="auto"/>
            <w:noWrap w:val="0"/>
            <w:vAlign w:val="top"/>
          </w:tcPr>
          <w:p w14:paraId="30C8A153">
            <w:pPr>
              <w:jc w:val="center"/>
              <w:rPr>
                <w:rFonts w:ascii="Times New Roman" w:hAnsi="Times New Roman"/>
              </w:rPr>
            </w:pPr>
            <w:r>
              <w:rPr>
                <w:rFonts w:hint="eastAsia" w:ascii="Times New Roman" w:hAnsi="Times New Roman"/>
              </w:rPr>
              <w:t>0.955</w:t>
            </w:r>
          </w:p>
        </w:tc>
        <w:tc>
          <w:tcPr>
            <w:tcW w:w="1134" w:type="dxa"/>
            <w:tcBorders>
              <w:top w:val="nil"/>
              <w:left w:val="nil"/>
              <w:bottom w:val="nil"/>
              <w:right w:val="nil"/>
            </w:tcBorders>
            <w:shd w:val="clear" w:color="auto" w:fill="auto"/>
            <w:noWrap w:val="0"/>
            <w:vAlign w:val="top"/>
          </w:tcPr>
          <w:p w14:paraId="758B7A39">
            <w:pPr>
              <w:jc w:val="center"/>
              <w:rPr>
                <w:rFonts w:ascii="Times New Roman" w:hAnsi="Times New Roman"/>
              </w:rPr>
            </w:pPr>
            <w:r>
              <w:rPr>
                <w:rFonts w:hint="eastAsia" w:ascii="Times New Roman" w:hAnsi="Times New Roman"/>
              </w:rPr>
              <w:t>0.911</w:t>
            </w:r>
          </w:p>
        </w:tc>
        <w:tc>
          <w:tcPr>
            <w:tcW w:w="1701" w:type="dxa"/>
            <w:tcBorders>
              <w:top w:val="nil"/>
              <w:left w:val="nil"/>
              <w:bottom w:val="nil"/>
              <w:right w:val="nil"/>
            </w:tcBorders>
            <w:shd w:val="clear" w:color="auto" w:fill="auto"/>
            <w:noWrap w:val="0"/>
            <w:vAlign w:val="top"/>
          </w:tcPr>
          <w:p w14:paraId="672FEA65">
            <w:pPr>
              <w:jc w:val="center"/>
              <w:rPr>
                <w:rFonts w:ascii="Times New Roman" w:hAnsi="Times New Roman"/>
              </w:rPr>
            </w:pPr>
            <w:r>
              <w:rPr>
                <w:rFonts w:hint="eastAsia" w:ascii="Times New Roman" w:hAnsi="Times New Roman"/>
              </w:rPr>
              <w:t>[</w:t>
            </w:r>
            <w:r>
              <w:rPr>
                <w:rFonts w:ascii="Times New Roman" w:hAnsi="Times New Roman"/>
              </w:rPr>
              <w:t>0.878, 0.943</w:t>
            </w:r>
            <w:r>
              <w:rPr>
                <w:rFonts w:hint="eastAsia" w:ascii="Times New Roman" w:hAnsi="Times New Roman"/>
              </w:rPr>
              <w:t>]</w:t>
            </w:r>
          </w:p>
        </w:tc>
      </w:tr>
      <w:tr w14:paraId="332FE6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3" w:type="dxa"/>
            <w:vMerge w:val="restart"/>
            <w:tcBorders>
              <w:top w:val="single" w:color="auto" w:sz="4" w:space="0"/>
              <w:left w:val="nil"/>
              <w:right w:val="nil"/>
            </w:tcBorders>
            <w:shd w:val="clear" w:color="auto" w:fill="auto"/>
            <w:noWrap w:val="0"/>
            <w:vAlign w:val="top"/>
          </w:tcPr>
          <w:p w14:paraId="1BE2F287">
            <w:pPr>
              <w:spacing w:line="720" w:lineRule="auto"/>
              <w:jc w:val="center"/>
              <w:rPr>
                <w:rFonts w:ascii="Times New Roman" w:hAnsi="Times New Roman"/>
              </w:rPr>
            </w:pPr>
            <w:r>
              <w:rPr>
                <w:rFonts w:ascii="Times New Roman" w:hAnsi="Times New Roman"/>
              </w:rPr>
              <w:t>Grade</w:t>
            </w:r>
          </w:p>
        </w:tc>
        <w:tc>
          <w:tcPr>
            <w:tcW w:w="1966" w:type="dxa"/>
            <w:tcBorders>
              <w:top w:val="single" w:color="auto" w:sz="4" w:space="0"/>
              <w:left w:val="nil"/>
              <w:bottom w:val="nil"/>
              <w:right w:val="nil"/>
            </w:tcBorders>
            <w:shd w:val="clear" w:color="auto" w:fill="auto"/>
            <w:noWrap w:val="0"/>
            <w:vAlign w:val="top"/>
          </w:tcPr>
          <w:p w14:paraId="465A4867">
            <w:pPr>
              <w:jc w:val="center"/>
              <w:rPr>
                <w:rFonts w:ascii="Times New Roman" w:hAnsi="Times New Roman"/>
              </w:rPr>
            </w:pPr>
            <w:r>
              <w:rPr>
                <w:rFonts w:hint="eastAsia" w:ascii="Times New Roman" w:hAnsi="Times New Roman"/>
              </w:rPr>
              <w:t>CA199</w:t>
            </w:r>
          </w:p>
        </w:tc>
        <w:tc>
          <w:tcPr>
            <w:tcW w:w="1134" w:type="dxa"/>
            <w:tcBorders>
              <w:top w:val="nil"/>
              <w:left w:val="nil"/>
              <w:bottom w:val="nil"/>
              <w:right w:val="nil"/>
            </w:tcBorders>
            <w:shd w:val="clear" w:color="auto" w:fill="auto"/>
            <w:noWrap w:val="0"/>
            <w:vAlign w:val="top"/>
          </w:tcPr>
          <w:p w14:paraId="786B1C6B">
            <w:pPr>
              <w:jc w:val="center"/>
              <w:rPr>
                <w:rFonts w:ascii="Times New Roman" w:hAnsi="Times New Roman"/>
              </w:rPr>
            </w:pPr>
            <w:r>
              <w:rPr>
                <w:rFonts w:hint="eastAsia" w:ascii="Times New Roman" w:hAnsi="Times New Roman"/>
              </w:rPr>
              <w:t>0.560</w:t>
            </w:r>
          </w:p>
        </w:tc>
        <w:tc>
          <w:tcPr>
            <w:tcW w:w="1134" w:type="dxa"/>
            <w:tcBorders>
              <w:top w:val="nil"/>
              <w:left w:val="nil"/>
              <w:bottom w:val="nil"/>
              <w:right w:val="nil"/>
            </w:tcBorders>
            <w:shd w:val="clear" w:color="auto" w:fill="auto"/>
            <w:noWrap w:val="0"/>
            <w:vAlign w:val="top"/>
          </w:tcPr>
          <w:p w14:paraId="121EBB90">
            <w:pPr>
              <w:jc w:val="center"/>
              <w:rPr>
                <w:rFonts w:ascii="Times New Roman" w:hAnsi="Times New Roman"/>
              </w:rPr>
            </w:pPr>
            <w:r>
              <w:rPr>
                <w:rFonts w:hint="eastAsia" w:ascii="Times New Roman" w:hAnsi="Times New Roman"/>
              </w:rPr>
              <w:t>0.873</w:t>
            </w:r>
          </w:p>
        </w:tc>
        <w:tc>
          <w:tcPr>
            <w:tcW w:w="1134" w:type="dxa"/>
            <w:tcBorders>
              <w:top w:val="nil"/>
              <w:left w:val="nil"/>
              <w:bottom w:val="nil"/>
              <w:right w:val="nil"/>
            </w:tcBorders>
            <w:shd w:val="clear" w:color="auto" w:fill="auto"/>
            <w:noWrap w:val="0"/>
            <w:vAlign w:val="top"/>
          </w:tcPr>
          <w:p w14:paraId="15B35F1B">
            <w:pPr>
              <w:jc w:val="center"/>
              <w:rPr>
                <w:rFonts w:ascii="Times New Roman" w:hAnsi="Times New Roman"/>
              </w:rPr>
            </w:pPr>
            <w:r>
              <w:rPr>
                <w:rFonts w:hint="eastAsia" w:ascii="Times New Roman" w:hAnsi="Times New Roman"/>
              </w:rPr>
              <w:t>0.728</w:t>
            </w:r>
          </w:p>
        </w:tc>
        <w:tc>
          <w:tcPr>
            <w:tcW w:w="1701" w:type="dxa"/>
            <w:tcBorders>
              <w:top w:val="nil"/>
              <w:left w:val="nil"/>
              <w:bottom w:val="nil"/>
              <w:right w:val="nil"/>
            </w:tcBorders>
            <w:shd w:val="clear" w:color="auto" w:fill="auto"/>
            <w:noWrap w:val="0"/>
            <w:vAlign w:val="top"/>
          </w:tcPr>
          <w:p w14:paraId="05B59758">
            <w:pPr>
              <w:jc w:val="center"/>
              <w:rPr>
                <w:rFonts w:ascii="Times New Roman" w:hAnsi="Times New Roman"/>
              </w:rPr>
            </w:pPr>
            <w:r>
              <w:rPr>
                <w:rFonts w:hint="eastAsia" w:ascii="Times New Roman" w:hAnsi="Times New Roman"/>
              </w:rPr>
              <w:t>[</w:t>
            </w:r>
            <w:r>
              <w:rPr>
                <w:rFonts w:ascii="Times New Roman" w:hAnsi="Times New Roman"/>
              </w:rPr>
              <w:t>0.606, 0.850</w:t>
            </w:r>
            <w:r>
              <w:rPr>
                <w:rFonts w:hint="eastAsia" w:ascii="Times New Roman" w:hAnsi="Times New Roman"/>
              </w:rPr>
              <w:t>]</w:t>
            </w:r>
          </w:p>
        </w:tc>
      </w:tr>
      <w:tr w14:paraId="651453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3" w:type="dxa"/>
            <w:vMerge w:val="continue"/>
            <w:tcBorders>
              <w:left w:val="nil"/>
              <w:right w:val="nil"/>
            </w:tcBorders>
            <w:shd w:val="clear" w:color="auto" w:fill="auto"/>
            <w:noWrap w:val="0"/>
            <w:vAlign w:val="top"/>
          </w:tcPr>
          <w:p w14:paraId="30CAD921">
            <w:pPr>
              <w:spacing w:line="720" w:lineRule="auto"/>
              <w:jc w:val="center"/>
              <w:rPr>
                <w:rFonts w:ascii="Times New Roman" w:hAnsi="Times New Roman"/>
              </w:rPr>
            </w:pPr>
          </w:p>
        </w:tc>
        <w:tc>
          <w:tcPr>
            <w:tcW w:w="1966" w:type="dxa"/>
            <w:tcBorders>
              <w:top w:val="nil"/>
              <w:left w:val="nil"/>
              <w:bottom w:val="nil"/>
              <w:right w:val="nil"/>
            </w:tcBorders>
            <w:shd w:val="clear" w:color="auto" w:fill="auto"/>
            <w:noWrap w:val="0"/>
            <w:vAlign w:val="top"/>
          </w:tcPr>
          <w:p w14:paraId="43607146">
            <w:pPr>
              <w:jc w:val="center"/>
              <w:rPr>
                <w:rFonts w:ascii="Times New Roman" w:hAnsi="Times New Roman"/>
              </w:rPr>
            </w:pPr>
            <w:r>
              <w:rPr>
                <w:rFonts w:hint="eastAsia" w:ascii="Times New Roman" w:hAnsi="Times New Roman"/>
              </w:rPr>
              <w:t>NSE</w:t>
            </w:r>
          </w:p>
        </w:tc>
        <w:tc>
          <w:tcPr>
            <w:tcW w:w="1134" w:type="dxa"/>
            <w:tcBorders>
              <w:top w:val="nil"/>
              <w:left w:val="nil"/>
              <w:bottom w:val="nil"/>
              <w:right w:val="nil"/>
            </w:tcBorders>
            <w:shd w:val="clear" w:color="auto" w:fill="auto"/>
            <w:noWrap w:val="0"/>
            <w:vAlign w:val="top"/>
          </w:tcPr>
          <w:p w14:paraId="0E5B7B43">
            <w:pPr>
              <w:jc w:val="center"/>
              <w:rPr>
                <w:rFonts w:ascii="Times New Roman" w:hAnsi="Times New Roman"/>
              </w:rPr>
            </w:pPr>
            <w:r>
              <w:rPr>
                <w:rFonts w:hint="eastAsia" w:ascii="Times New Roman" w:hAnsi="Times New Roman"/>
              </w:rPr>
              <w:t>0.320</w:t>
            </w:r>
          </w:p>
        </w:tc>
        <w:tc>
          <w:tcPr>
            <w:tcW w:w="1134" w:type="dxa"/>
            <w:tcBorders>
              <w:top w:val="nil"/>
              <w:left w:val="nil"/>
              <w:bottom w:val="nil"/>
              <w:right w:val="nil"/>
            </w:tcBorders>
            <w:shd w:val="clear" w:color="auto" w:fill="auto"/>
            <w:noWrap w:val="0"/>
            <w:vAlign w:val="top"/>
          </w:tcPr>
          <w:p w14:paraId="255CA61C">
            <w:pPr>
              <w:jc w:val="center"/>
              <w:rPr>
                <w:rFonts w:ascii="Times New Roman" w:hAnsi="Times New Roman"/>
              </w:rPr>
            </w:pPr>
            <w:r>
              <w:rPr>
                <w:rFonts w:hint="eastAsia" w:ascii="Times New Roman" w:hAnsi="Times New Roman"/>
              </w:rPr>
              <w:t>0.973</w:t>
            </w:r>
          </w:p>
        </w:tc>
        <w:tc>
          <w:tcPr>
            <w:tcW w:w="1134" w:type="dxa"/>
            <w:tcBorders>
              <w:top w:val="nil"/>
              <w:left w:val="nil"/>
              <w:bottom w:val="nil"/>
              <w:right w:val="nil"/>
            </w:tcBorders>
            <w:shd w:val="clear" w:color="auto" w:fill="auto"/>
            <w:noWrap w:val="0"/>
            <w:vAlign w:val="top"/>
          </w:tcPr>
          <w:p w14:paraId="27D676F8">
            <w:pPr>
              <w:jc w:val="center"/>
              <w:rPr>
                <w:rFonts w:ascii="Times New Roman" w:hAnsi="Times New Roman"/>
              </w:rPr>
            </w:pPr>
            <w:r>
              <w:rPr>
                <w:rFonts w:hint="eastAsia" w:ascii="Times New Roman" w:hAnsi="Times New Roman"/>
              </w:rPr>
              <w:t>0.645</w:t>
            </w:r>
          </w:p>
        </w:tc>
        <w:tc>
          <w:tcPr>
            <w:tcW w:w="1701" w:type="dxa"/>
            <w:tcBorders>
              <w:top w:val="nil"/>
              <w:left w:val="nil"/>
              <w:bottom w:val="nil"/>
              <w:right w:val="nil"/>
            </w:tcBorders>
            <w:shd w:val="clear" w:color="auto" w:fill="auto"/>
            <w:noWrap w:val="0"/>
            <w:vAlign w:val="top"/>
          </w:tcPr>
          <w:p w14:paraId="4932221C">
            <w:pPr>
              <w:jc w:val="center"/>
              <w:rPr>
                <w:rFonts w:ascii="Times New Roman" w:hAnsi="Times New Roman"/>
              </w:rPr>
            </w:pPr>
            <w:r>
              <w:rPr>
                <w:rFonts w:hint="eastAsia" w:ascii="Times New Roman" w:hAnsi="Times New Roman"/>
              </w:rPr>
              <w:t>[</w:t>
            </w:r>
            <w:r>
              <w:rPr>
                <w:rFonts w:ascii="Times New Roman" w:hAnsi="Times New Roman"/>
              </w:rPr>
              <w:t>0.523, 0.768</w:t>
            </w:r>
            <w:r>
              <w:rPr>
                <w:rFonts w:hint="eastAsia" w:ascii="Times New Roman" w:hAnsi="Times New Roman"/>
              </w:rPr>
              <w:t>]</w:t>
            </w:r>
          </w:p>
        </w:tc>
      </w:tr>
      <w:tr w14:paraId="02BF1E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3" w:type="dxa"/>
            <w:vMerge w:val="continue"/>
            <w:tcBorders>
              <w:left w:val="nil"/>
              <w:bottom w:val="single" w:color="auto" w:sz="4" w:space="0"/>
              <w:right w:val="nil"/>
            </w:tcBorders>
            <w:shd w:val="clear" w:color="auto" w:fill="auto"/>
            <w:noWrap w:val="0"/>
            <w:vAlign w:val="top"/>
          </w:tcPr>
          <w:p w14:paraId="44B5C124">
            <w:pPr>
              <w:spacing w:line="720" w:lineRule="auto"/>
              <w:jc w:val="center"/>
              <w:rPr>
                <w:rFonts w:ascii="Times New Roman" w:hAnsi="Times New Roman"/>
              </w:rPr>
            </w:pPr>
          </w:p>
        </w:tc>
        <w:tc>
          <w:tcPr>
            <w:tcW w:w="1966" w:type="dxa"/>
            <w:tcBorders>
              <w:top w:val="nil"/>
              <w:left w:val="nil"/>
              <w:bottom w:val="single" w:color="auto" w:sz="4" w:space="0"/>
              <w:right w:val="nil"/>
            </w:tcBorders>
            <w:shd w:val="clear" w:color="auto" w:fill="auto"/>
            <w:noWrap w:val="0"/>
            <w:vAlign w:val="top"/>
          </w:tcPr>
          <w:p w14:paraId="3D2B3399">
            <w:pPr>
              <w:jc w:val="center"/>
              <w:rPr>
                <w:rFonts w:ascii="Times New Roman" w:hAnsi="Times New Roman"/>
              </w:rPr>
            </w:pPr>
            <w:r>
              <w:rPr>
                <w:rFonts w:hint="eastAsia" w:ascii="Times New Roman" w:hAnsi="Times New Roman"/>
              </w:rPr>
              <w:t>CA199+NSE</w:t>
            </w:r>
          </w:p>
        </w:tc>
        <w:tc>
          <w:tcPr>
            <w:tcW w:w="1134" w:type="dxa"/>
            <w:tcBorders>
              <w:top w:val="nil"/>
              <w:left w:val="nil"/>
              <w:bottom w:val="nil"/>
              <w:right w:val="nil"/>
            </w:tcBorders>
            <w:shd w:val="clear" w:color="auto" w:fill="auto"/>
            <w:noWrap w:val="0"/>
            <w:vAlign w:val="top"/>
          </w:tcPr>
          <w:p w14:paraId="1ED3EE33">
            <w:pPr>
              <w:jc w:val="center"/>
              <w:rPr>
                <w:rFonts w:ascii="Times New Roman" w:hAnsi="Times New Roman"/>
              </w:rPr>
            </w:pPr>
            <w:r>
              <w:rPr>
                <w:rFonts w:hint="eastAsia" w:ascii="Times New Roman" w:hAnsi="Times New Roman"/>
              </w:rPr>
              <w:t>0.560</w:t>
            </w:r>
          </w:p>
        </w:tc>
        <w:tc>
          <w:tcPr>
            <w:tcW w:w="1134" w:type="dxa"/>
            <w:tcBorders>
              <w:top w:val="nil"/>
              <w:left w:val="nil"/>
              <w:bottom w:val="nil"/>
              <w:right w:val="nil"/>
            </w:tcBorders>
            <w:shd w:val="clear" w:color="auto" w:fill="auto"/>
            <w:noWrap w:val="0"/>
            <w:vAlign w:val="top"/>
          </w:tcPr>
          <w:p w14:paraId="73159E6F">
            <w:pPr>
              <w:jc w:val="center"/>
              <w:rPr>
                <w:rFonts w:ascii="Times New Roman" w:hAnsi="Times New Roman"/>
              </w:rPr>
            </w:pPr>
            <w:r>
              <w:rPr>
                <w:rFonts w:hint="eastAsia" w:ascii="Times New Roman" w:hAnsi="Times New Roman"/>
              </w:rPr>
              <w:t>0.900</w:t>
            </w:r>
          </w:p>
        </w:tc>
        <w:tc>
          <w:tcPr>
            <w:tcW w:w="1134" w:type="dxa"/>
            <w:tcBorders>
              <w:top w:val="nil"/>
              <w:left w:val="nil"/>
              <w:bottom w:val="nil"/>
              <w:right w:val="nil"/>
            </w:tcBorders>
            <w:shd w:val="clear" w:color="auto" w:fill="auto"/>
            <w:noWrap w:val="0"/>
            <w:vAlign w:val="top"/>
          </w:tcPr>
          <w:p w14:paraId="59747655">
            <w:pPr>
              <w:jc w:val="center"/>
              <w:rPr>
                <w:rFonts w:ascii="Times New Roman" w:hAnsi="Times New Roman"/>
              </w:rPr>
            </w:pPr>
            <w:r>
              <w:rPr>
                <w:rFonts w:hint="eastAsia" w:ascii="Times New Roman" w:hAnsi="Times New Roman"/>
              </w:rPr>
              <w:t>0.7</w:t>
            </w:r>
            <w:r>
              <w:rPr>
                <w:rFonts w:ascii="Times New Roman" w:hAnsi="Times New Roman"/>
              </w:rPr>
              <w:t>65</w:t>
            </w:r>
          </w:p>
        </w:tc>
        <w:tc>
          <w:tcPr>
            <w:tcW w:w="1701" w:type="dxa"/>
            <w:tcBorders>
              <w:top w:val="nil"/>
              <w:left w:val="nil"/>
              <w:bottom w:val="nil"/>
              <w:right w:val="nil"/>
            </w:tcBorders>
            <w:shd w:val="clear" w:color="auto" w:fill="auto"/>
            <w:noWrap w:val="0"/>
            <w:vAlign w:val="top"/>
          </w:tcPr>
          <w:p w14:paraId="170C6AA6">
            <w:pPr>
              <w:jc w:val="center"/>
              <w:rPr>
                <w:rFonts w:ascii="Times New Roman" w:hAnsi="Times New Roman"/>
              </w:rPr>
            </w:pPr>
            <w:r>
              <w:rPr>
                <w:rFonts w:hint="eastAsia" w:ascii="Times New Roman" w:hAnsi="Times New Roman"/>
              </w:rPr>
              <w:t>[</w:t>
            </w:r>
            <w:r>
              <w:rPr>
                <w:rFonts w:ascii="Times New Roman" w:hAnsi="Times New Roman"/>
              </w:rPr>
              <w:t>0.659, 0.870</w:t>
            </w:r>
            <w:r>
              <w:rPr>
                <w:rFonts w:hint="eastAsia" w:ascii="Times New Roman" w:hAnsi="Times New Roman"/>
              </w:rPr>
              <w:t>]</w:t>
            </w:r>
          </w:p>
        </w:tc>
      </w:tr>
      <w:tr w14:paraId="5BD1E7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3" w:type="dxa"/>
            <w:vMerge w:val="restart"/>
            <w:tcBorders>
              <w:top w:val="single" w:color="auto" w:sz="4" w:space="0"/>
              <w:left w:val="nil"/>
              <w:right w:val="nil"/>
            </w:tcBorders>
            <w:shd w:val="clear" w:color="auto" w:fill="auto"/>
            <w:noWrap w:val="0"/>
            <w:vAlign w:val="top"/>
          </w:tcPr>
          <w:p w14:paraId="6B0D11ED">
            <w:pPr>
              <w:spacing w:line="720" w:lineRule="auto"/>
              <w:jc w:val="center"/>
              <w:rPr>
                <w:rFonts w:ascii="Times New Roman" w:hAnsi="Times New Roman"/>
              </w:rPr>
            </w:pPr>
            <w:r>
              <w:rPr>
                <w:rFonts w:ascii="Times New Roman" w:hAnsi="Times New Roman"/>
              </w:rPr>
              <w:t>M</w:t>
            </w:r>
            <w:r>
              <w:rPr>
                <w:rFonts w:hint="eastAsia" w:ascii="Times New Roman" w:hAnsi="Times New Roman"/>
              </w:rPr>
              <w:t>etast</w:t>
            </w:r>
            <w:r>
              <w:rPr>
                <w:rFonts w:ascii="Times New Roman" w:hAnsi="Times New Roman"/>
              </w:rPr>
              <w:t>a</w:t>
            </w:r>
            <w:r>
              <w:rPr>
                <w:rFonts w:hint="eastAsia" w:ascii="Times New Roman" w:hAnsi="Times New Roman"/>
              </w:rPr>
              <w:t>sis</w:t>
            </w:r>
          </w:p>
        </w:tc>
        <w:tc>
          <w:tcPr>
            <w:tcW w:w="1966" w:type="dxa"/>
            <w:tcBorders>
              <w:top w:val="single" w:color="auto" w:sz="4" w:space="0"/>
              <w:left w:val="nil"/>
              <w:bottom w:val="nil"/>
              <w:right w:val="nil"/>
            </w:tcBorders>
            <w:shd w:val="clear" w:color="auto" w:fill="auto"/>
            <w:noWrap w:val="0"/>
            <w:vAlign w:val="top"/>
          </w:tcPr>
          <w:p w14:paraId="020BB956">
            <w:pPr>
              <w:jc w:val="center"/>
              <w:rPr>
                <w:rFonts w:ascii="Times New Roman" w:hAnsi="Times New Roman"/>
              </w:rPr>
            </w:pPr>
            <w:r>
              <w:rPr>
                <w:rFonts w:hint="eastAsia" w:ascii="Times New Roman" w:hAnsi="Times New Roman"/>
              </w:rPr>
              <w:t>CA199</w:t>
            </w:r>
          </w:p>
        </w:tc>
        <w:tc>
          <w:tcPr>
            <w:tcW w:w="1134" w:type="dxa"/>
            <w:tcBorders>
              <w:top w:val="nil"/>
              <w:left w:val="nil"/>
              <w:bottom w:val="nil"/>
              <w:right w:val="nil"/>
            </w:tcBorders>
            <w:shd w:val="clear" w:color="auto" w:fill="auto"/>
            <w:noWrap w:val="0"/>
            <w:vAlign w:val="top"/>
          </w:tcPr>
          <w:p w14:paraId="0C5A885D">
            <w:pPr>
              <w:jc w:val="center"/>
              <w:rPr>
                <w:rFonts w:ascii="Times New Roman" w:hAnsi="Times New Roman"/>
              </w:rPr>
            </w:pPr>
            <w:r>
              <w:rPr>
                <w:rFonts w:hint="eastAsia" w:ascii="Times New Roman" w:hAnsi="Times New Roman"/>
              </w:rPr>
              <w:t>0.593</w:t>
            </w:r>
          </w:p>
        </w:tc>
        <w:tc>
          <w:tcPr>
            <w:tcW w:w="1134" w:type="dxa"/>
            <w:tcBorders>
              <w:top w:val="nil"/>
              <w:left w:val="nil"/>
              <w:bottom w:val="nil"/>
              <w:right w:val="nil"/>
            </w:tcBorders>
            <w:shd w:val="clear" w:color="auto" w:fill="auto"/>
            <w:noWrap w:val="0"/>
            <w:vAlign w:val="top"/>
          </w:tcPr>
          <w:p w14:paraId="362C9DD8">
            <w:pPr>
              <w:jc w:val="center"/>
              <w:rPr>
                <w:rFonts w:ascii="Times New Roman" w:hAnsi="Times New Roman"/>
              </w:rPr>
            </w:pPr>
            <w:r>
              <w:rPr>
                <w:rFonts w:hint="eastAsia" w:ascii="Times New Roman" w:hAnsi="Times New Roman"/>
              </w:rPr>
              <w:t>0.711</w:t>
            </w:r>
          </w:p>
        </w:tc>
        <w:tc>
          <w:tcPr>
            <w:tcW w:w="1134" w:type="dxa"/>
            <w:tcBorders>
              <w:top w:val="nil"/>
              <w:left w:val="nil"/>
              <w:bottom w:val="nil"/>
              <w:right w:val="nil"/>
            </w:tcBorders>
            <w:shd w:val="clear" w:color="auto" w:fill="auto"/>
            <w:noWrap w:val="0"/>
            <w:vAlign w:val="top"/>
          </w:tcPr>
          <w:p w14:paraId="3AE78333">
            <w:pPr>
              <w:jc w:val="center"/>
              <w:rPr>
                <w:rFonts w:ascii="Times New Roman" w:hAnsi="Times New Roman"/>
              </w:rPr>
            </w:pPr>
            <w:r>
              <w:rPr>
                <w:rFonts w:hint="eastAsia" w:ascii="Times New Roman" w:hAnsi="Times New Roman"/>
              </w:rPr>
              <w:t>0.693</w:t>
            </w:r>
          </w:p>
        </w:tc>
        <w:tc>
          <w:tcPr>
            <w:tcW w:w="1701" w:type="dxa"/>
            <w:tcBorders>
              <w:top w:val="nil"/>
              <w:left w:val="nil"/>
              <w:bottom w:val="nil"/>
              <w:right w:val="nil"/>
            </w:tcBorders>
            <w:shd w:val="clear" w:color="auto" w:fill="auto"/>
            <w:noWrap w:val="0"/>
            <w:vAlign w:val="top"/>
          </w:tcPr>
          <w:p w14:paraId="378A0276">
            <w:pPr>
              <w:jc w:val="center"/>
              <w:rPr>
                <w:rFonts w:ascii="Times New Roman" w:hAnsi="Times New Roman"/>
              </w:rPr>
            </w:pPr>
            <w:r>
              <w:rPr>
                <w:rFonts w:hint="eastAsia" w:ascii="Times New Roman" w:hAnsi="Times New Roman"/>
              </w:rPr>
              <w:t>[</w:t>
            </w:r>
            <w:r>
              <w:rPr>
                <w:rFonts w:ascii="Times New Roman" w:hAnsi="Times New Roman"/>
              </w:rPr>
              <w:t>0.609, 0.778</w:t>
            </w:r>
            <w:r>
              <w:rPr>
                <w:rFonts w:hint="eastAsia" w:ascii="Times New Roman" w:hAnsi="Times New Roman"/>
              </w:rPr>
              <w:t>]</w:t>
            </w:r>
          </w:p>
        </w:tc>
      </w:tr>
      <w:tr w14:paraId="74CDD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3" w:type="dxa"/>
            <w:vMerge w:val="continue"/>
            <w:tcBorders>
              <w:left w:val="nil"/>
              <w:right w:val="nil"/>
            </w:tcBorders>
            <w:shd w:val="clear" w:color="auto" w:fill="auto"/>
            <w:noWrap w:val="0"/>
            <w:vAlign w:val="top"/>
          </w:tcPr>
          <w:p w14:paraId="6D5673FB">
            <w:pPr>
              <w:jc w:val="center"/>
              <w:rPr>
                <w:rFonts w:hint="eastAsia" w:ascii="Times New Roman" w:hAnsi="Times New Roman"/>
                <w:szCs w:val="21"/>
              </w:rPr>
            </w:pPr>
          </w:p>
        </w:tc>
        <w:tc>
          <w:tcPr>
            <w:tcW w:w="1966" w:type="dxa"/>
            <w:tcBorders>
              <w:top w:val="nil"/>
              <w:left w:val="nil"/>
              <w:bottom w:val="nil"/>
              <w:right w:val="nil"/>
            </w:tcBorders>
            <w:shd w:val="clear" w:color="auto" w:fill="auto"/>
            <w:noWrap w:val="0"/>
            <w:vAlign w:val="top"/>
          </w:tcPr>
          <w:p w14:paraId="0BC8025D">
            <w:pPr>
              <w:jc w:val="center"/>
              <w:rPr>
                <w:rFonts w:ascii="Times New Roman" w:hAnsi="Times New Roman"/>
              </w:rPr>
            </w:pPr>
            <w:r>
              <w:rPr>
                <w:rFonts w:hint="eastAsia" w:ascii="Times New Roman" w:hAnsi="Times New Roman"/>
              </w:rPr>
              <w:t>NSE</w:t>
            </w:r>
          </w:p>
        </w:tc>
        <w:tc>
          <w:tcPr>
            <w:tcW w:w="1134" w:type="dxa"/>
            <w:tcBorders>
              <w:top w:val="nil"/>
              <w:left w:val="nil"/>
              <w:bottom w:val="nil"/>
              <w:right w:val="nil"/>
            </w:tcBorders>
            <w:shd w:val="clear" w:color="auto" w:fill="auto"/>
            <w:noWrap w:val="0"/>
            <w:vAlign w:val="top"/>
          </w:tcPr>
          <w:p w14:paraId="1A951EE2">
            <w:pPr>
              <w:jc w:val="center"/>
              <w:rPr>
                <w:rFonts w:ascii="Times New Roman" w:hAnsi="Times New Roman"/>
              </w:rPr>
            </w:pPr>
            <w:r>
              <w:rPr>
                <w:rFonts w:hint="eastAsia" w:ascii="Times New Roman" w:hAnsi="Times New Roman"/>
              </w:rPr>
              <w:t>0.</w:t>
            </w:r>
            <w:r>
              <w:rPr>
                <w:rFonts w:ascii="Times New Roman" w:hAnsi="Times New Roman"/>
              </w:rPr>
              <w:t>556</w:t>
            </w:r>
          </w:p>
        </w:tc>
        <w:tc>
          <w:tcPr>
            <w:tcW w:w="1134" w:type="dxa"/>
            <w:tcBorders>
              <w:top w:val="nil"/>
              <w:left w:val="nil"/>
              <w:bottom w:val="nil"/>
              <w:right w:val="nil"/>
            </w:tcBorders>
            <w:shd w:val="clear" w:color="auto" w:fill="auto"/>
            <w:noWrap w:val="0"/>
            <w:vAlign w:val="top"/>
          </w:tcPr>
          <w:p w14:paraId="107D9741">
            <w:pPr>
              <w:jc w:val="center"/>
              <w:rPr>
                <w:rFonts w:ascii="Times New Roman" w:hAnsi="Times New Roman"/>
              </w:rPr>
            </w:pPr>
            <w:r>
              <w:rPr>
                <w:rFonts w:hint="eastAsia" w:ascii="Times New Roman" w:hAnsi="Times New Roman"/>
              </w:rPr>
              <w:t>0.711</w:t>
            </w:r>
          </w:p>
        </w:tc>
        <w:tc>
          <w:tcPr>
            <w:tcW w:w="1134" w:type="dxa"/>
            <w:tcBorders>
              <w:top w:val="nil"/>
              <w:left w:val="nil"/>
              <w:bottom w:val="nil"/>
              <w:right w:val="nil"/>
            </w:tcBorders>
            <w:shd w:val="clear" w:color="auto" w:fill="auto"/>
            <w:noWrap w:val="0"/>
            <w:vAlign w:val="top"/>
          </w:tcPr>
          <w:p w14:paraId="049DF740">
            <w:pPr>
              <w:jc w:val="center"/>
              <w:rPr>
                <w:rFonts w:ascii="Times New Roman" w:hAnsi="Times New Roman"/>
              </w:rPr>
            </w:pPr>
            <w:r>
              <w:rPr>
                <w:rFonts w:hint="eastAsia" w:ascii="Times New Roman" w:hAnsi="Times New Roman"/>
              </w:rPr>
              <w:t>0.651</w:t>
            </w:r>
          </w:p>
        </w:tc>
        <w:tc>
          <w:tcPr>
            <w:tcW w:w="1701" w:type="dxa"/>
            <w:tcBorders>
              <w:top w:val="nil"/>
              <w:left w:val="nil"/>
              <w:bottom w:val="nil"/>
              <w:right w:val="nil"/>
            </w:tcBorders>
            <w:shd w:val="clear" w:color="auto" w:fill="auto"/>
            <w:noWrap w:val="0"/>
            <w:vAlign w:val="top"/>
          </w:tcPr>
          <w:p w14:paraId="3458818F">
            <w:pPr>
              <w:jc w:val="center"/>
              <w:rPr>
                <w:rFonts w:ascii="Times New Roman" w:hAnsi="Times New Roman"/>
              </w:rPr>
            </w:pPr>
            <w:r>
              <w:rPr>
                <w:rFonts w:hint="eastAsia" w:ascii="Times New Roman" w:hAnsi="Times New Roman"/>
              </w:rPr>
              <w:t>[</w:t>
            </w:r>
            <w:r>
              <w:rPr>
                <w:rFonts w:ascii="Times New Roman" w:hAnsi="Times New Roman"/>
              </w:rPr>
              <w:t>0.558, 0.745</w:t>
            </w:r>
            <w:r>
              <w:rPr>
                <w:rFonts w:hint="eastAsia" w:ascii="Times New Roman" w:hAnsi="Times New Roman"/>
              </w:rPr>
              <w:t>]</w:t>
            </w:r>
          </w:p>
        </w:tc>
      </w:tr>
      <w:tr w14:paraId="618C3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3" w:type="dxa"/>
            <w:vMerge w:val="continue"/>
            <w:tcBorders>
              <w:left w:val="nil"/>
              <w:bottom w:val="single" w:color="auto" w:sz="4" w:space="0"/>
              <w:right w:val="nil"/>
            </w:tcBorders>
            <w:shd w:val="clear" w:color="auto" w:fill="auto"/>
            <w:noWrap w:val="0"/>
            <w:vAlign w:val="top"/>
          </w:tcPr>
          <w:p w14:paraId="68ABB5D2">
            <w:pPr>
              <w:jc w:val="center"/>
              <w:rPr>
                <w:rFonts w:hint="eastAsia" w:ascii="Times New Roman" w:hAnsi="Times New Roman"/>
                <w:szCs w:val="21"/>
              </w:rPr>
            </w:pPr>
          </w:p>
        </w:tc>
        <w:tc>
          <w:tcPr>
            <w:tcW w:w="1966" w:type="dxa"/>
            <w:tcBorders>
              <w:top w:val="nil"/>
              <w:left w:val="nil"/>
              <w:bottom w:val="single" w:color="auto" w:sz="4" w:space="0"/>
              <w:right w:val="nil"/>
            </w:tcBorders>
            <w:shd w:val="clear" w:color="auto" w:fill="auto"/>
            <w:noWrap w:val="0"/>
            <w:vAlign w:val="top"/>
          </w:tcPr>
          <w:p w14:paraId="7954E2E2">
            <w:pPr>
              <w:jc w:val="center"/>
              <w:rPr>
                <w:rFonts w:ascii="Times New Roman" w:hAnsi="Times New Roman"/>
              </w:rPr>
            </w:pPr>
            <w:r>
              <w:rPr>
                <w:rFonts w:hint="eastAsia" w:ascii="Times New Roman" w:hAnsi="Times New Roman"/>
              </w:rPr>
              <w:t>CA199</w:t>
            </w:r>
            <w:r>
              <w:rPr>
                <w:rFonts w:ascii="Times New Roman" w:hAnsi="Times New Roman"/>
              </w:rPr>
              <w:t>+</w:t>
            </w:r>
            <w:r>
              <w:rPr>
                <w:rFonts w:hint="eastAsia" w:ascii="Times New Roman" w:hAnsi="Times New Roman"/>
              </w:rPr>
              <w:t>NSE</w:t>
            </w:r>
          </w:p>
        </w:tc>
        <w:tc>
          <w:tcPr>
            <w:tcW w:w="1134" w:type="dxa"/>
            <w:tcBorders>
              <w:top w:val="nil"/>
              <w:left w:val="nil"/>
              <w:bottom w:val="single" w:color="auto" w:sz="4" w:space="0"/>
              <w:right w:val="nil"/>
            </w:tcBorders>
            <w:shd w:val="clear" w:color="auto" w:fill="auto"/>
            <w:noWrap w:val="0"/>
            <w:vAlign w:val="top"/>
          </w:tcPr>
          <w:p w14:paraId="3BA494BA">
            <w:pPr>
              <w:jc w:val="center"/>
              <w:rPr>
                <w:rFonts w:ascii="Times New Roman" w:hAnsi="Times New Roman"/>
              </w:rPr>
            </w:pPr>
            <w:r>
              <w:rPr>
                <w:rFonts w:hint="eastAsia" w:ascii="Times New Roman" w:hAnsi="Times New Roman"/>
              </w:rPr>
              <w:t>0.389</w:t>
            </w:r>
          </w:p>
        </w:tc>
        <w:tc>
          <w:tcPr>
            <w:tcW w:w="1134" w:type="dxa"/>
            <w:tcBorders>
              <w:top w:val="nil"/>
              <w:left w:val="nil"/>
              <w:bottom w:val="single" w:color="auto" w:sz="4" w:space="0"/>
              <w:right w:val="nil"/>
            </w:tcBorders>
            <w:shd w:val="clear" w:color="auto" w:fill="auto"/>
            <w:noWrap w:val="0"/>
            <w:vAlign w:val="top"/>
          </w:tcPr>
          <w:p w14:paraId="4AA5C313">
            <w:pPr>
              <w:jc w:val="center"/>
              <w:rPr>
                <w:rFonts w:ascii="Times New Roman" w:hAnsi="Times New Roman"/>
              </w:rPr>
            </w:pPr>
            <w:r>
              <w:rPr>
                <w:rFonts w:hint="eastAsia" w:ascii="Times New Roman" w:hAnsi="Times New Roman"/>
              </w:rPr>
              <w:t>0.942</w:t>
            </w:r>
          </w:p>
        </w:tc>
        <w:tc>
          <w:tcPr>
            <w:tcW w:w="1134" w:type="dxa"/>
            <w:tcBorders>
              <w:top w:val="nil"/>
              <w:left w:val="nil"/>
              <w:bottom w:val="single" w:color="auto" w:sz="4" w:space="0"/>
              <w:right w:val="nil"/>
            </w:tcBorders>
            <w:shd w:val="clear" w:color="auto" w:fill="auto"/>
            <w:noWrap w:val="0"/>
            <w:vAlign w:val="top"/>
          </w:tcPr>
          <w:p w14:paraId="556743BE">
            <w:pPr>
              <w:jc w:val="center"/>
              <w:rPr>
                <w:rFonts w:ascii="Times New Roman" w:hAnsi="Times New Roman"/>
              </w:rPr>
            </w:pPr>
            <w:r>
              <w:rPr>
                <w:rFonts w:hint="eastAsia" w:ascii="Times New Roman" w:hAnsi="Times New Roman"/>
              </w:rPr>
              <w:t>0.689</w:t>
            </w:r>
          </w:p>
        </w:tc>
        <w:tc>
          <w:tcPr>
            <w:tcW w:w="1701" w:type="dxa"/>
            <w:tcBorders>
              <w:top w:val="nil"/>
              <w:left w:val="nil"/>
              <w:bottom w:val="single" w:color="auto" w:sz="4" w:space="0"/>
              <w:right w:val="nil"/>
            </w:tcBorders>
            <w:shd w:val="clear" w:color="auto" w:fill="auto"/>
            <w:noWrap w:val="0"/>
            <w:vAlign w:val="top"/>
          </w:tcPr>
          <w:p w14:paraId="41962B74">
            <w:pPr>
              <w:jc w:val="center"/>
              <w:rPr>
                <w:rFonts w:ascii="Times New Roman" w:hAnsi="Times New Roman"/>
              </w:rPr>
            </w:pPr>
            <w:r>
              <w:rPr>
                <w:rFonts w:hint="eastAsia" w:ascii="Times New Roman" w:hAnsi="Times New Roman"/>
              </w:rPr>
              <w:t>[</w:t>
            </w:r>
            <w:r>
              <w:rPr>
                <w:rFonts w:ascii="Times New Roman" w:hAnsi="Times New Roman"/>
              </w:rPr>
              <w:t>0.598, 0.780</w:t>
            </w:r>
            <w:r>
              <w:rPr>
                <w:rFonts w:hint="eastAsia" w:ascii="Times New Roman" w:hAnsi="Times New Roman"/>
              </w:rPr>
              <w:t>]</w:t>
            </w:r>
          </w:p>
        </w:tc>
      </w:tr>
    </w:tbl>
    <w:p w14:paraId="1A5B077C">
      <w:pPr>
        <w:autoSpaceDE w:val="0"/>
        <w:autoSpaceDN w:val="0"/>
        <w:adjustRightInd w:val="0"/>
        <w:rPr>
          <w:rFonts w:hint="eastAsia"/>
        </w:rPr>
      </w:pPr>
    </w:p>
    <w:p w14:paraId="4F4C618E">
      <w:pPr>
        <w:numPr>
          <w:ilvl w:val="0"/>
          <w:numId w:val="0"/>
        </w:numPr>
        <w:spacing w:line="360" w:lineRule="auto"/>
        <w:ind w:leftChars="0" w:firstLine="420" w:firstLineChars="0"/>
        <w:rPr>
          <w:rFonts w:hint="default" w:ascii="Times New Roman" w:hAnsi="Times New Roman" w:cs="Times New Roman"/>
          <w:sz w:val="24"/>
          <w:szCs w:val="24"/>
        </w:rPr>
      </w:pPr>
      <w:bookmarkStart w:id="2" w:name="_GoBack"/>
      <w:bookmarkEnd w:id="2"/>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NE.Ref{1A3DAD42-F43D-4468-B268-40BE18C4419C}" w:val=" ADDIN NE.Ref.{1A3DAD42-F43D-4468-B268-40BE18C4419C}&lt;Citation&gt;&lt;Group&gt;&lt;References&gt;&lt;Item&gt;&lt;ID&gt;667&lt;/ID&gt;&lt;UID&gt;{E516B8A7-B311-44F0-9A43-6DA53159FECA}&lt;/UID&gt;&lt;Title&gt;Efficacy and safety of surufatinib in the treatment of patients with  neuroendocrine tumor: a real-world study in Chinese population&lt;/Title&gt;&lt;Template&gt;Journal Article&lt;/Template&gt;&lt;Star&gt;0&lt;/Star&gt;&lt;Tag&gt;0&lt;/Tag&gt;&lt;Author&gt;Liu, Y; Yang, X; Wang, Y; Xie, S; Li, M; You, J; Tang, Y; Zhao, J; Weng, D&lt;/Author&gt;&lt;Year&gt;2024&lt;/Year&gt;&lt;Details&gt;&lt;_accession_num&gt;39482595&lt;/_accession_num&gt;&lt;_author_adr&gt;Department of Biotherapy, Sun Yat-sen University Cancer Center, Guangzhou, China.; State Key Laboratory of Oncology in South China, Collaborative Innovation Center  for Cancer Medicine, Guangdong Provincial Clinical Research for Cancer, Sun  Yat-sen University Cancer Center, Guangzhou, China.; Department of Biotherapy, Sun Yat-sen University Cancer Center, Guangzhou, China.; State Key Laboratory of Oncology in South China, Collaborative Innovation Center  for Cancer Medicine, Guangdong Provincial Clinical Research for Cancer, Sun  Yat-sen University Cancer Center, Guangzhou, China.; Department of Medical Oncology , The Third Affiliated Hospital of Sun Yat-sen  University , Guangzhou, China.; Department of Biotherapy, Sun Yat-sen University Cancer Center, Guangzhou, China.; State Key Laboratory of Oncology in South China, Collaborative Innovation Center  for Cancer Medicine, Guangdong Provincial Clinical Research for Cancer, Sun  Yat-sen University Cancer Center, Guangzhou, China.; Department of Biotherapy, Sun Yat-sen University Cancer Center, Guangzhou, China.; State Key Laboratory of Oncology in South China, Collaborative Innovation Center  for Cancer Medicine, Guangdong Provincial Clinical Research for Cancer, Sun  Yat-sen University Cancer Center, Guangzhou, China.; Department of Biotherapy, Sun Yat-sen University Cancer Center, Guangzhou, China.; State Key Laboratory of Oncology in South China, Collaborative Innovation Center  for Cancer Medicine, Guangdong Provincial Clinical Research for Cancer, Sun  Yat-sen University Cancer Center, Guangzhou, China.; Department of Biotherapy, Sun Yat-sen University Cancer Center, Guangzhou, China.  tangyan@sysucc.org.cn.; State Key Laboratory of Oncology in South China, Collaborative Innovation Center  for Cancer Medicine, Guangdong Provincial Clinical Research for Cancer, Sun  Yat-sen University Cancer Center, Guangzhou, China. tangyan@sysucc.org.cn.; Department of Biotherapy, Sun Yat-sen University Cancer Center, Guangzhou, China.  zhaojingj@sysucc.org.cn.; State Key Laboratory of Oncology in South China, Collaborative Innovation Center  for Cancer Medicine, Guangdong Provincial Clinical Research for Cancer, Sun  Yat-sen University Cancer Center, Guangzhou, China. zhaojingj@sysucc.org.cn.; Department of Biotherapy, Sun Yat-sen University Cancer Center, Guangzhou, China.  wengdsh@sysucc.org.cn.; State Key Laboratory of Oncology in South China, Collaborative Innovation Center  for Cancer Medicine, Guangdong Provincial Clinical Research for Cancer, Sun  Yat-sen University Cancer Center, Guangzhou, China. wengdsh@sysucc.org.cn.&lt;/_author_adr&gt;&lt;_collection_scope&gt;SCIE&lt;/_collection_scope&gt;&lt;_created&gt;65835108&lt;/_created&gt;&lt;_date&gt;2024-10-31&lt;/_date&gt;&lt;_date_display&gt;2024 Oct 31&lt;/_date_display&gt;&lt;_db_updated&gt;PubMed&lt;/_db_updated&gt;&lt;_doi&gt;10.1186/s12885-024-13089-6&lt;/_doi&gt;&lt;_impact_factor&gt;   3.800&lt;/_impact_factor&gt;&lt;_isbn&gt;1471-2407 (Electronic); 1471-2407 (Linking)&lt;/_isbn&gt;&lt;_issue&gt;1&lt;/_issue&gt;&lt;_journal&gt;BMC Cancer&lt;/_journal&gt;&lt;_keywords&gt;Efficacy; GEP-NETs; Primary tumor site; Surufatinib&lt;/_keywords&gt;&lt;_language&gt;eng&lt;/_language&gt;&lt;_modified&gt;65843874&lt;/_modified&gt;&lt;_ori_publication&gt;(c) 2024. The Author(s).&lt;/_ori_publication&gt;&lt;_pages&gt;1342&lt;/_pages&gt;&lt;_social_category&gt;肿瘤学(3)&lt;/_social_category&gt;&lt;_subject_headings&gt;Humans; *Neuroendocrine Tumors/drug therapy/pathology; Female; Male; Middle Aged; Retrospective Studies; Aged; Adult; China/epidemiology; Intestinal Neoplasms/drug therapy/pathology; Pancreatic Neoplasms/drug therapy/pathology; Treatment Outcome; Progression-Free Survival; Kaplan-Meier Estimate; East Asian People; Stomach Neoplasms&lt;/_subject_headings&gt;&lt;_tertiary_title&gt;BMC cancer&lt;/_tertiary_title&gt;&lt;_type_work&gt;Journal Article&lt;/_type_work&gt;&lt;_url&gt;http://www.ncbi.nlm.nih.gov/entrez/query.fcgi?cmd=Retrieve&amp;amp;db=pubmed&amp;amp;dopt=Abstract&amp;amp;list_uids=39482595&amp;amp;query_hl=1&lt;/_url&gt;&lt;_volume&gt;24&lt;/_volume&gt;&lt;_accessed&gt;65843874&lt;/_accessed&gt;&lt;/Details&gt;&lt;Extra&gt;&lt;DBUID&gt;{DE16ABCE-A785-434C-BF43-2FE58866AFDD}&lt;/DBUID&gt;&lt;/Extra&gt;&lt;/Item&gt;&lt;/References&gt;&lt;/Group&gt;&lt;/Citation&gt;_x000a_"/>
    <w:docVar w:name="NE.Ref{22840A57-50CB-4747-B303-A16936BB03DC}" w:val=" ADDIN NE.Ref.{22840A57-50CB-4747-B303-A16936BB03DC}&lt;Citation&gt;&lt;Group&gt;&lt;References&gt;&lt;Item&gt;&lt;ID&gt;695&lt;/ID&gt;&lt;UID&gt;{F7AAAD75-035E-494F-8536-35A7BE5AC0CC}&lt;/UID&gt;&lt;Title&gt;Advancements in Neuroendocrine Neoplasms: Imaging and Future Frontiers&lt;/Title&gt;&lt;Template&gt;Journal Article&lt;/Template&gt;&lt;Star&gt;0&lt;/Star&gt;&lt;Tag&gt;0&lt;/Tag&gt;&lt;Author&gt;Asmundo, L; Rizzetto, F; Blake, M; Anderson, M; Mojtahed, A; Bradley, W; Shenoy-Bhangle, A; Fernandez-Del, Castillo C; Qadan, M; Ferrone, C; Clark, J; Ambrosini, V; Picchio, M; Mapelli, P; Evangelista, L; Leithner, D; Nikolaou, K; Ursprung, S; Fanti, S; Vanzulli, A; Catalano, O A&lt;/Author&gt;&lt;Year&gt;2024&lt;/Year&gt;&lt;Details&gt;&lt;_created&gt;65843890&lt;/_created&gt;&lt;_modified&gt;65843890&lt;/_modified&gt;&lt;_url&gt;http://www.ncbi.nlm.nih.gov/entrez/query.fcgi?cmd=Retrieve&amp;amp;db=pubmed&amp;amp;dopt=Abstract&amp;amp;list_uids=38892992&amp;amp;query_hl=1&lt;/_url&gt;&lt;_journal&gt;J Clin Med&lt;/_journal&gt;&lt;_volume&gt;13&lt;/_volume&gt;&lt;_issue&gt;11&lt;/_issue&gt;&lt;_tertiary_title&gt;Journal of clinical medicine&lt;/_tertiary_title&gt;&lt;_doi&gt;10.3390/jcm13113281&lt;/_doi&gt;&lt;_date_display&gt;2024 Jun 2&lt;/_date_display&gt;&lt;_date&gt;65437920&lt;/_date&gt;&lt;_type_work&gt;Journal Article; Review&lt;/_type_work&gt;&lt;_isbn&gt;2077-0383 (Print); 2077-0383 (Electronic); 2077-0383 (Linking)&lt;/_isbn&gt;&lt;_accession_num&gt;38892992&lt;/_accession_num&gt;&lt;_keywords&gt;CT; MRI; PET/CT; PET/MRI; neuroendocrine neoplasms; response criteria&lt;/_keywords&gt;&lt;_author_adr&gt;Postgraduation School in Radiodiagnostics, Universita degli Studi di Milano, Via  Festa del Perdono 7, 20122 Milan, Italy.; Department of Radiology, Harvard Medical School, Massachusetts General Hospital,  55 Fruit Street, Boston, MA 02114, USA.; Postgraduation School in Radiodiagnostics, Universita degli Studi di Milano, Via  Festa del Perdono 7, 20122 Milan, Italy.; Department of Radiology, ASST Grande Ospedale Metropolitano Niguarda, Piazza  Ospedale Maggiore 3, 20162 Milan, Italy.; Department of Radiology, Harvard Medical School, Massachusetts General Hospital,  55 Fruit Street, Boston, MA 02114, USA.; Department of Radiology, Harvard Medical School, Massachusetts General Hospital,  55 Fruit Street, Boston, MA 02114, USA.; Department of Radiology, Harvard Medical School, Massachusetts General Hospital,  55 Fruit Street, Boston, MA 02114, USA.; Department of Radiology, Harvard Medical School, Massachusetts General Hospital,  55 Fruit Street, Boston, MA 02114, USA.; Department of Radiology, Harvard Medical School, Massachusetts General Hospital,  55 Fruit Street, Boston, MA 02114, USA.; Department of Surgery, Harvard Medical School, Massachusetts General Hospital, 55  Fruit Street, Boston, MA 02114, USA.; Department of Surgery, Harvard Medical School, Massachusetts General Hospital, 55  Fruit Street, Boston, MA 02114, USA.; Department of Surgery, Cedars-Sinai Medical Center, 8700 Beverly Boulevard, Los  Angeles, CA 90048, USA.; Department of Oncology, Harvard Medical School, Massachusetts General Hospital,  55 Fruit Street, Boston, MA 02114, USA.; Nuclear Medicine, IRCCS Azienda Ospedaliero-Universitaria di Bologna, Via  Massarenti 9, 40138 Bologna, Italy.; Nuclear Medicine, Alma Mater Studiorum University of Bologna, 40126 Bologna,  Italy.; Department of Nuclear Medicine, IRCCS San Raffaele Scientific Institute,  Vita-Salute San Raffaele University, 20132 Milan, Italy.; Department of Nuclear Medicine, IRCCS San Raffaele Scientific Institute,  Vita-Salute San Raffaele University, 20132 Milan, Italy.; Department of Biomedical Sciences, Humanitas University, Via Rita Levi Montalcini  4, Pieve Emanuele, 20072 Milan, Italy.; Department of Diagnostic and Interventional Radiology, University Hospital  Frankfurt, Theodor-Stern-Kai 7, 60596 Frankfurt am Main, Germany.; Department of Radiology, University Hospital Tuebingen, Osianderstrasse 5, 72076  Tubingen, Germany.; Department of Radiology, University Hospital Tuebingen, Osianderstrasse 5, 72076  Tubingen, Germany.; Nuclear Medicine, IRCCS Azienda Ospedaliero-Universitaria di Bologna, Via  Massarenti 9, 40138 Bologna, Italy.; Nuclear Medicine, Alma Mater Studiorum University of Bologna, 40126 Bologna,  Italy.; Department of Radiology, ASST Grande Ospedale Metropolitano Niguarda, Piazza  Ospedale Maggiore 3, 20162 Milan, Italy.; Department of Oncology and Hemato-Oncology, Universita Degli Studi di Milano, Via  Festa del Perdono 7, 20122 Milan, Italy.; Department of Radiology, Harvard Medical School, Massachusetts General Hospital,  55 Fruit Street, Boston, MA 02114, USA.&lt;/_author_adr&gt;&lt;_language&gt;eng&lt;/_language&gt;&lt;_accessed&gt;65843890&lt;/_accessed&gt;&lt;_db_updated&gt;PubMed&lt;/_db_updated&gt;&lt;_impact_factor&gt;   3.900&lt;/_impact_factor&gt;&lt;_social_category&gt;医学：内科(2)&lt;/_social_category&gt;&lt;_collection_scope&gt;SCIE&lt;/_collection_scope&gt;&lt;/Details&gt;&lt;Extra&gt;&lt;DBUID&gt;{DE16ABCE-A785-434C-BF43-2FE58866AFDD}&lt;/DBUID&gt;&lt;/Extra&gt;&lt;/Item&gt;&lt;/References&gt;&lt;/Group&gt;&lt;/Citation&gt;_x000a_"/>
    <w:docVar w:name="NE.Ref{22A32E72-6273-47A0-9F4E-D946DA88D5AD}" w:val=" ADDIN NE.Ref.{22A32E72-6273-47A0-9F4E-D946DA88D5AD}&lt;Citation&gt;&lt;Group&gt;&lt;References&gt;&lt;Item&gt;&lt;ID&gt;691&lt;/ID&gt;&lt;UID&gt;{9A0AF95B-7113-4B3C-9D75-C5E76CC7B244}&lt;/UID&gt;&lt;Title&gt;Overview of the 2022 WHO Classification of Neuroendocrine Neoplasms&lt;/Title&gt;&lt;Template&gt;Journal Article&lt;/Template&gt;&lt;Star&gt;0&lt;/Star&gt;&lt;Tag&gt;0&lt;/Tag&gt;&lt;Author&gt;Rindi, Guido; Mete, Ozgur; Uccella, Silvia; Basturk, Olca; La Rosa, Stefano; Brosens, Lodewijk A A; Ezzat, Shereen; de Herder, Wouter W; Klimstra, David S; Papotti, Mauro; Asa, Sylvia L&lt;/Author&gt;&lt;Year&gt;2022&lt;/Year&gt;&lt;Details&gt;&lt;_created&gt;65843830&lt;/_created&gt;&lt;_modified&gt;65843831&lt;/_modified&gt;&lt;_accessed&gt;65843831&lt;/_accessed&gt;&lt;_url&gt;https://go.exlibris.link/Z8Q7zFVL&lt;/_url&gt;&lt;_place_published&gt;New York&lt;/_place_published&gt;&lt;_journal&gt;Endocrine pathology&lt;/_journal&gt;&lt;_volume&gt;33&lt;/_volume&gt;&lt;_issue&gt;1&lt;/_issue&gt;&lt;_number&gt;1&lt;/_number&gt;&lt;_pages&gt;115-154&lt;/_pages&gt;&lt;_doi&gt;10.1007/s12022-022-09708-2&lt;/_doi&gt;&lt;_date_display&gt;2022&lt;/_date_display&gt;&lt;_date&gt;64166400&lt;/_date&gt;&lt;_isbn&gt;1046-3976&lt;/_isbn&gt;&lt;_ori_publication&gt;Springer US&lt;/_ori_publication&gt;&lt;_keywords&gt;Biomarkers; Carcinoma; Chromogranins; Classification; Daxx protein; Differential diagnosis; Duodenum; Endocrinology; Genetic screening; Immunohistochemistry; Lesions; Medicine; Medicine &amp;amp; Public Health; Metastases; Middle ear; Neuroendocrine tumors; Neuronal-glial interactions; Nomenclature; Oncology; p53 Protein; Pancreas; Pancreatic cancer; Paraganglioma; Pathology; Reclassification; Skin cancer; Somatostatin; Somatostatin receptors; Structure-function relationships; Synaptophysin; Thyroid cancer; Transcription factors&lt;/_keywords&gt;&lt;_db_updated&gt;PKU Search&lt;/_db_updated&gt;&lt;_impact_factor&gt;   4.400&lt;/_impact_factor&gt;&lt;_social_category&gt;内分泌学与代谢(2) &amp;amp; 病理学(1)&lt;/_social_category&gt;&lt;_collection_scope&gt;SCIE&lt;/_collection_scope&gt;&lt;/Details&gt;&lt;Extra&gt;&lt;DBUID&gt;{DE16ABCE-A785-434C-BF43-2FE58866AFDD}&lt;/DBUID&gt;&lt;/Extra&gt;&lt;/Item&gt;&lt;/References&gt;&lt;/Group&gt;&lt;/Citation&gt;_x000a_"/>
    <w:docVar w:name="NE.Ref{40DE503F-A64A-4F6B-9353-88F28B6EF476}" w:val=" ADDIN NE.Ref.{40DE503F-A64A-4F6B-9353-88F28B6EF476}&lt;Citation&gt;&lt;Group&gt;&lt;References&gt;&lt;Item&gt;&lt;ID&gt;690&lt;/ID&gt;&lt;UID&gt;{517F6AD1-1FC2-411C-B731-A5C0EA485FB9}&lt;/UID&gt;&lt;Title&gt;Classification of neuroendocrine neoplasms: lights and shadows&lt;/Title&gt;&lt;Template&gt;Journal Article&lt;/Template&gt;&lt;Star&gt;0&lt;/Star&gt;&lt;Tag&gt;0&lt;/Tag&gt;&lt;Author&gt;La Rosa, Stefano; Uccella, Silvia&lt;/Author&gt;&lt;Year&gt;2021&lt;/Year&gt;&lt;Details&gt;&lt;_created&gt;65843824&lt;/_created&gt;&lt;_modified&gt;65843824&lt;/_modified&gt;&lt;_url&gt;http://pku.summon.serialssolutions.com/2.0.0/link/0/eLvHCXMwnV3dS9xAEB-s0uKLWls1fpT43KbkdjfJrg-CHB4iSgu2UHwJ-xUUNTmMh_--M3u5O86Ph_qyEHZIsjO7s7M7M78B4OxnmjzTCdwJtOStMkI54XLt0Y4WjFx-ykvl6X7_8lye_WaD4-x0ltYdYt8nDsqgt2epb4Qjk9Dhh4qWsATV8FLGcIoRunM61casl4fKK-SPSwgLvUucef0d85vTC4vzZeDkM-9p2JQGq-_6_zVY6WzQ-Gg8aT7Dgq_X4dN552Vfh4-XTbhs_wKHoWYmRRMFAcZNFQcATF-7xlLeID42Q6S5aw_iWzrnt7GuXdxeadc8tl_h7-D4T_8k6SouJFYU4iExXros01IZNLy9FZVWxhVGFchYw1XPcalNJWzG04ppNB6s4oIJq7V0hnnHN2Cxbmq_BbEnQ08oo61JhTBKprmtjMmr1HJbsCqC7xNWl8MxsEY5g1Am5pTInDIwp2QR7E6kUXaLrC3xNCSpGoBMI9ifduPyIJ-HxvGPkEZkCm1MlaoINsfCm36Oc0IKUthTzIl1SkDQ2_M99fVVgOCWnDzCvQh-TKQ7-623R7H9f-Q7sMwogiZEtO3C4sP9yO_Bh-HN6FuY49gW_wps-3kf24tfp0-5SvvR&lt;/_url&gt;&lt;_place_published&gt;New York&lt;/_place_published&gt;&lt;_journal&gt;Reviews in endocrine &amp;amp; metabolic disorders&lt;/_journal&gt;&lt;_volume&gt;22&lt;/_volume&gt;&lt;_issue&gt;3&lt;/_issue&gt;&lt;_number&gt;1&lt;/_number&gt;&lt;_pages&gt;527-538&lt;/_pages&gt;&lt;_doi&gt;10.1007/s11154-020-09612-2&lt;/_doi&gt;&lt;_date_display&gt;2021&lt;/_date_display&gt;&lt;_date&gt;63640800&lt;/_date&gt;&lt;_isbn&gt;1389-9155;1573-2606;&lt;/_isbn&gt;&lt;_ori_publication&gt;Springer US&lt;/_ori_publication&gt;&lt;_keywords&gt;Breast; Classification; Diabetes; Endocrinology; Head and neck; Humans; Internal Medicine; Medicine; Medicine &amp;amp; Public Health; Neoplasia; Neuroendocrine tumors; Neuroendocrine Tumors - diagnosis; Nomenclature; Pituitary; Terminology; Tumors&lt;/_keywords&gt;&lt;_accessed&gt;65843824&lt;/_accessed&gt;&lt;_db_updated&gt;PKU Search&lt;/_db_updated&gt;&lt;_impact_factor&gt;   8.200&lt;/_impact_factor&gt;&lt;_social_category&gt;内分泌学与代谢(2)&lt;/_social_category&gt;&lt;_collection_scope&gt;SCIE&lt;/_collection_scope&gt;&lt;/Details&gt;&lt;Extra&gt;&lt;DBUID&gt;{DE16ABCE-A785-434C-BF43-2FE58866AFDD}&lt;/DBUID&gt;&lt;/Extra&gt;&lt;/Item&gt;&lt;/References&gt;&lt;/Group&gt;&lt;/Citation&gt;_x000a_"/>
    <w:docVar w:name="NE.Ref{48134AA0-7305-472B-A27F-4892114703C4}" w:val=" ADDIN NE.Ref.{48134AA0-7305-472B-A27F-4892114703C4}&lt;Citation&gt;&lt;Group&gt;&lt;References&gt;&lt;Item&gt;&lt;ID&gt;692&lt;/ID&gt;&lt;UID&gt;{158AB809-BB1F-40D2-9448-74652E7B029A}&lt;/UID&gt;&lt;Title&gt;The association between non-HDL cholesterol and high-grade pancreatic  neuroendocrine neoplasms&lt;/Title&gt;&lt;Template&gt;Journal Article&lt;/Template&gt;&lt;Star&gt;0&lt;/Star&gt;&lt;Tag&gt;0&lt;/Tag&gt;&lt;Author&gt;Zhou, H; Zhu, Y; Qin, B; Liu, Y; Wang, Z; Guo, C; Wang, J; Chen, X&lt;/Author&gt;&lt;Year&gt;2024&lt;/Year&gt;&lt;Details&gt;&lt;_created&gt;65843832&lt;/_created&gt;&lt;_modified&gt;65843833&lt;/_modified&gt;&lt;_accessed&gt;65843833&lt;/_accessed&gt;&lt;_url&gt;http://www.ncbi.nlm.nih.gov/entrez/query.fcgi?cmd=Retrieve&amp;amp;db=pubmed&amp;amp;dopt=Abstract&amp;amp;list_uids=38844608&amp;amp;query_hl=1&lt;/_url&gt;&lt;_journal&gt;Endocrine&lt;/_journal&gt;&lt;_volume&gt;86&lt;/_volume&gt;&lt;_issue&gt;2&lt;/_issue&gt;&lt;_pages&gt;584-591&lt;/_pages&gt;&lt;_tertiary_title&gt;Endocrine&lt;/_tertiary_title&gt;&lt;_doi&gt;10.1007/s12020-024-03910-4&lt;/_doi&gt;&lt;_date_display&gt;2024 Nov&lt;/_date_display&gt;&lt;_date&gt;65656800&lt;/_date&gt;&lt;_type_work&gt;Journal Article&lt;/_type_work&gt;&lt;_isbn&gt;1559-0100 (Electronic); 1355-008X (Linking)&lt;/_isbn&gt;&lt;_ori_publication&gt;(c) 2024. The Author(s), under exclusive licence to Springer Science+Business _x000d__x000a_      Media, LLC, part of Springer Nature.&lt;/_ori_publication&gt;&lt;_accession_num&gt;38844608&lt;/_accession_num&gt;&lt;_keywords&gt;Cholesterol; High-density lipoprotein; Pancreatic neuroendocrine tumor; Poor differentiation; Tumor grade&lt;/_keywords&gt;&lt;_subject_headings&gt;Humans; Female; Male; Middle Aged; *Pancreatic Neoplasms/blood/pathology/surgery; *Neuroendocrine Tumors/blood/pathology/surgery; Aged; Retrospective Studies; Adult; *Cholesterol/blood; *Neoplasm Grading; Cholesterol, HDL/blood; Triglycerides/blood; Cholesterol, LDL/blood; Aged, 80 and over&lt;/_subject_headings&gt;&lt;_author_adr&gt;Department of Radiology, Affiliated Hospital of Nanjing University of Chinese  Medicine, Nanjing, 210029, China.; Department of Radiology, Affiliated Hospital of Nanjing University of Chinese  Medicine, Nanjing, 210029, China.; Department of Radiology, Affiliated Hospital of Nanjing University of Chinese  Medicine, Nanjing, 210029, China.; Department of Radiology, Affiliated Hospital of Nanjing University of Chinese  Medicine, Nanjing, 210029, China.; Department of Radiology, Affiliated Hospital of Nanjing University of Chinese  Medicine, Nanjing, 210029, China.; Department of Radiology, the First Affiliated Hospital of Zhejiang University  School of Medicine, Haznghozu, 310003, China.; Department of Radiology, Affiliated Hospital of Nanjing University of Chinese  Medicine, Nanjing, 210029, China. wangjianhua84@163.com.; Department of Radiology, Affiliated Hospital of Nanjing University of Chinese  Medicine, Nanjing, 210029, China. chxwin@163.com.&lt;/_author_adr&gt;&lt;_language&gt;eng&lt;/_language&gt;&lt;_db_updated&gt;PubMed&lt;/_db_updated&gt;&lt;_impact_factor&gt;   3.700&lt;/_impact_factor&gt;&lt;_social_category&gt;内分泌学与代谢(3)&lt;/_social_category&gt;&lt;_collection_scope&gt;SCIE&lt;/_collection_scope&gt;&lt;/Details&gt;&lt;Extra&gt;&lt;DBUID&gt;{DE16ABCE-A785-434C-BF43-2FE58866AFDD}&lt;/DBUID&gt;&lt;/Extra&gt;&lt;/Item&gt;&lt;/References&gt;&lt;/Group&gt;&lt;/Citation&gt;_x000a_"/>
    <w:docVar w:name="NE.Ref{56895540-B896-463A-B5B6-A3D3ACEEE1A1}" w:val=" ADDIN NE.Ref.{56895540-B896-463A-B5B6-A3D3ACEEE1A1}&lt;Citation&gt;&lt;Group&gt;&lt;References&gt;&lt;Item&gt;&lt;ID&gt;694&lt;/ID&gt;&lt;UID&gt;{CAFCCA49-0CD0-40A5-AC4A-297BDAC62D58}&lt;/UID&gt;&lt;Title&gt;Serum Lipid Level in Evaluating Chinese Pancreatic Neuroendocrine Neoplasms: A  Retrospective Study&lt;/Title&gt;&lt;Template&gt;Journal Article&lt;/Template&gt;&lt;Star&gt;0&lt;/Star&gt;&lt;Tag&gt;0&lt;/Tag&gt;&lt;Author&gt;Gu, D; Xue, B; Zhu, G; Xu, Y; Yan, L; Tang, Q; Lu, C&lt;/Author&gt;&lt;Year&gt;2024&lt;/Year&gt;&lt;Details&gt;&lt;_accession_num&gt;38096919&lt;/_accession_num&gt;&lt;_author_adr&gt;Department of Geriatric Gastroenterology, Neuroendocrine Tumor Center, Jiangsu  Province Hospital, The First Affiliated Hospital of Nanjing Medical University,  Nanjing, China.; Department of Geriatric Gastroenterology, Neuroendocrine Tumor Center, Jiangsu  Province Hospital, The First Affiliated Hospital of Nanjing Medical University,  Nanjing, China.; Department of Geriatric Gastroenterology, Neuroendocrine Tumor Center, Jiangsu  Province Hospital, The First Affiliated Hospital of Nanjing Medical University,  Nanjing, China.; Department of Geriatric Gastroenterology, Neuroendocrine Tumor Center, Jiangsu  Province Hospital, The First Affiliated Hospital of Nanjing Medical University,  Nanjing, China.; Department of Geriatric Gastroenterology, Neuroendocrine Tumor Center, Jiangsu  Province Hospital, The First Affiliated Hospital of Nanjing Medical University,  Nanjing, China.; Department of Geriatric Gastroenterology, Neuroendocrine Tumor Center, Jiangsu  Province Hospital, The First Affiliated Hospital of Nanjing Medical University,  Nanjing, China.; Department of Microbiology, Nanjing Medical University, Nanjing, China.&lt;/_author_adr&gt;&lt;_date_display&gt;2024 Feb&lt;/_date_display&gt;&lt;_date&gt;2024-02-01&lt;/_date&gt;&lt;_doi&gt;10.1055/a-2229-3489&lt;/_doi&gt;&lt;_isbn&gt;1439-3646 (Electronic); 0947-7349 (Print); 0947-7349 (Linking)&lt;/_isbn&gt;&lt;_issue&gt;2&lt;/_issue&gt;&lt;_journal&gt;Exp Clin Endocrinol Diabetes&lt;/_journal&gt;&lt;_language&gt;eng&lt;/_language&gt;&lt;_ori_publication&gt;The Author(s). This is an open access article published by Thieme under the terms _x000d__x000a_      of the Creative Commons Attribution-NonDerivative-NonCommercial-License, _x000d__x000a_      permitting copying and reproduction so long as the original work is given _x000d__x000a_      appropriate credit. Contents may not be used for commercial purposes, or adapted, _x000d__x000a_      remixed, transformed or built upon. _x000d__x000a_      (https://creativecommons.org/licenses/by-nc-nd/4.0/).&lt;/_ori_publication&gt;&lt;_pages&gt;98-106&lt;/_pages&gt;&lt;_subject_headings&gt;Humans; Retrospective Studies; *Neuroendocrine Tumors/diagnosis; Prognosis; *Pancreatic Neoplasms; China; *Dyslipidemias; RNA, Messenger; Lipids&lt;/_subject_headings&gt;&lt;_tertiary_title&gt;Experimental and clinical endocrinology &amp;amp; diabetes : official journal, German _x000d__x000a_      Society of Endocrinology [and] German Diabetes Association&lt;/_tertiary_title&gt;&lt;_type_work&gt;Journal Article&lt;/_type_work&gt;&lt;_url&gt;http://www.ncbi.nlm.nih.gov/entrez/query.fcgi?cmd=Retrieve&amp;amp;db=pubmed&amp;amp;dopt=Abstract&amp;amp;list_uids=38096919&amp;amp;query_hl=1&lt;/_url&gt;&lt;_volume&gt;132&lt;/_volume&gt;&lt;_created&gt;65843851&lt;/_created&gt;&lt;_modified&gt;65843852&lt;/_modified&gt;&lt;_db_updated&gt;PubMed&lt;/_db_updated&gt;&lt;_impact_factor&gt;   1.800&lt;/_impact_factor&gt;&lt;_social_category&gt;内分泌学与代谢(4)&lt;/_social_category&gt;&lt;_collection_scope&gt;SCIE&lt;/_collection_scope&gt;&lt;_accessed&gt;65843852&lt;/_accessed&gt;&lt;/Details&gt;&lt;Extra&gt;&lt;DBUID&gt;{DE16ABCE-A785-434C-BF43-2FE58866AFDD}&lt;/DBUID&gt;&lt;/Extra&gt;&lt;/Item&gt;&lt;/References&gt;&lt;/Group&gt;&lt;/Citation&gt;_x000a_"/>
    <w:docVar w:name="NE.Ref{7AA9B45D-A05D-4C7E-8E42-B3CA5698E593}" w:val=" ADDIN NE.Ref.{7AA9B45D-A05D-4C7E-8E42-B3CA5698E593}&lt;Citation&gt;&lt;Group&gt;&lt;References&gt;&lt;Item&gt;&lt;ID&gt;612&lt;/ID&gt;&lt;UID&gt;{6F9C6098-B9C9-48B2-A9DB-51D6F0898FF4}&lt;/UID&gt;&lt;Title&gt;Progression of Low-Grade Neuroendocrine Tumors (NET) to High-Grade Neoplasms  Harboring the NEC-Like Co-alteration of RB1 and TP53&lt;/Title&gt;&lt;Template&gt;Journal Article&lt;/Template&gt;&lt;Star&gt;0&lt;/Star&gt;&lt;Tag&gt;0&lt;/Tag&gt;&lt;Author&gt;Joseph, N M; Umetsu, S E; Kim, G E; Terry, M; Perry, A; Bergsland, E; Kakar, S&lt;/Author&gt;&lt;Year&gt;2024&lt;/Year&gt;&lt;Details&gt;&lt;_accession_num&gt;39556303&lt;/_accession_num&gt;&lt;_author_adr&gt;Department of Pathology, University of California San Francisco (UCSF), 505  Parnassus Avenue, Room M-559, San Francisco, CA, 94143, USA.  Nancy.Joseph@ucsf.edu.; Department of Pathology, University of California San Francisco (UCSF), 505  Parnassus Avenue, Room M-559, San Francisco, CA, 94143, USA.; Department of Pathology, University of California San Francisco (UCSF), 505  Parnassus Avenue, Room M-559, San Francisco, CA, 94143, USA.; Department of Pathology, University of California San Francisco (UCSF), 505  Parnassus Avenue, Room M-559, San Francisco, CA, 94143, USA.; Department of Pathology, University of California San Francisco (UCSF), 505  Parnassus Avenue, Room M-559, San Francisco, CA, 94143, USA.; Department of Medicine, Division of Hematology/Oncology, University of  California, San Francisco, CA, USA.; Department of Pathology, University of California San Francisco (UCSF), 505  Parnassus Avenue, Room M-559, San Francisco, CA, 94143, USA.&lt;/_author_adr&gt;&lt;_collection_scope&gt;SCIE&lt;/_collection_scope&gt;&lt;_created&gt;65792890&lt;/_created&gt;&lt;_date&gt;2024-12-01&lt;/_date&gt;&lt;_date_display&gt;2024 Dec&lt;/_date_display&gt;&lt;_db_updated&gt;PubMed&lt;/_db_updated&gt;&lt;_doi&gt;10.1007/s12022-024-09835-y&lt;/_doi&gt;&lt;_impact_factor&gt;   4.400&lt;/_impact_factor&gt;&lt;_isbn&gt;1559-0097 (Electronic); 1046-3976 (Print); 1046-3976 (Linking)&lt;/_isbn&gt;&lt;_issue&gt;4&lt;/_issue&gt;&lt;_journal&gt;Endocr Pathol&lt;/_journal&gt;&lt;_keywords&gt;Genetics; High-grade neuroendocrine neoplasm; NEC; NET; Neuroendocrine carcinoma; Neuroendocrine tumor; Progression; Rb; p53&lt;/_keywords&gt;&lt;_language&gt;eng&lt;/_language&gt;&lt;_modified&gt;65843883&lt;/_modified&gt;&lt;_ori_publication&gt;(c) 2024. The Author(s).&lt;/_ori_publication&gt;&lt;_pages&gt;325-337&lt;/_pages&gt;&lt;_social_category&gt;内分泌学与代谢(2) &amp;amp; 病理学(1)&lt;/_social_category&gt;&lt;_subject_headings&gt;Humans; *Neuroendocrine Tumors/pathology/genetics; *Tumor Suppressor Protein p53/genetics; Male; *Disease Progression; Female; Middle Aged; *Retinoblastoma Binding Proteins/genetics; *Ubiquitin-Protein Ligases/genetics; Aged; Carcinoma, Neuroendocrine/pathology/genetics; Adult; Neoplasm Grading; Pancreatic Neoplasms/pathology/genetics&lt;/_subject_headings&gt;&lt;_tertiary_title&gt;Endocrine pathology&lt;/_tertiary_title&gt;&lt;_type_work&gt;Journal Article&lt;/_type_work&gt;&lt;_url&gt;http://www.ncbi.nlm.nih.gov/entrez/query.fcgi?cmd=Retrieve&amp;amp;db=pubmed&amp;amp;dopt=Abstract&amp;amp;list_uids=39556303&amp;amp;query_hl=1&lt;/_url&gt;&lt;_volume&gt;35&lt;/_volume&gt;&lt;_accessed&gt;65843883&lt;/_accessed&gt;&lt;/Details&gt;&lt;Extra&gt;&lt;DBUID&gt;{DE16ABCE-A785-434C-BF43-2FE58866AFDD}&lt;/DBUID&gt;&lt;/Extra&gt;&lt;/Item&gt;&lt;/References&gt;&lt;/Group&gt;&lt;Group&gt;&lt;References&gt;&lt;Item&gt;&lt;ID&gt;610&lt;/ID&gt;&lt;UID&gt;{3D9F8321-F3C0-4153-9C7D-B80F7E94AF11}&lt;/UID&gt;&lt;Title&gt;Temporal increase in Ki-67 index in patients with pancreatic neuroendocrine  tumours&lt;/Title&gt;&lt;Template&gt;Journal Article&lt;/Template&gt;&lt;Star&gt;0&lt;/Star&gt;&lt;Tag&gt;0&lt;/Tag&gt;&lt;Author&gt;Bourdeleau, P; Pokossy-Epee, J; Hentic, O; Tihy, M; Awan, Z A; Couvelard, A; Ronot, M; Rebours, V; Ruszniewski, P; Cros, J; de Mestier, L&lt;/Author&gt;&lt;Year&gt;2025&lt;/Year&gt;&lt;Details&gt;&lt;_accession_num&gt;39804242&lt;/_accession_num&gt;&lt;_collection_scope&gt;SCIE&lt;/_collection_scope&gt;&lt;_created&gt;65792888&lt;/_created&gt;&lt;_date&gt;2025-03-01&lt;/_date&gt;&lt;_date_display&gt;2025 Mar 1&lt;/_date_display&gt;&lt;_db_updated&gt;PubMed&lt;/_db_updated&gt;&lt;_doi&gt;10.1530/ERC-24-0321&lt;/_doi&gt;&lt;_impact_factor&gt;   3.900&lt;/_impact_factor&gt;&lt;_isbn&gt;1479-6821 (Electronic); 1351-0088 (Linking)&lt;/_isbn&gt;&lt;_issue&gt;3&lt;/_issue&gt;&lt;_journal&gt;Endocr Relat Cancer&lt;/_journal&gt;&lt;_keywords&gt;Ki-67 index; evolution; intra-tumour heterogeneity; metastases; pancreatic neuroendocrine tumours&lt;/_keywords&gt;&lt;_language&gt;eng&lt;/_language&gt;&lt;_modified&gt;65843867&lt;/_modified&gt;&lt;_social_category&gt;内分泌学与代谢(3) &amp;amp; 肿瘤学(3)&lt;/_social_category&gt;&lt;_subject_headings&gt;Humans; *Pancreatic Neoplasms/metabolism/pathology/mortality/drug therapy; *Ki-67 Antigen/metabolism; *Neuroendocrine Tumors/metabolism/pathology/drug therapy/mortality; Female; Male; Middle Aged; Aged; Retrospective Studies; Biomarkers, Tumor/metabolism; Adult; Prognosis; Trans-Activators/metabolism; X-linked Nuclear Protein/metabolism/genetics; Proto-Oncogene Proteins; Transcription Factors; Homeodomain Proteins&lt;/_subject_headings&gt;&lt;_tertiary_title&gt;Endocrine-related cancer&lt;/_tertiary_title&gt;&lt;_type_work&gt;Journal Article&lt;/_type_work&gt;&lt;_url&gt;http://www.ncbi.nlm.nih.gov/entrez/query.fcgi?cmd=Retrieve&amp;amp;db=pubmed&amp;amp;dopt=Abstract&amp;amp;list_uids=39804242&amp;amp;query_hl=1&lt;/_url&gt;&lt;_volume&gt;32&lt;/_volume&gt;&lt;_accessed&gt;65843867&lt;/_accessed&gt;&lt;/Details&gt;&lt;Extra&gt;&lt;DBUID&gt;{DE16ABCE-A785-434C-BF43-2FE58866AFDD}&lt;/DBUID&gt;&lt;/Extra&gt;&lt;/Item&gt;&lt;/References&gt;&lt;/Group&gt;&lt;/Citation&gt;_x000a_"/>
    <w:docVar w:name="NE.Ref{8DF47699-3EDD-42C7-BD36-604612937302}" w:val=" ADDIN NE.Ref.{8DF47699-3EDD-42C7-BD36-604612937302}&lt;Citation&gt;&lt;Group&gt;&lt;References&gt;&lt;Item&gt;&lt;ID&gt;693&lt;/ID&gt;&lt;UID&gt;{287E541C-C5EB-4D78-81E6-E85AAC5954F8}&lt;/UID&gt;&lt;Title&gt;The associations between serum high-density lipoprotein cholesterol levels and  malignant behavior in pancreatic neuroendocrine neoplasms&lt;/Title&gt;&lt;Template&gt;Journal Article&lt;/Template&gt;&lt;Star&gt;0&lt;/Star&gt;&lt;Tag&gt;0&lt;/Tag&gt;&lt;Author&gt;Quan, L; Liu, Y; Cui, W; Wang, X; Zhang, W; Wang, Z; Guo, C; Lu, C; Hu, F; Chen, X&lt;/Author&gt;&lt;Year&gt;2022&lt;/Year&gt;&lt;Details&gt;&lt;_accession_num&gt;35842659&lt;/_accession_num&gt;&lt;_author_adr&gt;Department of Laboratory Medicine, Affiliated Hospital of Nanjing University of  Chinese Medicine, Nanjing, 210029, China.; Department of Radiology, Affiliated Hospital of Nanjing University of Chinese  Medicine, Nanjing, 210029, China.; Department of Radiology, Affiliated Hospital of Nanjing University of Chinese  Medicine, Nanjing, 210029, China.; Department of Radiology, Affiliated Hospital of Nanjing University of Chinese  Medicine, Nanjing, 210029, China.; Department of Radiology, Nanjing Sir Run Run Hospital, Nanjing Medical  University, 210029, Nanjing, China.; Department of Radiology, Affiliated Hospital of Nanjing University of Chinese  Medicine, Nanjing, 210029, China.; Department of Radiology, The First Affiliated Hospital of Zhejiang University  School of Medicine, Hangzhou, 310006, China.; Department of Radiology, Affiliated Hospital of Nanjing University of Chinese  Medicine, Nanjing, 210029, China. clusz001@163.com.; Department of Radiology, Fudan University Shanghai Cancer Center, Shanghai,  200032, China. fxhu14@fudan.edu.cn.; Department of Oncology, Shanghai Medical College, Fudan University, Shanghai,  200032, China. fxhu14@fudan.edu.cn.; Department of Radiology, Affiliated Hospital of Nanjing University of Chinese  Medicine, Nanjing, 210029, China. chxwin@163.com.; Institute of Radiation Medicine, Fudan University, Shanghai, 200032, China.  chxwin@163.com.&lt;/_author_adr&gt;&lt;_date_display&gt;2022 Jul 16&lt;/_date_display&gt;&lt;_date&gt;2022-07-16&lt;/_date&gt;&lt;_doi&gt;10.1186/s12944-022-01669-z&lt;/_doi&gt;&lt;_isbn&gt;1476-511X (Electronic); 1476-511X (Linking)&lt;/_isbn&gt;&lt;_issue&gt;1&lt;/_issue&gt;&lt;_journal&gt;Lipids Health Dis&lt;/_journal&gt;&lt;_keywords&gt;Cholesterol; Grade; High-density lipoprotein; Lymph metastasis; Pancreatic neuroendocrine neoplasms&lt;/_keywords&gt;&lt;_language&gt;eng&lt;/_language&gt;&lt;_ori_publication&gt;(c) 2022. The Author(s).&lt;/_ori_publication&gt;&lt;_pages&gt;58&lt;/_pages&gt;&lt;_subject_headings&gt;Cholesterol; Humans; Ki-67 Antigen; Lipoproteins, HDL; Lymphatic Metastasis; *Neuroendocrine Tumors/pathology; *Pancreatic Neoplasms/pathology; Retrospective Studies&lt;/_subject_headings&gt;&lt;_tertiary_title&gt;Lipids in health and disease&lt;/_tertiary_title&gt;&lt;_type_work&gt;Journal Article&lt;/_type_work&gt;&lt;_url&gt;http://www.ncbi.nlm.nih.gov/entrez/query.fcgi?cmd=Retrieve&amp;amp;db=pubmed&amp;amp;dopt=Abstract&amp;amp;list_uids=35842659&amp;amp;query_hl=1&lt;/_url&gt;&lt;_volume&gt;21&lt;/_volume&gt;&lt;_created&gt;65843849&lt;/_created&gt;&lt;_modified&gt;65843849&lt;/_modified&gt;&lt;_db_updated&gt;PubMed&lt;/_db_updated&gt;&lt;_impact_factor&gt;   4.500&lt;/_impact_factor&gt;&lt;_social_category&gt;生化与分子生物学(2) &amp;amp; 营养学(3)&lt;/_social_category&gt;&lt;_collection_scope&gt;SCIE&lt;/_collection_scope&gt;&lt;/Details&gt;&lt;Extra&gt;&lt;DBUID&gt;{DE16ABCE-A785-434C-BF43-2FE58866AFDD}&lt;/DBUID&gt;&lt;/Extra&gt;&lt;/Item&gt;&lt;/References&gt;&lt;/Group&gt;&lt;/Citation&gt;_x000a_"/>
    <w:docVar w:name="NE.Ref{901AC3C0-C9A8-46F0-BB8D-851DA12FFDD9}" w:val=" ADDIN NE.Ref.{901AC3C0-C9A8-46F0-BB8D-851DA12FFDD9}&lt;Citation&gt;&lt;Group&gt;&lt;References&gt;&lt;Item&gt;&lt;ID&gt;644&lt;/ID&gt;&lt;UID&gt;{25B17445-AB3C-4358-806C-07303E8ABF74}&lt;/UID&gt;&lt;Title&gt;The efficacy of streptozotocin in managing pancreatic neuroendocrine neoplasms -  A systematic review&lt;/Title&gt;&lt;Template&gt;Journal Article&lt;/Template&gt;&lt;Star&gt;0&lt;/Star&gt;&lt;Tag&gt;0&lt;/Tag&gt;&lt;Author&gt;Arrivi, G; Fazio, N; Tafuto, S; Falconi, M; Carnaghi, C; Campana, D; Rinzivillo, M; Panzuto, F&lt;/Author&gt;&lt;Year&gt;2025&lt;/Year&gt;&lt;Details&gt;&lt;_accession_num&gt;39954330&lt;/_accession_num&gt;&lt;_author_adr&gt;Oncology Unit Department of Clinical and Molecular Medicine Sapienza University  of Rome Sant&amp;apos;Andrea University Hospital ENETS Center of Excellence Rome Italy.; Division of Gastrointestinal Medical Oncology and Neuroendocrine Tumors, European  Institute of Oncology, IEO, IRCCS Milan IT Italy.; Sarcomas and Rare Tumors Unit, Istituto Nazionale Tumori, IRCCS Fondazione &amp;quot;G.  Pascale&amp;quot;, Naples 80131, Italy.; Pancreatic Surgery Unit, Pancreas Translational and Clinical Research Center, San  Raffaele Scientific Institute, &amp;quot;Vita-Salute&amp;quot; San Raffaele University, Milan,  Italy.; Medical Oncology Unit, Humanitas Istituto Clinico Catanese, Misterbianco, Catania  95045, Italy.; Medical Oncology, IRCCS Azienda Ospedaliero-Universitaria di Bologna, Department  of Medical and Surgical Sciences, Alma Mater Studiorum University of Bologna,  Bologna, Italy.; Digestive Disease Unit, Department of Surgical-Medical Sciences and Translational  Medicine, Sapienza University of Rome, Sant&amp;apos;Andrea University Hospital, ENETS  Center of Excellence, Rome, Italy.; Digestive Disease Unit, Department of Surgical-Medical Sciences and Translational  Medicine, Sapienza University of Rome, Sant&amp;apos;Andrea University Hospital, ENETS  Center of Excellence, Rome, Italy. Electronic address:  francesco.panzuto@uniroma1.it.&lt;/_author_adr&gt;&lt;_collection_scope&gt;SCIE&lt;/_collection_scope&gt;&lt;_created&gt;65826559&lt;/_created&gt;&lt;_date&gt;2025-02-12&lt;/_date&gt;&lt;_date_display&gt;2025 Feb 12&lt;/_date_display&gt;&lt;_db_updated&gt;PubMed&lt;/_db_updated&gt;&lt;_doi&gt;10.1016/j.ctrv.2025.102899&lt;/_doi&gt;&lt;_impact_factor&gt;  11.800&lt;/_impact_factor&gt;&lt;_isbn&gt;1532-1967 (Electronic); 0305-7372 (Linking)&lt;/_isbn&gt;&lt;_journal&gt;Cancer Treat Rev&lt;/_journal&gt;&lt;_keywords&gt;Alkylating agents; Chemotherapy; Guidelines; Neuroendocrine tumors; Streptozotocin&lt;/_keywords&gt;&lt;_language&gt;eng&lt;/_language&gt;&lt;_modified&gt;65843870&lt;/_modified&gt;&lt;_ori_publication&gt;Copyright (c) 2025 The Author(s). Published by Elsevier Ltd.. All rights reserved.&lt;/_ori_publication&gt;&lt;_pages&gt;102899&lt;/_pages&gt;&lt;_social_category&gt;肿瘤学(2)&lt;/_social_category&gt;&lt;_tertiary_title&gt;Cancer treatment reviews&lt;/_tertiary_title&gt;&lt;_type_work&gt;Journal Article; Review&lt;/_type_work&gt;&lt;_url&gt;http://www.ncbi.nlm.nih.gov/entrez/query.fcgi?cmd=Retrieve&amp;amp;db=pubmed&amp;amp;dopt=Abstract&amp;amp;list_uids=39954330&amp;amp;query_hl=1&lt;/_url&gt;&lt;_volume&gt;134&lt;/_volume&gt;&lt;_accessed&gt;65843870&lt;/_accessed&gt;&lt;/Details&gt;&lt;Extra&gt;&lt;DBUID&gt;{DE16ABCE-A785-434C-BF43-2FE58866AFDD}&lt;/DBUID&gt;&lt;/Extra&gt;&lt;/Item&gt;&lt;/References&gt;&lt;/Group&gt;&lt;Group&gt;&lt;References&gt;&lt;Item&gt;&lt;ID&gt;643&lt;/ID&gt;&lt;UID&gt;{406FB765-2B9D-4055-8E44-812BD1B0580E}&lt;/UID&gt;&lt;Title&gt;Treatment Patterns of Pancreatic Neuroendocrine Tumor (pNET) Patients at Two  Canadian Cancer Centres&lt;/Title&gt;&lt;Template&gt;Journal Article&lt;/Template&gt;&lt;Star&gt;0&lt;/Star&gt;&lt;Tag&gt;0&lt;/Tag&gt;&lt;Author&gt;Nair, G; Black, M; Baer, K; Welch, S; Laidley, D T; Goodwin, R; Leung, M; Phillips, W J; Vickers, M; Asmis, T; Marginean, H; Tsvetkova, E&lt;/Author&gt;&lt;Year&gt;2025&lt;/Year&gt;&lt;Details&gt;&lt;_accession_num&gt;39996886&lt;/_accession_num&gt;&lt;_author_adr&gt;Schulich School of Medicine and Dentistry, Western University, London, ON N6A  3K7, Canada.; London Health Sciences Centre, London, ON N6A 5W9, Canada.; London Health Sciences Centre, London, ON N6A 5W9, Canada.; London Health Sciences Centre, London, ON N6A 5W9, Canada.; London Health Sciences Centre, London, ON N6A 5W9, Canada.; The Ottawa Hospital (TOH), Ottawa, ON K1H 8L6, Canada.; Department of Medicine, University of Ottawa, Ottawa, ON K1N 6N5, Canada.; The Ottawa Hospital Research Institute (OHRI), Ottawa, ON K1H 8L6, Canada.; Department of Medicine, University of Ottawa, Ottawa, ON K1N 6N5, Canada.; The Ottawa Hospital (TOH), Ottawa, ON K1H 8L6, Canada.; Department of Medicine, University of Ottawa, Ottawa, ON K1N 6N5, Canada.; The Ottawa Hospital (TOH), Ottawa, ON K1H 8L6, Canada.; Department of Medicine, University of Ottawa, Ottawa, ON K1N 6N5, Canada.; The Ottawa Hospital Research Institute (OHRI), Ottawa, ON K1H 8L6, Canada.; London Health Sciences Centre, London, ON N6A 5W9, Canada.&lt;/_author_adr&gt;&lt;_collection_scope&gt;SCIE&lt;/_collection_scope&gt;&lt;_created&gt;65826557&lt;/_created&gt;&lt;_date&gt;2025-02-03&lt;/_date&gt;&lt;_date_display&gt;2025 Feb 3&lt;/_date_display&gt;&lt;_db_updated&gt;PubMed&lt;/_db_updated&gt;&lt;_doi&gt;10.3390/curroncol32020086&lt;/_doi&gt;&lt;_impact_factor&gt;   2.600&lt;/_impact_factor&gt;&lt;_isbn&gt;1718-7729 (Electronic); 1198-0052 (Print); 1198-0052 (Linking)&lt;/_isbn&gt;&lt;_issue&gt;2&lt;/_issue&gt;&lt;_journal&gt;Curr Oncol&lt;/_journal&gt;&lt;_keywords&gt;Canada; PRRT; neuroendocrine; treatment; tumor&lt;/_keywords&gt;&lt;_language&gt;eng&lt;/_language&gt;&lt;_modified&gt;65843871&lt;/_modified&gt;&lt;_social_category&gt;肿瘤学(4)&lt;/_social_category&gt;&lt;_subject_headings&gt;Humans; *Pancreatic Neoplasms/therapy; Female; *Neuroendocrine Tumors/therapy; Male; Middle Aged; Canada; Retrospective Studies; Aged; Adult; Cancer Care Facilities/statistics &amp;amp; numerical data&lt;/_subject_headings&gt;&lt;_tertiary_title&gt;Current oncology (Toronto, Ont.)&lt;/_tertiary_title&gt;&lt;_type_work&gt;Journal Article&lt;/_type_work&gt;&lt;_url&gt;http://www.ncbi.nlm.nih.gov/entrez/query.fcgi?cmd=Retrieve&amp;amp;db=pubmed&amp;amp;dopt=Abstract&amp;amp;list_uids=39996886&amp;amp;query_hl=1&lt;/_url&gt;&lt;_volume&gt;32&lt;/_volume&gt;&lt;_accessed&gt;65843871&lt;/_accessed&gt;&lt;/Details&gt;&lt;Extra&gt;&lt;DBUID&gt;{DE16ABCE-A785-434C-BF43-2FE58866AFDD}&lt;/DBUID&gt;&lt;/Extra&gt;&lt;/Item&gt;&lt;/References&gt;&lt;/Group&gt;&lt;Group&gt;&lt;References&gt;&lt;Item&gt;&lt;ID&gt;645&lt;/ID&gt;&lt;UID&gt;{8CA5E47C-AAF1-40C2-8A2D-65A3C8C22F18}&lt;/UID&gt;&lt;Title&gt;Pancreatic Neuroendocrine Neoplasms: Classification and Novel Role of Endoscopic  Ultrasound in Diagnosis and Treatment Personalization&lt;/Title&gt;&lt;Template&gt;Journal Article&lt;/Template&gt;&lt;Star&gt;0&lt;/Star&gt;&lt;Tag&gt;0&lt;/Tag&gt;&lt;Author&gt;Tacelli, M; Partelli, S; Falconi, M; Arcidiacono, P G; Capurso, G&lt;/Author&gt;&lt;Year&gt;2024&lt;/Year&gt;&lt;Details&gt;&lt;_accession_num&gt;39540703&lt;/_accession_num&gt;&lt;_author_adr&gt;Pancreato-Biliary Endoscopy and Endosonography Division, Pancreas Translational  and Clinical Research Center, IRCCS San Raffaele Scientific Institute, Milan,  Italy.; Pancreatic Surgery Unit, Pancreas Translational and Clinical Research Center,  IRCCS San Raffaele Scientific Institute, Milan, Italy.; &amp;quot;Vita-Salute&amp;quot; San Raffaele University, Milan, Italy.; Pancreatic Surgery Unit, Pancreas Translational and Clinical Research Center,  IRCCS San Raffaele Scientific Institute, Milan, Italy.; &amp;quot;Vita-Salute&amp;quot; San Raffaele University, Milan, Italy.; Pancreato-Biliary Endoscopy and Endosonography Division, Pancreas Translational  and Clinical Research Center, IRCCS San Raffaele Scientific Institute, Milan,  Italy.; &amp;quot;Vita-Salute&amp;quot; San Raffaele University, Milan, Italy.; Pancreato-Biliary Endoscopy and Endosonography Division, Pancreas Translational  and Clinical Research Center, IRCCS San Raffaele Scientific Institute, Milan,  Italy.; &amp;quot;Vita-Salute&amp;quot; San Raffaele University, Milan, Italy.&lt;/_author_adr&gt;&lt;_collection_scope&gt;SCIE&lt;/_collection_scope&gt;&lt;_created&gt;65826560&lt;/_created&gt;&lt;_date&gt;2024-11-14&lt;/_date&gt;&lt;_date_display&gt;2024 Nov 14&lt;/_date_display&gt;&lt;_db_updated&gt;PubMed&lt;/_db_updated&gt;&lt;_doi&gt;10.1002/ueg2.12710&lt;/_doi&gt;&lt;_impact_factor&gt;   6.000&lt;/_impact_factor&gt;&lt;_isbn&gt;2050-6414 (Electronic); 2050-6406 (Linking)&lt;/_isbn&gt;&lt;_journal&gt;United European Gastroenterol J&lt;/_journal&gt;&lt;_keywords&gt;Pancreatic Ductal Adenocarcinoma; Temozolomide; capecitabine; chemotherapy; endoscopic ultrasound; everolimus; neuroendocrine tumors; pancreatic neuroendocrine neoplasm&lt;/_keywords&gt;&lt;_language&gt;eng&lt;/_language&gt;&lt;_modified&gt;65843881&lt;/_modified&gt;&lt;_ori_publication&gt;(c) 2024 The Author(s). United European Gastroenterology Journal published by Wiley _x000d__x000a_      Periodicals LLC on behalf of United European Gastroenterology.&lt;/_ori_publication&gt;&lt;_social_category&gt;胃肠肝病学(2)&lt;/_social_category&gt;&lt;_tertiary_title&gt;United European gastroenterology journal&lt;/_tertiary_title&gt;&lt;_type_work&gt;Journal Article; Review&lt;/_type_work&gt;&lt;_url&gt;http://www.ncbi.nlm.nih.gov/entrez/query.fcgi?cmd=Retrieve&amp;amp;db=pubmed&amp;amp;dopt=Abstract&amp;amp;list_uids=39540703&amp;amp;query_hl=1&lt;/_url&gt;&lt;_accessed&gt;65843881&lt;/_accessed&gt;&lt;/Details&gt;&lt;Extra&gt;&lt;DBUID&gt;{DE16ABCE-A785-434C-BF43-2FE58866AFDD}&lt;/DBUID&gt;&lt;/Extra&gt;&lt;/Item&gt;&lt;/References&gt;&lt;/Group&gt;&lt;/Citation&gt;_x000a_"/>
    <w:docVar w:name="NE.Ref{93C65D4C-212C-4E0C-9747-6A1C6D3F2FF4}" w:val=" ADDIN NE.Ref.{93C65D4C-212C-4E0C-9747-6A1C6D3F2FF4}&lt;Citation&gt;&lt;Group&gt;&lt;References&gt;&lt;Item&gt;&lt;ID&gt;659&lt;/ID&gt;&lt;UID&gt;{53C0225E-7F1F-4D01-8BC7-2C4F813230BA}&lt;/UID&gt;&lt;Title&gt;Incidence of gastroenteropancreatic neuroendocrine neoplasms (GEP-NENs): An  updated systematic review of population-based reports from 2010 to 2023&lt;/Title&gt;&lt;Template&gt;Journal Article&lt;/Template&gt;&lt;Star&gt;0&lt;/Star&gt;&lt;Tag&gt;0&lt;/Tag&gt;&lt;Author&gt;Nordstrand, M A; Lea, D; Soreide, J A&lt;/Author&gt;&lt;Year&gt;2025&lt;/Year&gt;&lt;Details&gt;&lt;_accession_num&gt;39933712&lt;/_accession_num&gt;&lt;_author_adr&gt;Department of Gastrointestinal Surgery, Stavanger University Hospital, Stavanger,  Norway.; Department of Pathology, Stavanger University Hospital, Stavanger, Norway.; Department of Gastrointestinal Surgery, Stavanger University Hospital, Stavanger,  Norway.; Department of Clinical Medicine, University of Bergen, Bergen, Norway.&lt;/_author_adr&gt;&lt;_collection_scope&gt;SCIE&lt;/_collection_scope&gt;&lt;_created&gt;65835077&lt;/_created&gt;&lt;_date&gt;2025-02-11&lt;/_date&gt;&lt;_date_display&gt;2025 Feb 11&lt;/_date_display&gt;&lt;_db_updated&gt;PubMed&lt;/_db_updated&gt;&lt;_doi&gt;10.1111/jne.70001&lt;/_doi&gt;&lt;_impact_factor&gt;   3.200&lt;/_impact_factor&gt;&lt;_isbn&gt;1365-2826 (Electronic); 0953-8194 (Linking)&lt;/_isbn&gt;&lt;_journal&gt;J Neuroendocrinol&lt;/_journal&gt;&lt;_keywords&gt;GEP-NENs; gastroenteropancreatic neuroendocrine neoplasms; incidence; neuroendocrine neoplasms; population-based&lt;/_keywords&gt;&lt;_language&gt;eng&lt;/_language&gt;&lt;_modified&gt;65843863&lt;/_modified&gt;&lt;_ori_publication&gt;(c) 2025 British Society for Neuroendocrinology.&lt;/_ori_publication&gt;&lt;_pages&gt;e70001&lt;/_pages&gt;&lt;_social_category&gt;内分泌学与代谢(4) &amp;amp; 神经科学(4)&lt;/_social_category&gt;&lt;_tertiary_title&gt;Journal of neuroendocrinology&lt;/_tertiary_title&gt;&lt;_type_work&gt;Journal Article; Review&lt;/_type_work&gt;&lt;_url&gt;http://www.ncbi.nlm.nih.gov/entrez/query.fcgi?cmd=Retrieve&amp;amp;db=pubmed&amp;amp;dopt=Abstract&amp;amp;list_uids=39933712&amp;amp;query_hl=1&lt;/_url&gt;&lt;_accessed&gt;65843863&lt;/_accessed&gt;&lt;/Details&gt;&lt;Extra&gt;&lt;DBUID&gt;{DE16ABCE-A785-434C-BF43-2FE58866AFDD}&lt;/DBUID&gt;&lt;/Extra&gt;&lt;/Item&gt;&lt;/References&gt;&lt;/Group&gt;&lt;Group&gt;&lt;References&gt;&lt;Item&gt;&lt;ID&gt;641&lt;/ID&gt;&lt;UID&gt;{1F3F245A-1C5B-42ED-9C66-F7F5282A7991}&lt;/UID&gt;&lt;Title&gt;Epidemiology, treatment and outcomes of gastroenteropancreatic neuroendocrine  neoplasms&lt;/Title&gt;&lt;Template&gt;Journal Article&lt;/Template&gt;&lt;Star&gt;0&lt;/Star&gt;&lt;Tag&gt;0&lt;/Tag&gt;&lt;Author&gt;Uhlig, J; Nie, J; Gibson, J; Cecchini, M; Stein, S; Lacy, J; Kunz, P; Kim, H S&lt;/Author&gt;&lt;Year&gt;2024&lt;/Year&gt;&lt;Details&gt;&lt;_accession_num&gt;39690170&lt;/_accession_num&gt;&lt;_author_adr&gt;Division of Vascular and Interventional Radiology, Department of Diagnostic  Radiology and Nuclear Medicine, University of Maryland, Baltimore, USA.  johannes.uhlig@med.uni-goettingen.de.; Department of Clinical and Interventional Radiology, University Medical Center  Goettingen, Goettingen, Germany. johannes.uhlig@med.uni-goettingen.de.; Section of Interventional Radiology, Department of Radiology and Biomedical  Imaging, Yale School of Medicine, 330 Cedar Street, New Haven, CT, 06510, USA.; Department of Pathology, Yale School of Medicine, Yale New Haven Hospital, 20  York Street, EP2-610, New Haven, CT, 06510, USA.; Section of Medical Oncology, Department of Medicine, Yale School of Medicine, 333  Cedar Street, New Haven, CT, 06510, USA.; Yale Cancer Center, Yale University, 330 Cedar Street, New Haven, CT, 06510, USA.; Section of Medical Oncology, Department of Medicine, Yale School of Medicine, 333  Cedar Street, New Haven, CT, 06510, USA.; Yale Cancer Center, Yale University, 330 Cedar Street, New Haven, CT, 06510, USA.; Section of Medical Oncology, Department of Medicine, Yale School of Medicine, 333  Cedar Street, New Haven, CT, 06510, USA.; Yale Cancer Center, Yale University, 330 Cedar Street, New Haven, CT, 06510, USA.; Section of Medical Oncology, Department of Medicine, Yale School of Medicine, 333  Cedar Street, New Haven, CT, 06510, USA.; Yale Cancer Center, Yale University, 330 Cedar Street, New Haven, CT, 06510, USA.; Division of Vascular and Interventional Radiology, Department of Diagnostic  Radiology and Nuclear Medicine, University of Maryland, Baltimore, USA.; Stewart Greenebaum Comprehensive Cancer Center, University of Maryland School of  Medicine, Baltimore, MD, USA.&lt;/_author_adr&gt;&lt;_collection_scope&gt;SCIE&lt;/_collection_scope&gt;&lt;_created&gt;65826554&lt;/_created&gt;&lt;_date&gt;2024-12-17&lt;/_date&gt;&lt;_date_display&gt;2024 Dec 17&lt;/_date_display&gt;&lt;_db_updated&gt;PubMed&lt;/_db_updated&gt;&lt;_doi&gt;10.1038/s41598-024-81518-4&lt;/_doi&gt;&lt;_impact_factor&gt;   4.600&lt;/_impact_factor&gt;&lt;_isbn&gt;2045-2322 (Electronic); 2045-2322 (Linking)&lt;/_isbn&gt;&lt;_issue&gt;1&lt;/_issue&gt;&lt;_journal&gt;Sci Rep&lt;/_journal&gt;&lt;_keywords&gt;Incidence; Neuroendocrine tumors; Survival&lt;/_keywords&gt;&lt;_language&gt;eng&lt;/_language&gt;&lt;_modified&gt;65843876&lt;/_modified&gt;&lt;_ori_publication&gt;(c) 2024. The Author(s).&lt;/_ori_publication&gt;&lt;_pages&gt;30536&lt;/_pages&gt;&lt;_social_category&gt;综合性期刊(2)&lt;/_social_category&gt;&lt;_subject_headings&gt;Humans; *Neuroendocrine Tumors/therapy/epidemiology/mortality; *Pancreatic Neoplasms/therapy/epidemiology/mortality; Female; Male; *Intestinal Neoplasms/therapy/epidemiology/mortality; Middle Aged; United States/epidemiology; Aged; *Stomach Neoplasms/therapy/epidemiology/mortality; Treatment Outcome; Incidence; Adult; Databases, Factual; Aged, 80 and over&lt;/_subject_headings&gt;&lt;_tertiary_title&gt;Scientific reports&lt;/_tertiary_title&gt;&lt;_type_work&gt;Journal Article&lt;/_type_work&gt;&lt;_url&gt;http://www.ncbi.nlm.nih.gov/entrez/query.fcgi?cmd=Retrieve&amp;amp;db=pubmed&amp;amp;dopt=Abstract&amp;amp;list_uids=39690170&amp;amp;query_hl=1&lt;/_url&gt;&lt;_volume&gt;14&lt;/_volume&gt;&lt;_accessed&gt;65843876&lt;/_accessed&gt;&lt;/Details&gt;&lt;Extra&gt;&lt;DBUID&gt;{DE16ABCE-A785-434C-BF43-2FE58866AFDD}&lt;/DBUID&gt;&lt;/Extra&gt;&lt;/Item&gt;&lt;/References&gt;&lt;/Group&gt;&lt;Group&gt;&lt;References&gt;&lt;Item&gt;&lt;ID&gt;586&lt;/ID&gt;&lt;UID&gt;{27C538C9-C72C-4958-A8F0-7FC279A52DD9}&lt;/UID&gt;&lt;Title&gt;Epidemiologic Trends of and Factors Associated With Overall Survival for Patients  With Gastroenteropancreatic Neuroendocrine Tumors in the United States&lt;/Title&gt;&lt;Template&gt;Journal Article&lt;/Template&gt;&lt;Star&gt;0&lt;/Star&gt;&lt;Tag&gt;0&lt;/Tag&gt;&lt;Author&gt;Xu, Z; Wang, L; Dai, S; Chen, M; Li, F; Sun, J; Luo, F&lt;/Author&gt;&lt;Year&gt;2021&lt;/Year&gt;&lt;Details&gt;&lt;_accession_num&gt;34554237&lt;/_accession_num&gt;&lt;_author_adr&gt;Lung Cancer Center, Cancer Center and State Key Laboratory of Biotherapy, West  China Hospital of Sichuan University, Chengdu, Sichuan, China.; Lung Cancer Center, Cancer Center and State Key Laboratory of Biotherapy, West  China Hospital of Sichuan University, Chengdu, Sichuan, China.; Lung Cancer Center, Cancer Center and State Key Laboratory of Biotherapy, West  China Hospital of Sichuan University, Chengdu, Sichuan, China.; Cancer Institute of People&amp;apos;s Liberation Army, Xinqiao Hospital, Army Medical  University, Chongqing, People&amp;apos;s Republic of China.; Cancer Institute of People&amp;apos;s Liberation Army, Xinqiao Hospital, Army Medical  University, Chongqing, People&amp;apos;s Republic of China.; Cancer Institute of People&amp;apos;s Liberation Army, Xinqiao Hospital, Army Medical  University, Chongqing, People&amp;apos;s Republic of China.; Lung Cancer Center, Cancer Center and State Key Laboratory of Biotherapy, West  China Hospital of Sichuan University, Chengdu, Sichuan, China.&lt;/_author_adr&gt;&lt;_collection_scope&gt;SCIE&lt;/_collection_scope&gt;&lt;_created&gt;65764571&lt;/_created&gt;&lt;_date&gt;2021-09-01&lt;/_date&gt;&lt;_date_display&gt;2021 Sep 1&lt;/_date_display&gt;&lt;_db_updated&gt;PubMed&lt;/_db_updated&gt;&lt;_doi&gt;10.1001/jamanetworkopen.2021.24750&lt;/_doi&gt;&lt;_impact_factor&gt;  13.800&lt;/_impact_factor&gt;&lt;_isbn&gt;2574-3805 (Electronic); 2574-3805 (Linking)&lt;/_isbn&gt;&lt;_issue&gt;9&lt;/_issue&gt;&lt;_journal&gt;JAMA Netw Open&lt;/_journal&gt;&lt;_language&gt;eng&lt;/_language&gt;&lt;_modified&gt;65844436&lt;/_modified&gt;&lt;_pages&gt;e2124750&lt;/_pages&gt;&lt;_social_category&gt;医学：内科(1)&lt;/_social_category&gt;&lt;_subject_headings&gt;Adolescent; Adult; Aged; Female; Humans; Incidence; Intestinal Neoplasms/*mortality; Male; Middle Aged; Neoplasm Staging; Neuroendocrine Tumors/*mortality; *Nomograms; Pancreatic Neoplasms/*mortality; Predictive Value of Tests; Prevalence; Prognosis; Proportional Hazards Models; ROC Curve; SEER Program; Stomach Neoplasms/*mortality; Survival Analysis; United States/epidemiology; Young Adult&lt;/_subject_headings&gt;&lt;_tertiary_title&gt;JAMA network open&lt;/_tertiary_title&gt;&lt;_type_work&gt;Journal Article; Research Support, Non-U.S. Gov&amp;apos;t&lt;/_type_work&gt;&lt;_url&gt;http://www.ncbi.nlm.nih.gov/entrez/query.fcgi?cmd=Retrieve&amp;amp;db=pubmed&amp;amp;dopt=Abstract&amp;amp;list_uids=34554237&amp;amp;query_hl=1&lt;/_url&gt;&lt;_volume&gt;4&lt;/_volume&gt;&lt;_accessed&gt;65844436&lt;/_accessed&gt;&lt;/Details&gt;&lt;Extra&gt;&lt;DBUID&gt;{DE16ABCE-A785-434C-BF43-2FE58866AFDD}&lt;/DBUID&gt;&lt;/Extra&gt;&lt;/Item&gt;&lt;/References&gt;&lt;/Group&gt;&lt;/Citation&gt;_x000a_"/>
    <w:docVar w:name="NE.Ref{9FCF210A-4050-41A1-B3CF-E36B3C64C9DD}" w:val=" ADDIN NE.Ref.{9FCF210A-4050-41A1-B3CF-E36B3C64C9DD}&lt;Citation&gt;&lt;Group&gt;&lt;References&gt;&lt;Item&gt;&lt;ID&gt;551&lt;/ID&gt;&lt;UID&gt;{BAB0FDEE-1A51-4ED5-B60C-434D6C1A61C6}&lt;/UID&gt;&lt;Title&gt;Hypoxic tumor-derived exosomal miR-4488 induces macrophage M2 polarization to  promote liver metastasis of pancreatic neuroendocrine neoplasm through RTN3/FABP5  mediated fatty acid oxidation&lt;/Title&gt;&lt;Template&gt;Journal Article&lt;/Template&gt;&lt;Star&gt;0&lt;/Star&gt;&lt;Tag&gt;0&lt;/Tag&gt;&lt;Author&gt;Lu, F; Ye, M; Shen, Y; Xu, Y; Hu, C; Chen, J; Yu, P; Xue, B; Gu, D; Xu, L; Chen, L; Ding, Y; Bai, J; Tian, Y; Tang, Q&lt;/Author&gt;&lt;Year&gt;2024&lt;/Year&gt;&lt;Details&gt;&lt;_accession_num&gt;38904015&lt;/_accession_num&gt;&lt;_author_adr&gt;Department of Geriatric Gastroenterology, Neuroendocrine Tumor Center, The First  Affiliated Hospital of Nanjing Medical University, NO.300 Guangzhou Road, Nanjing  210029, Jiangsu Province, China.; Department of Geriatric Gastroenterology, Neuroendocrine Tumor Center, The First  Affiliated Hospital of Nanjing Medical University, NO.300 Guangzhou Road, Nanjing  210029, Jiangsu Province, China.; Department of General Surgery, The First Affiliated Hospital of Nanjing Medical  University, NO.300 Guangzhou Road, Nanjing 210029, Jiangsu Province, China.; Department of Geriatric Gastroenterology, Neuroendocrine Tumor Center, The First  Affiliated Hospital of Nanjing Medical University, NO.300 Guangzhou Road, Nanjing  210029, Jiangsu Province, China.; Department of Geriatric Gastroenterology, Neuroendocrine Tumor Center, The First  Affiliated Hospital of Nanjing Medical University, NO.300 Guangzhou Road, Nanjing  210029, Jiangsu Province, China.; Department of Geriatric Gastroenterology, Neuroendocrine Tumor Center, The First  Affiliated Hospital of Nanjing Medical University, NO.300 Guangzhou Road, Nanjing  210029, Jiangsu Province, China.; Department of Geriatric Gastroenterology, Neuroendocrine Tumor Center, The First  Affiliated Hospital of Nanjing Medical University, NO.300 Guangzhou Road, Nanjing  210029, Jiangsu Province, China.; Department of Geriatric Gastroenterology, Neuroendocrine Tumor Center, The First  Affiliated Hospital of Nanjing Medical University, NO.300 Guangzhou Road, Nanjing  210029, Jiangsu Province, China.; Department of Geriatric Gastroenterology, Neuroendocrine Tumor Center, The First  Affiliated Hospital of Nanjing Medical University, NO.300 Guangzhou Road, Nanjing  210029, Jiangsu Province, China.; Department of Geriatric Gastroenterology, Neuroendocrine Tumor Center, The First  Affiliated Hospital of Nanjing Medical University, NO.300 Guangzhou Road, Nanjing  210029, Jiangsu Province, China.; Department of Geriatric Gastroenterology, Neuroendocrine Tumor Center, The First  Affiliated Hospital of Nanjing Medical University, NO.300 Guangzhou Road, Nanjing  210029, Jiangsu Province, China.; Department of Geriatric Gastroenterology, Neuroendocrine Tumor Center, The First  Affiliated Hospital of Nanjing Medical University, NO.300 Guangzhou Road, Nanjing  210029, Jiangsu Province, China.; Department of Geriatric Gastroenterology, Neuroendocrine Tumor Center, The First  Affiliated Hospital of Nanjing Medical University, NO.300 Guangzhou Road, Nanjing  210029, Jiangsu Province, China.; Department of Geriatric Gastroenterology, Neuroendocrine Tumor Center, The First  Affiliated Hospital of Nanjing Medical University, NO.300 Guangzhou Road, Nanjing  210029, Jiangsu Province, China.; Department of Geriatric Gastroenterology, Neuroendocrine Tumor Center, The First  Affiliated Hospital of Nanjing Medical University, NO.300 Guangzhou Road, Nanjing  210029, Jiangsu Province, China.&lt;/_author_adr&gt;&lt;_collection_scope&gt;SCIE&lt;/_collection_scope&gt;&lt;_created&gt;65709263&lt;/_created&gt;&lt;_date&gt;2024-01-20&lt;/_date&gt;&lt;_date_display&gt;2024&lt;/_date_display&gt;&lt;_db_updated&gt;PubMed&lt;/_db_updated&gt;&lt;_doi&gt;10.7150/ijbs.96831&lt;/_doi&gt;&lt;_impact_factor&gt;   9.200&lt;/_impact_factor&gt;&lt;_isbn&gt;1449-2288 (Electronic); 1449-2288 (Linking)&lt;/_isbn&gt;&lt;_issue&gt;8&lt;/_issue&gt;&lt;_journal&gt;Int J Biol Sci&lt;/_journal&gt;&lt;_keywords&gt;FABP5; M2-like polarization; MMP2; RTN3; exosomes; fatty acid oxidation; hypoxia; miR-4488; pancreatic neuroendocrine neoplasms&lt;/_keywords&gt;&lt;_language&gt;eng&lt;/_language&gt;&lt;_modified&gt;65843880&lt;/_modified&gt;&lt;_ori_publication&gt;(c) The author(s).&lt;/_ori_publication&gt;&lt;_pages&gt;3201-3218&lt;/_pages&gt;&lt;_social_category&gt;生化与分子生物学(2)&lt;/_social_category&gt;&lt;_subject_headings&gt;Animals; Humans; Mice; Cell Line, Tumor; *Exosomes/metabolism; Fatty Acid-Binding Proteins/metabolism/genetics; Fatty Acids/metabolism; *Liver Neoplasms/metabolism/secondary/genetics; *Macrophages/metabolism; Mice, Nude; *MicroRNAs/metabolism/genetics; Nerve Tissue Proteins/metabolism/genetics; *Neuroendocrine Tumors/metabolism/pathology/genetics; Oxidation-Reduction; *Pancreatic Neoplasms/metabolism/pathology/genetics; Signal Transduction; Tumor Microenvironment&lt;/_subject_headings&gt;&lt;_tertiary_title&gt;International journal of biological sciences&lt;/_tertiary_title&gt;&lt;_type_work&gt;Journal Article&lt;/_type_work&gt;&lt;_url&gt;http://www.ncbi.nlm.nih.gov/entrez/query.fcgi?cmd=Retrieve&amp;amp;db=pubmed&amp;amp;dopt=Abstract&amp;amp;list_uids=38904015&amp;amp;query_hl=1&lt;/_url&gt;&lt;_volume&gt;20&lt;/_volume&gt;&lt;_accessed&gt;65843931&lt;/_accessed&gt;&lt;/Details&gt;&lt;Extra&gt;&lt;DBUID&gt;{DE16ABCE-A785-434C-BF43-2FE58866AFDD}&lt;/DBUID&gt;&lt;/Extra&gt;&lt;/Item&gt;&lt;/References&gt;&lt;/Group&gt;&lt;Group&gt;&lt;References&gt;&lt;Item&gt;&lt;ID&gt;552&lt;/ID&gt;&lt;UID&gt;{3D0B4EB8-4C3C-45EF-9CA4-0B37B0F8ED30}&lt;/UID&gt;&lt;Title&gt;Multiregion WES of metastatic pancreatic neuroendocrine tumors revealed  heterogeneity in genomic alterations, immune microenvironment and evolutionary  patterns&lt;/Title&gt;&lt;Template&gt;Journal Article&lt;/Template&gt;&lt;Star&gt;0&lt;/Star&gt;&lt;Tag&gt;0&lt;/Tag&gt;&lt;Author&gt;Jiang, Y; Dong, Y H; Zhao, S W; Liu, D Y; Zhang, J Y; Xu, X Y; Chen, H; Chen, H; Jin, J B&lt;/Author&gt;&lt;Year&gt;2024&lt;/Year&gt;&lt;Details&gt;&lt;_accession_num&gt;38448900&lt;/_accession_num&gt;&lt;_author_adr&gt;Department of General Surgery, Pancreatic Disease Center, Ruijin Hospital  Affiliated to Shanghai Jiao Tong University School of Medicine, 197 Ruijn 2nd  Road, Shanghai, 200025, People&amp;apos;s Republic of China.; Department of Pathology, Ruijin Hospital Affiliated to Shanghai Jiao Tong  University School of Medicine, Shanghai, 200025, People&amp;apos;s Republic of China.; Department of General Surgery, Pancreatic Disease Center, Ruijin Hospital  Affiliated to Shanghai Jiao Tong University School of Medicine, 197 Ruijn 2nd  Road, Shanghai, 200025, People&amp;apos;s Republic of China.; Department of Clinical and Translational Medicine, 3D Medicines Inc., Shanghai,  201114, People&amp;apos;s Republic of China.; Department of Clinical and Translational Medicine, 3D Medicines Inc., Shanghai,  201114, People&amp;apos;s Republic of China.; Department of Clinical and Translational Medicine, 3D Medicines Inc., Shanghai,  201114, People&amp;apos;s Republic of China.; Bioinformatics Department, JMDNA Inc., Building 23, 500 Furonghua Road, Shanghai,  201203, People&amp;apos;s Republic of China. hao.chen@jmdna.com.; Department of General Surgery, Pancreatic Disease Center, Ruijin Hospital  Affiliated to Shanghai Jiao Tong University School of Medicine, 197 Ruijn 2nd  Road, Shanghai, 200025, People&amp;apos;s Republic of China. haochendr@126.com.; Department of General Surgery, Pancreatic Disease Center, Ruijin Hospital  Affiliated to Shanghai Jiao Tong University School of Medicine, 197 Ruijn 2nd  Road, Shanghai, 200025, People&amp;apos;s Republic of China. jjb11501@rjh.com.cn.&lt;/_author_adr&gt;&lt;_collection_scope&gt;SCIE&lt;/_collection_scope&gt;&lt;_created&gt;65709263&lt;/_created&gt;&lt;_date&gt;2024-03-06&lt;/_date&gt;&lt;_date_display&gt;2024 Mar 6&lt;/_date_display&gt;&lt;_db_updated&gt;PubMed&lt;/_db_updated&gt;&lt;_doi&gt;10.1186/s12964-024-01545-6&lt;/_doi&gt;&lt;_impact_factor&gt;   8.400&lt;/_impact_factor&gt;&lt;_isbn&gt;1478-811X (Electronic); 1478-811X (Linking)&lt;/_isbn&gt;&lt;_issue&gt;1&lt;/_issue&gt;&lt;_journal&gt;Cell Commun Signal&lt;/_journal&gt;&lt;_keywords&gt;MEN1/DAXX; Multiregion sampling whole-exome sequencing; Pancreatic neuroendocrine tumors&lt;/_keywords&gt;&lt;_language&gt;eng&lt;/_language&gt;&lt;_modified&gt;65843932&lt;/_modified&gt;&lt;_ori_publication&gt;(c) 2024. The Author(s).&lt;/_ori_publication&gt;&lt;_pages&gt;164&lt;/_pages&gt;&lt;_social_category&gt;细胞生物学(2)&lt;/_social_category&gt;&lt;_subject_headings&gt;Humans; Exome Sequencing; *Neuroendocrine Tumors/genetics; Genomics; *Liver Neoplasms/genetics; *Pancreatic Neoplasms/genetics; Tumor Microenvironment&lt;/_subject_headings&gt;&lt;_tertiary_title&gt;Cell communication and signaling : CCS&lt;/_tertiary_title&gt;&lt;_type_work&gt;Journal Article; Research Support, Non-U.S. Gov&amp;apos;t&lt;/_type_work&gt;&lt;_url&gt;http://www.ncbi.nlm.nih.gov/entrez/query.fcgi?cmd=Retrieve&amp;amp;db=pubmed&amp;amp;dopt=Abstract&amp;amp;list_uids=38448900&amp;amp;query_hl=1&lt;/_url&gt;&lt;_volume&gt;22&lt;/_volume&gt;&lt;_accessed&gt;65843932&lt;/_accessed&gt;&lt;/Details&gt;&lt;Extra&gt;&lt;DBUID&gt;{DE16ABCE-A785-434C-BF43-2FE58866AFDD}&lt;/DBUID&gt;&lt;/Extra&gt;&lt;/Item&gt;&lt;/References&gt;&lt;/Group&gt;&lt;/Citation&gt;_x000a_"/>
    <w:docVar w:name="NE.Ref{A17E8B5E-EE36-44DF-BBC7-1373A3CA6276}" w:val=" ADDIN NE.Ref.{A17E8B5E-EE36-44DF-BBC7-1373A3CA6276}&lt;Citation&gt;&lt;Group&gt;&lt;References&gt;&lt;Item&gt;&lt;ID&gt;655&lt;/ID&gt;&lt;UID&gt;{76644A97-52FC-4A1D-9667-1B6989CF992E}&lt;/UID&gt;&lt;Title&gt;FTO-induced APOE promotes the malignant progression of pancreatic neuroendocrine  neoplasms through FASN-mediated lipid metabolism&lt;/Title&gt;&lt;Template&gt;Journal Article&lt;/Template&gt;&lt;Star&gt;0&lt;/Star&gt;&lt;Tag&gt;0&lt;/Tag&gt;&lt;Author&gt;Chen, J; Ye, M; Gu, D; Yu, P; Xu, L; Xue, B; Yan, L; Lu, F; Hu, C; Xu, Y; Shi, X; Chen, L; Wang, Y; Bai, J; Tian, Y; Tang, Q&lt;/Author&gt;&lt;Year&gt;2025&lt;/Year&gt;&lt;Details&gt;&lt;_accession_num&gt;39990672&lt;/_accession_num&gt;&lt;_author_adr&gt;Department of Geriatric Gastroenterology, Neuroendocrine Tumor Center, Jiangsu  Province Hospital, The First Affiliated of Nanjing Medical University, Institute  of Neuroendocrine Tumor, Nanjing Medical University, Nanjing, China.; Center for Biomarker Discovery and Validation, National Infrastructures for  Translational Medicine (PUMCH), Institute of Clinical Medicine, Peking Union  Medical College Hospital, Chinese Academy of Medical Science &amp;amp; Peking Union  Medical College, Beijing, China.; Department of Geriatric Gastroenterology, Neuroendocrine Tumor Center, Jiangsu  Province Hospital, The First Affiliated of Nanjing Medical University, Institute  of Neuroendocrine Tumor, Nanjing Medical University, Nanjing, China.; Department of Geriatric Gastroenterology, Neuroendocrine Tumor Center, Jiangsu  Province Hospital, The First Affiliated of Nanjing Medical University, Institute  of Neuroendocrine Tumor, Nanjing Medical University, Nanjing, China.; Department of Geriatric Gastroenterology, Neuroendocrine Tumor Center, Jiangsu  Province Hospital, The First Affiliated of Nanjing Medical University, Institute  of Neuroendocrine Tumor, Nanjing Medical University, Nanjing, China.; Department of Geriatric Gastroenterology, Neuroendocrine Tumor Center, Jiangsu  Province Hospital, The First Affiliated of Nanjing Medical University, Institute  of Neuroendocrine Tumor, Nanjing Medical University, Nanjing, China.; Department of Geriatric Gastroenterology, Neuroendocrine Tumor Center, Jiangsu  Province Hospital, The First Affiliated of Nanjing Medical University, Institute  of Neuroendocrine Tumor, Nanjing Medical University, Nanjing, China.; Department of Geriatric Gastroenterology, Neuroendocrine Tumor Center, Jiangsu  Province Hospital, The First Affiliated of Nanjing Medical University, Institute  of Neuroendocrine Tumor, Nanjing Medical University, Nanjing, China.; Department of Geriatric Gastroenterology, Neuroendocrine Tumor Center, Jiangsu  Province Hospital, The First Affiliated of Nanjing Medical University, Institute  of Neuroendocrine Tumor, Nanjing Medical University, Nanjing, China.; Department of Geriatric Gastroenterology, Neuroendocrine Tumor Center, Jiangsu  Province Hospital, The First Affiliated of Nanjing Medical University, Institute  of Neuroendocrine Tumor, Nanjing Medical University, Nanjing, China.; Department of Geriatric Gastroenterology, Neuroendocrine Tumor Center, Jiangsu  Province Hospital, The First Affiliated of Nanjing Medical University, Institute  of Neuroendocrine Tumor, Nanjing Medical University, Nanjing, China.; Department of Geriatric Gastroenterology, Neuroendocrine Tumor Center, Jiangsu  Province Hospital, The First Affiliated of Nanjing Medical University, Institute  of Neuroendocrine Tumor, Nanjing Medical University, Nanjing, China.; Department of Geriatric Gastroenterology, Neuroendocrine Tumor Center, Jiangsu  Province Hospital, The First Affiliated of Nanjing Medical University, Institute  of Neuroendocrine Tumor, Nanjing Medical University, Nanjing, China.; Digestive Endoscopy, Jiangsu Province Hospital, The First Affiliated Hospital of  Nanjing Medical University, China.; Department of Gastroenterology, The Friendship Hospital of Ili Kazakh Autonomous  Prefecture, Ili State 835000, China.; Department of Geriatric Gastroenterology, Neuroendocrine Tumor Center, Jiangsu  Province Hospital, The First Affiliated of Nanjing Medical University, Institute  of Neuroendocrine Tumor, Nanjing Medical University, Nanjing, China.; Department of Geriatric Gastroenterology, Neuroendocrine Tumor Center, Jiangsu  Province Hospital, The First Affiliated of Nanjing Medical University, Institute  of Neuroendocrine Tumor, Nanjing Medical University, Nanjing, China.; Department of Geriatric Gastroenterology, Neuroendocrine Tumor Center, Jiangsu  Province Hospital, The First Affiliated of Nanjing Medical University, Institute  of Neuroendocrine Tumor, Nanjing Medical University, Nanjing, China.&lt;/_author_adr&gt;&lt;_collection_scope&gt;SCIE&lt;/_collection_scope&gt;&lt;_created&gt;65826571&lt;/_created&gt;&lt;_date&gt;2025-01-20&lt;/_date&gt;&lt;_date_display&gt;2025&lt;/_date_display&gt;&lt;_db_updated&gt;PubMed&lt;/_db_updated&gt;&lt;_doi&gt;10.7150/ijbs.103428&lt;/_doi&gt;&lt;_impact_factor&gt;   9.200&lt;/_impact_factor&gt;&lt;_isbn&gt;1449-2288 (Electronic); 1449-2288 (Linking)&lt;/_isbn&gt;&lt;_issue&gt;4&lt;/_issue&gt;&lt;_journal&gt;Int J Biol Sci&lt;/_journal&gt;&lt;_keywords&gt;APOE; FTO; N6-methyladenosine(m6A); lipid metabolism; pancreatic neuroendocrine neoplasms&lt;/_keywords&gt;&lt;_language&gt;eng&lt;/_language&gt;&lt;_modified&gt;65843861&lt;/_modified&gt;&lt;_ori_publication&gt;(c) The author(s).&lt;/_ori_publication&gt;&lt;_pages&gt;1478-1496&lt;/_pages&gt;&lt;_social_category&gt;生化与分子生物学(2)&lt;/_social_category&gt;&lt;_subject_headings&gt;Humans; *Alpha-Ketoglutarate-Dependent Dioxygenase FTO/metabolism/genetics; *Lipid Metabolism/genetics; *Apolipoproteins E/metabolism/genetics; Fatty Acid Synthase, Type I/metabolism/genetics; Pancreatic Neoplasms/metabolism/genetics/pathology; Animals; Mice; Neuroendocrine Tumors/metabolism/genetics/pathology; RNA-Binding Proteins/metabolism/genetics; Cell Line, Tumor; TOR Serine-Threonine Kinases/metabolism; Adenosine/analogs &amp;amp; derivatives/metabolism; Signal Transduction; Male; Mice, Nude&lt;/_subject_headings&gt;&lt;_tertiary_title&gt;International journal of biological sciences&lt;/_tertiary_title&gt;&lt;_type_work&gt;Journal Article&lt;/_type_work&gt;&lt;_url&gt;http://www.ncbi.nlm.nih.gov/entrez/query.fcgi?cmd=Retrieve&amp;amp;db=pubmed&amp;amp;dopt=Abstract&amp;amp;list_uids=39990672&amp;amp;query_hl=1&lt;/_url&gt;&lt;_volume&gt;21&lt;/_volume&gt;&lt;_accessed&gt;65843861&lt;/_accessed&gt;&lt;/Details&gt;&lt;Extra&gt;&lt;DBUID&gt;{DE16ABCE-A785-434C-BF43-2FE58866AFDD}&lt;/DBUID&gt;&lt;/Extra&gt;&lt;/Item&gt;&lt;/References&gt;&lt;/Group&gt;&lt;Group&gt;&lt;References&gt;&lt;Item&gt;&lt;ID&gt;620&lt;/ID&gt;&lt;UID&gt;{09A46749-CF0C-44E1-8E18-25AD80E092A0}&lt;/UID&gt;&lt;Title&gt;Hypoxia drives CBR4 down-regulation promotes gastroenteropancreatic  neuroendocrine tumors via activation mammalian target of rapamycin mediated by  fatty acid synthase&lt;/Title&gt;&lt;Template&gt;Journal Article&lt;/Template&gt;&lt;Star&gt;0&lt;/Star&gt;&lt;Tag&gt;0&lt;/Tag&gt;&lt;Author&gt;Ye, M; Xu, L; Lu, F; Chen, L; Hu, C; Chen, J; Xue, B; Gu, D; Xu, R; Xu, Y; Yu, P; Wang, Y; Tian, Y; Zhu, G; Tang, Q&lt;/Author&gt;&lt;Year&gt;2024&lt;/Year&gt;&lt;Details&gt;&lt;_accession_num&gt;39524139&lt;/_accession_num&gt;&lt;_author_adr&gt;Department of Geriatric Gastroenterology Neuroendocrine Tumor Center Jiangsu  Province Hospital The First Affiliated Hospital of Nanjing Medical University  Institute of Neuroendocrine Tumor Nanjing Medical University Nanjing China.; Department of Geriatric Gastroenterology Neuroendocrine Tumor Center Jiangsu  Province Hospital The First Affiliated Hospital of Nanjing Medical University  Institute of Neuroendocrine Tumor Nanjing Medical University Nanjing China.; Department of Geriatric Gastroenterology Neuroendocrine Tumor Center Jiangsu  Province Hospital The First Affiliated Hospital of Nanjing Medical University  Institute of Neuroendocrine Tumor Nanjing Medical University Nanjing China.; Department of Geriatric Gastroenterology Neuroendocrine Tumor Center Jiangsu  Province Hospital The First Affiliated Hospital of Nanjing Medical University  Institute of Neuroendocrine Tumor Nanjing Medical University Nanjing China.; Department of Geriatric Gastroenterology Neuroendocrine Tumor Center Jiangsu  Province Hospital The First Affiliated Hospital of Nanjing Medical University  Institute of Neuroendocrine Tumor Nanjing Medical University Nanjing China.; Department of Geriatric Gastroenterology Neuroendocrine Tumor Center Jiangsu  Province Hospital The First Affiliated Hospital of Nanjing Medical University  Institute of Neuroendocrine Tumor Nanjing Medical University Nanjing China.; Department of Geriatric Gastroenterology Neuroendocrine Tumor Center Jiangsu  Province Hospital The First Affiliated Hospital of Nanjing Medical University  Institute of Neuroendocrine Tumor Nanjing Medical University Nanjing China.; Department of Geriatric Gastroenterology Neuroendocrine Tumor Center Jiangsu  Province Hospital The First Affiliated Hospital of Nanjing Medical University  Institute of Neuroendocrine Tumor Nanjing Medical University Nanjing China.; Department of Geriatric Gastroenterology Neuroendocrine Tumor Center Jiangsu  Province Hospital The First Affiliated Hospital of Nanjing Medical University  Institute of Neuroendocrine Tumor Nanjing Medical University Nanjing China.; Department of Geriatric Gastroenterology Neuroendocrine Tumor Center Jiangsu  Province Hospital The First Affiliated Hospital of Nanjing Medical University  Institute of Neuroendocrine Tumor Nanjing Medical University Nanjing China.; Department of Geriatric Gastroenterology Neuroendocrine Tumor Center Jiangsu  Province Hospital The First Affiliated Hospital of Nanjing Medical University  Institute of Neuroendocrine Tumor Nanjing Medical University Nanjing China.; Digestive Endoscopy Jiangsu Province Hospital The First Affiliated Hospital of  Nanjing Medical University Nanjing China.; Department of Gastroenterology The Friendship Hospital of Ili Kazakh Autonomous  Prefecture Ili &amp;amp; Jiangsu Joint Institute of Health Yining China.; Department of Geriatric Gastroenterology Neuroendocrine Tumor Center Jiangsu  Province Hospital The First Affiliated Hospital of Nanjing Medical University  Institute of Neuroendocrine Tumor Nanjing Medical University Nanjing China.; Department of Geriatric Gastroenterology Neuroendocrine Tumor Center Jiangsu  Province Hospital The First Affiliated Hospital of Nanjing Medical University  Institute of Neuroendocrine Tumor Nanjing Medical University Nanjing China.; Department of Geriatric Gastroenterology Neuroendocrine Tumor Center Jiangsu  Province Hospital The First Affiliated Hospital of Nanjing Medical University  Institute of Neuroendocrine Tumor Nanjing Medical University Nanjing China.&lt;/_author_adr&gt;&lt;_collection_scope&gt;SCIE&lt;/_collection_scope&gt;&lt;_created&gt;65792899&lt;/_created&gt;&lt;_date&gt;2024-09-01&lt;/_date&gt;&lt;_date_display&gt;2024 Sep&lt;/_date_display&gt;&lt;_db_updated&gt;PubMed&lt;/_db_updated&gt;&lt;_doi&gt;10.1002/ccs3.12041&lt;/_doi&gt;&lt;_impact_factor&gt;   4.100&lt;/_impact_factor&gt;&lt;_isbn&gt;1873-9601 (Print); 1873-961X (Electronic); 1873-9601 (Linking)&lt;/_isbn&gt;&lt;_issue&gt;3&lt;/_issue&gt;&lt;_journal&gt;J Cell Commun Signal&lt;/_journal&gt;&lt;_keywords&gt;CBR4; FASN; everolimus; gastroenteropancreatic neuroendocrine tumors; hypoxia; lipids metabolism&lt;/_keywords&gt;&lt;_language&gt;eng&lt;/_language&gt;&lt;_modified&gt;65843877&lt;/_modified&gt;&lt;_ori_publication&gt;(c) 2024 The Author(s). Journal of Cell Communication and Signaling published by _x000d__x000a_      John Wiley &amp;amp; Sons Ltd.&lt;/_ori_publication&gt;&lt;_pages&gt;e12041&lt;/_pages&gt;&lt;_social_category&gt;细胞生物学(4)&lt;/_social_category&gt;&lt;_tertiary_title&gt;Journal of cell communication and signaling&lt;/_tertiary_title&gt;&lt;_type_work&gt;Journal Article&lt;/_type_work&gt;&lt;_url&gt;http://www.ncbi.nlm.nih.gov/entrez/query.fcgi?cmd=Retrieve&amp;amp;db=pubmed&amp;amp;dopt=Abstract&amp;amp;list_uids=39524139&amp;amp;query_hl=1&lt;/_url&gt;&lt;_volume&gt;18&lt;/_volume&gt;&lt;_accessed&gt;65843877&lt;/_accessed&gt;&lt;/Details&gt;&lt;Extra&gt;&lt;DBUID&gt;{DE16ABCE-A785-434C-BF43-2FE58866AFDD}&lt;/DBUID&gt;&lt;/Extra&gt;&lt;/Item&gt;&lt;/References&gt;&lt;/Group&gt;&lt;Group&gt;&lt;References&gt;&lt;Item&gt;&lt;ID&gt;621&lt;/ID&gt;&lt;UID&gt;{0413A793-89E7-41C6-AA74-7B2F0F89FAD7}&lt;/UID&gt;&lt;Title&gt;Hypoxia upregulating ACSS2 enhances lipid metabolism reprogramming through HMGCS1  mediated PI3K/AKT/mTOR pathway to promote the progression of pancreatic  neuroendocrine neoplasms&lt;/Title&gt;&lt;Template&gt;Journal Article&lt;/Template&gt;&lt;Star&gt;0&lt;/Star&gt;&lt;Tag&gt;0&lt;/Tag&gt;&lt;Author&gt;Gu, D; Ye, M; Zhu, G; Bai, J; Chen, J; Yan, L; Yu, P; Lu, F; Hu, C; Zhong, Y; Liu, P; He, Q; Tang, Q&lt;/Author&gt;&lt;Year&gt;2024&lt;/Year&gt;&lt;Details&gt;&lt;_accession_num&gt;38263056&lt;/_accession_num&gt;&lt;_author_adr&gt;Department of Geriatric Gastroenterology, Institute of Neuroendocrine Tumor,  Neuroendocrine Tumor Center, Jiangsu Province Hospital, The First Affiliated  Hospital of Nanjing Medical University, Nanjing Medical University, No. 300  Guangzhou Road, Nanjing, 210029, China.; Department of Geriatric Gastroenterology, Institute of Neuroendocrine Tumor,  Neuroendocrine Tumor Center, Jiangsu Province Hospital, The First Affiliated  Hospital of Nanjing Medical University, Nanjing Medical University, No. 300  Guangzhou Road, Nanjing, 210029, China.; Department of Geriatric Gastroenterology, Institute of Neuroendocrine Tumor,  Neuroendocrine Tumor Center, Jiangsu Province Hospital, The First Affiliated  Hospital of Nanjing Medical University, Nanjing Medical University, No. 300  Guangzhou Road, Nanjing, 210029, China.; Department of Geriatric Gastroenterology, Institute of Neuroendocrine Tumor,  Neuroendocrine Tumor Center, Jiangsu Province Hospital, The First Affiliated  Hospital of Nanjing Medical University, Nanjing Medical University, No. 300  Guangzhou Road, Nanjing, 210029, China.; Department of Geriatric Gastroenterology, Institute of Neuroendocrine Tumor,  Neuroendocrine Tumor Center, Jiangsu Province Hospital, The First Affiliated  Hospital of Nanjing Medical University, Nanjing Medical University, No. 300  Guangzhou Road, Nanjing, 210029, China.; Department of Geriatric Gastroenterology, Institute of Neuroendocrine Tumor,  Neuroendocrine Tumor Center, Jiangsu Province Hospital, The First Affiliated  Hospital of Nanjing Medical University, Nanjing Medical University, No. 300  Guangzhou Road, Nanjing, 210029, China.; Department of Geriatric Gastroenterology, Institute of Neuroendocrine Tumor,  Neuroendocrine Tumor Center, Jiangsu Province Hospital, The First Affiliated  Hospital of Nanjing Medical University, Nanjing Medical University, No. 300  Guangzhou Road, Nanjing, 210029, China.; Department of Geriatric Gastroenterology, Institute of Neuroendocrine Tumor,  Neuroendocrine Tumor Center, Jiangsu Province Hospital, The First Affiliated  Hospital of Nanjing Medical University, Nanjing Medical University, No. 300  Guangzhou Road, Nanjing, 210029, China.; Department of Geriatric Gastroenterology, Institute of Neuroendocrine Tumor,  Neuroendocrine Tumor Center, Jiangsu Province Hospital, The First Affiliated  Hospital of Nanjing Medical University, Nanjing Medical University, No. 300  Guangzhou Road, Nanjing, 210029, China.; Department of Geriatric Gastroenterology, Institute of Neuroendocrine Tumor,  Neuroendocrine Tumor Center, Jiangsu Province Hospital, The First Affiliated  Hospital of Nanjing Medical University, Nanjing Medical University, No. 300  Guangzhou Road, Nanjing, 210029, China.; Department of Gastroenterology, Jiangyin People&amp;apos;s Hospital, Jiangsu, China.  pengfeimd@163.com.; Department of Gastroenterology, The Affiliated Jiangning Hospital of Nanjing  Medical University, Jiangsu, China. 496616814@qq.com.; Department of Geriatric Gastroenterology, Institute of Neuroendocrine Tumor,  Neuroendocrine Tumor Center, Jiangsu Province Hospital, The First Affiliated  Hospital of Nanjing Medical University, Nanjing Medical University, No. 300  Guangzhou Road, Nanjing, 210029, China. qytang@njmu.edu.cn.&lt;/_author_adr&gt;&lt;_collection_scope&gt;SCIE&lt;/_collection_scope&gt;&lt;_created&gt;65792900&lt;/_created&gt;&lt;_date&gt;2024-01-23&lt;/_date&gt;&lt;_date_display&gt;2024 Jan 23&lt;/_date_display&gt;&lt;_db_updated&gt;PubMed&lt;/_db_updated&gt;&lt;_doi&gt;10.1186/s12967-024-04870-z&lt;/_doi&gt;&lt;_impact_factor&gt;   7.400&lt;/_impact_factor&gt;&lt;_isbn&gt;1479-5876 (Electronic); 1479-5876 (Linking)&lt;/_isbn&gt;&lt;_issue&gt;1&lt;/_issue&gt;&lt;_journal&gt;J Transl Med&lt;/_journal&gt;&lt;_keywords&gt;ACSS2; HMGCS1; Hypoxia; Lipid metabolism reprogramming; PI3K/AKT/mTOR pathway; Pancreatic neuroendocrine neoplasms&lt;/_keywords&gt;&lt;_language&gt;eng&lt;/_language&gt;&lt;_modified&gt;65843835&lt;/_modified&gt;&lt;_ori_publication&gt;(c) 2024. The Author(s).&lt;/_ori_publication&gt;&lt;_pages&gt;93&lt;/_pages&gt;&lt;_social_category&gt;医学：研究与实验(2)&lt;/_social_category&gt;&lt;_subject_headings&gt;Humans; Animals; Mice; *Lipid Metabolism; Phosphatidylinositol 3-Kinases; Proto-Oncogene Proteins c-akt; Metabolic Reprogramming; *Pancreatic Neoplasms; TOR Serine-Threonine Kinases; Lipids; Acetate-CoA Ligase; Hydroxymethylglutaryl-CoA Synthase&lt;/_subject_headings&gt;&lt;_tertiary_title&gt;Journal of translational medicine&lt;/_tertiary_title&gt;&lt;_type_work&gt;Journal Article; Research Support, Non-U.S. Gov&amp;apos;t&lt;/_type_work&gt;&lt;_url&gt;http://www.ncbi.nlm.nih.gov/entrez/query.fcgi?cmd=Retrieve&amp;amp;db=pubmed&amp;amp;dopt=Abstract&amp;amp;list_uids=38263056&amp;amp;query_hl=1&lt;/_url&gt;&lt;_volume&gt;22&lt;/_volume&gt;&lt;_accessed&gt;65843879&lt;/_accessed&gt;&lt;/Details&gt;&lt;Extra&gt;&lt;DBUID&gt;{DE16ABCE-A785-434C-BF43-2FE58866AFDD}&lt;/DBUID&gt;&lt;/Extra&gt;&lt;/Item&gt;&lt;/References&gt;&lt;/Group&gt;&lt;/Citation&gt;_x000a_"/>
    <w:docVar w:name="NE.Ref{B9E9159D-83D3-4AFD-9DBA-0FB52A80B6A3}" w:val=" ADDIN NE.Ref.{B9E9159D-83D3-4AFD-9DBA-0FB52A80B6A3}&lt;Citation&gt;&lt;Group&gt;&lt;References&gt;&lt;Item&gt;&lt;ID&gt;667&lt;/ID&gt;&lt;UID&gt;{E516B8A7-B311-44F0-9A43-6DA53159FECA}&lt;/UID&gt;&lt;Title&gt;Efficacy and safety of surufatinib in the treatment of patients with  neuroendocrine tumor: a real-world study in Chinese population&lt;/Title&gt;&lt;Template&gt;Journal Article&lt;/Template&gt;&lt;Star&gt;0&lt;/Star&gt;&lt;Tag&gt;0&lt;/Tag&gt;&lt;Author&gt;Liu, Y; Yang, X; Wang, Y; Xie, S; Li, M; You, J; Tang, Y; Zhao, J; Weng, D&lt;/Author&gt;&lt;Year&gt;2024&lt;/Year&gt;&lt;Details&gt;&lt;_accession_num&gt;39482595&lt;/_accession_num&gt;&lt;_author_adr&gt;Department of Biotherapy, Sun Yat-sen University Cancer Center, Guangzhou, China.; State Key Laboratory of Oncology in South China, Collaborative Innovation Center  for Cancer Medicine, Guangdong Provincial Clinical Research for Cancer, Sun  Yat-sen University Cancer Center, Guangzhou, China.; Department of Biotherapy, Sun Yat-sen University Cancer Center, Guangzhou, China.; State Key Laboratory of Oncology in South China, Collaborative Innovation Center  for Cancer Medicine, Guangdong Provincial Clinical Research for Cancer, Sun  Yat-sen University Cancer Center, Guangzhou, China.; Department of Medical Oncology , The Third Affiliated Hospital of Sun Yat-sen  University , Guangzhou, China.; Department of Biotherapy, Sun Yat-sen University Cancer Center, Guangzhou, China.; State Key Laboratory of Oncology in South China, Collaborative Innovation Center  for Cancer Medicine, Guangdong Provincial Clinical Research for Cancer, Sun  Yat-sen University Cancer Center, Guangzhou, China.; Department of Biotherapy, Sun Yat-sen University Cancer Center, Guangzhou, China.; State Key Laboratory of Oncology in South China, Collaborative Innovation Center  for Cancer Medicine, Guangdong Provincial Clinical Research for Cancer, Sun  Yat-sen University Cancer Center, Guangzhou, China.; Department of Biotherapy, Sun Yat-sen University Cancer Center, Guangzhou, China.; State Key Laboratory of Oncology in South China, Collaborative Innovation Center  for Cancer Medicine, Guangdong Provincial Clinical Research for Cancer, Sun  Yat-sen University Cancer Center, Guangzhou, China.; Department of Biotherapy, Sun Yat-sen University Cancer Center, Guangzhou, China.  tangyan@sysucc.org.cn.; State Key Laboratory of Oncology in South China, Collaborative Innovation Center  for Cancer Medicine, Guangdong Provincial Clinical Research for Cancer, Sun  Yat-sen University Cancer Center, Guangzhou, China. tangyan@sysucc.org.cn.; Department of Biotherapy, Sun Yat-sen University Cancer Center, Guangzhou, China.  zhaojingj@sysucc.org.cn.; State Key Laboratory of Oncology in South China, Collaborative Innovation Center  for Cancer Medicine, Guangdong Provincial Clinical Research for Cancer, Sun  Yat-sen University Cancer Center, Guangzhou, China. zhaojingj@sysucc.org.cn.; Department of Biotherapy, Sun Yat-sen University Cancer Center, Guangzhou, China.  wengdsh@sysucc.org.cn.; State Key Laboratory of Oncology in South China, Collaborative Innovation Center  for Cancer Medicine, Guangdong Provincial Clinical Research for Cancer, Sun  Yat-sen University Cancer Center, Guangzhou, China. wengdsh@sysucc.org.cn.&lt;/_author_adr&gt;&lt;_collection_scope&gt;SCIE&lt;/_collection_scope&gt;&lt;_created&gt;65835108&lt;/_created&gt;&lt;_date&gt;2024-10-31&lt;/_date&gt;&lt;_date_display&gt;2024 Oct 31&lt;/_date_display&gt;&lt;_db_updated&gt;PubMed&lt;/_db_updated&gt;&lt;_doi&gt;10.1186/s12885-024-13089-6&lt;/_doi&gt;&lt;_impact_factor&gt;   3.800&lt;/_impact_factor&gt;&lt;_isbn&gt;1471-2407 (Electronic); 1471-2407 (Linking)&lt;/_isbn&gt;&lt;_issue&gt;1&lt;/_issue&gt;&lt;_journal&gt;BMC Cancer&lt;/_journal&gt;&lt;_keywords&gt;Efficacy; GEP-NETs; Primary tumor site; Surufatinib&lt;/_keywords&gt;&lt;_language&gt;eng&lt;/_language&gt;&lt;_modified&gt;65843874&lt;/_modified&gt;&lt;_ori_publication&gt;(c) 2024. The Author(s).&lt;/_ori_publication&gt;&lt;_pages&gt;1342&lt;/_pages&gt;&lt;_social_category&gt;肿瘤学(3)&lt;/_social_category&gt;&lt;_subject_headings&gt;Humans; *Neuroendocrine Tumors/drug therapy/pathology; Female; Male; Middle Aged; Retrospective Studies; Aged; Adult; China/epidemiology; Intestinal Neoplasms/drug therapy/pathology; Pancreatic Neoplasms/drug therapy/pathology; Treatment Outcome; Progression-Free Survival; Kaplan-Meier Estimate; East Asian People; Stomach Neoplasms&lt;/_subject_headings&gt;&lt;_tertiary_title&gt;BMC cancer&lt;/_tertiary_title&gt;&lt;_type_work&gt;Journal Article&lt;/_type_work&gt;&lt;_url&gt;http://www.ncbi.nlm.nih.gov/entrez/query.fcgi?cmd=Retrieve&amp;amp;db=pubmed&amp;amp;dopt=Abstract&amp;amp;list_uids=39482595&amp;amp;query_hl=1&lt;/_url&gt;&lt;_volume&gt;24&lt;/_volume&gt;&lt;_accessed&gt;65843874&lt;/_accessed&gt;&lt;/Details&gt;&lt;Extra&gt;&lt;DBUID&gt;{DE16ABCE-A785-434C-BF43-2FE58866AFDD}&lt;/DBUID&gt;&lt;/Extra&gt;&lt;/Item&gt;&lt;/References&gt;&lt;/Group&gt;&lt;/Citation&gt;_x000a_"/>
    <w:docVar w:name="NE.Ref{BBA762A2-033B-44B8-800E-76D8170A3C0B}" w:val=" ADDIN NE.Ref.{BBA762A2-033B-44B8-800E-76D8170A3C0B}&lt;Citation&gt;&lt;Group&gt;&lt;References&gt;&lt;Item&gt;&lt;ID&gt;715&lt;/ID&gt;&lt;UID&gt;{6B4D7032-5F0F-4AB6-95AE-574092B11134}&lt;/UID&gt;&lt;Title&gt;Neuroendocrine Neoplasms&lt;/Title&gt;&lt;Template&gt;Journal Article&lt;/Template&gt;&lt;Star&gt;0&lt;/Star&gt;&lt;Tag&gt;0&lt;/Tag&gt;&lt;Author&gt;Kamboj, S; Guerra-Bauman, F; Mahmud, H; Waheed, A&lt;/Author&gt;&lt;Year&gt;2024&lt;/Year&gt;&lt;Details&gt;&lt;_accession_num&gt;39067978&lt;/_accession_num&gt;&lt;_author_adr&gt;Department of Family Medicine, WellSpan Good Samaritan Hospital Family Medicine  Residency Program, PO Box 1520, Lebanon, PA 17042, USA.; Department of Family Medicine, WellSpan Good Samaritan Hospital Family Medicine  Residency Program, PO Box 1520, Lebanon, PA 17042, USA.; Department of Medicine, Endocrinology Fellowship, University of Pittsburgh  Medical College, UPMC Center for Endocrinology &amp;amp; Metabolism, 3601 5th Avenue,  Falk Suite 3B, Pittsburgh, PA 15213, USA.; Department of Family Medicine, Dignity Health Medical Group/Creighton University  SOM, Suite 2021, Gilbert, AZ 85297, USA. Electronic address:  Abdul.waheed@commonspirit.org.&lt;/_author_adr&gt;&lt;_date_display&gt;2024 Sep&lt;/_date_display&gt;&lt;_date&gt;2024-09-01&lt;/_date&gt;&lt;_doi&gt;10.1016/j.pop.2024.04.010&lt;/_doi&gt;&lt;_isbn&gt;1558-299X (Electronic); 0095-4543 (Linking)&lt;/_isbn&gt;&lt;_issue&gt;3&lt;/_issue&gt;&lt;_journal&gt;Prim Care&lt;/_journal&gt;&lt;_keywords&gt;Adrenal tumors; Carcinoid; Gastropancreatic; Incidentaloma; Merkel cell tumor; Neuroendocrine neoplasms (NENs); Neuroendocrine tumors (NETs); Pheochromocytoma&lt;/_keywords&gt;&lt;_language&gt;eng&lt;/_language&gt;&lt;_ori_publication&gt;Copyright (c) 2024 Elsevier Inc. All rights reserved.&lt;/_ori_publication&gt;&lt;_pages&gt;549-560&lt;/_pages&gt;&lt;_subject_headings&gt;Humans; *Neuroendocrine Tumors/diagnosis/therapy; Pancreatic Neoplasms/diagnosis/therapy; Primary Health Care; Intestinal Neoplasms/diagnosis/therapy; Adrenal Gland Neoplasms/diagnosis/therapy&lt;/_subject_headings&gt;&lt;_tertiary_title&gt;Primary care&lt;/_tertiary_title&gt;&lt;_type_work&gt;Journal Article; Review&lt;/_type_work&gt;&lt;_url&gt;http://www.ncbi.nlm.nih.gov/entrez/query.fcgi?cmd=Retrieve&amp;amp;db=pubmed&amp;amp;dopt=Abstract&amp;amp;list_uids=39067978&amp;amp;query_hl=1&lt;/_url&gt;&lt;_volume&gt;51&lt;/_volume&gt;&lt;_created&gt;65843894&lt;/_created&gt;&lt;_modified&gt;65843898&lt;/_modified&gt;&lt;_db_updated&gt;PubMed&lt;/_db_updated&gt;&lt;_impact_factor&gt;   1.900&lt;/_impact_factor&gt;&lt;_social_category&gt;医学：内科(4) &amp;amp; 初级卫生保健(4)&lt;/_social_category&gt;&lt;_collection_scope&gt;SCIE&lt;/_collection_scope&gt;&lt;/Details&gt;&lt;Extra&gt;&lt;DBUID&gt;{DE16ABCE-A785-434C-BF43-2FE58866AFDD}&lt;/DBUID&gt;&lt;/Extra&gt;&lt;/Item&gt;&lt;/References&gt;&lt;/Group&gt;&lt;/Citation&gt;_x000a_"/>
    <w:docVar w:name="NE.Ref{BE7E712B-C720-470F-B783-57FBC835D5FA}" w:val=" ADDIN NE.Ref.{BE7E712B-C720-470F-B783-57FBC835D5FA}&lt;Citation&gt;&lt;Group&gt;&lt;References&gt;&lt;Item&gt;&lt;ID&gt;612&lt;/ID&gt;&lt;UID&gt;{6F9C6098-B9C9-48B2-A9DB-51D6F0898FF4}&lt;/UID&gt;&lt;Title&gt;Progression of Low-Grade Neuroendocrine Tumors (NET) to High-Grade Neoplasms  Harboring the NEC-Like Co-alteration of RB1 and TP53&lt;/Title&gt;&lt;Template&gt;Journal Article&lt;/Template&gt;&lt;Star&gt;0&lt;/Star&gt;&lt;Tag&gt;0&lt;/Tag&gt;&lt;Author&gt;Joseph, N M; Umetsu, S E; Kim, G E; Terry, M; Perry, A; Bergsland, E; Kakar, S&lt;/Author&gt;&lt;Year&gt;2024&lt;/Year&gt;&lt;Details&gt;&lt;_accession_num&gt;39556303&lt;/_accession_num&gt;&lt;_author_adr&gt;Department of Pathology, University of California San Francisco (UCSF), 505  Parnassus Avenue, Room M-559, San Francisco, CA, 94143, USA.  Nancy.Joseph@ucsf.edu.; Department of Pathology, University of California San Francisco (UCSF), 505  Parnassus Avenue, Room M-559, San Francisco, CA, 94143, USA.; Department of Pathology, University of California San Francisco (UCSF), 505  Parnassus Avenue, Room M-559, San Francisco, CA, 94143, USA.; Department of Pathology, University of California San Francisco (UCSF), 505  Parnassus Avenue, Room M-559, San Francisco, CA, 94143, USA.; Department of Pathology, University of California San Francisco (UCSF), 505  Parnassus Avenue, Room M-559, San Francisco, CA, 94143, USA.; Department of Medicine, Division of Hematology/Oncology, University of  California, San Francisco, CA, USA.; Department of Pathology, University of California San Francisco (UCSF), 505  Parnassus Avenue, Room M-559, San Francisco, CA, 94143, USA.&lt;/_author_adr&gt;&lt;_collection_scope&gt;SCIE&lt;/_collection_scope&gt;&lt;_created&gt;65792890&lt;/_created&gt;&lt;_date&gt;2024-12-01&lt;/_date&gt;&lt;_date_display&gt;2024 Dec&lt;/_date_display&gt;&lt;_db_updated&gt;PubMed&lt;/_db_updated&gt;&lt;_doi&gt;10.1007/s12022-024-09835-y&lt;/_doi&gt;&lt;_impact_factor&gt;   4.400&lt;/_impact_factor&gt;&lt;_isbn&gt;1559-0097 (Electronic); 1046-3976 (Print); 1046-3976 (Linking)&lt;/_isbn&gt;&lt;_issue&gt;4&lt;/_issue&gt;&lt;_journal&gt;Endocr Pathol&lt;/_journal&gt;&lt;_keywords&gt;Genetics; High-grade neuroendocrine neoplasm; NEC; NET; Neuroendocrine carcinoma; Neuroendocrine tumor; Progression; Rb; p53&lt;/_keywords&gt;&lt;_language&gt;eng&lt;/_language&gt;&lt;_modified&gt;65843883&lt;/_modified&gt;&lt;_ori_publication&gt;(c) 2024. The Author(s).&lt;/_ori_publication&gt;&lt;_pages&gt;325-337&lt;/_pages&gt;&lt;_social_category&gt;内分泌学与代谢(2) &amp;amp; 病理学(1)&lt;/_social_category&gt;&lt;_subject_headings&gt;Humans; *Neuroendocrine Tumors/pathology/genetics; *Tumor Suppressor Protein p53/genetics; Male; *Disease Progression; Female; Middle Aged; *Retinoblastoma Binding Proteins/genetics; *Ubiquitin-Protein Ligases/genetics; Aged; Carcinoma, Neuroendocrine/pathology/genetics; Adult; Neoplasm Grading; Pancreatic Neoplasms/pathology/genetics&lt;/_subject_headings&gt;&lt;_tertiary_title&gt;Endocrine pathology&lt;/_tertiary_title&gt;&lt;_type_work&gt;Journal Article&lt;/_type_work&gt;&lt;_url&gt;http://www.ncbi.nlm.nih.gov/entrez/query.fcgi?cmd=Retrieve&amp;amp;db=pubmed&amp;amp;dopt=Abstract&amp;amp;list_uids=39556303&amp;amp;query_hl=1&lt;/_url&gt;&lt;_volume&gt;35&lt;/_volume&gt;&lt;_accessed&gt;65843883&lt;/_accessed&gt;&lt;/Details&gt;&lt;Extra&gt;&lt;DBUID&gt;{DE16ABCE-A785-434C-BF43-2FE58866AFDD}&lt;/DBUID&gt;&lt;/Extra&gt;&lt;/Item&gt;&lt;/References&gt;&lt;/Group&gt;&lt;Group&gt;&lt;References&gt;&lt;Item&gt;&lt;ID&gt;610&lt;/ID&gt;&lt;UID&gt;{3D9F8321-F3C0-4153-9C7D-B80F7E94AF11}&lt;/UID&gt;&lt;Title&gt;Temporal increase in Ki-67 index in patients with pancreatic neuroendocrine  tumours&lt;/Title&gt;&lt;Template&gt;Journal Article&lt;/Template&gt;&lt;Star&gt;0&lt;/Star&gt;&lt;Tag&gt;0&lt;/Tag&gt;&lt;Author&gt;Bourdeleau, P; Pokossy-Epee, J; Hentic, O; Tihy, M; Awan, Z A; Couvelard, A; Ronot, M; Rebours, V; Ruszniewski, P; Cros, J; de Mestier, L&lt;/Author&gt;&lt;Year&gt;2025&lt;/Year&gt;&lt;Details&gt;&lt;_accession_num&gt;39804242&lt;/_accession_num&gt;&lt;_collection_scope&gt;SCIE&lt;/_collection_scope&gt;&lt;_created&gt;65792888&lt;/_created&gt;&lt;_date&gt;2025-03-01&lt;/_date&gt;&lt;_date_display&gt;2025 Mar 1&lt;/_date_display&gt;&lt;_db_updated&gt;PubMed&lt;/_db_updated&gt;&lt;_doi&gt;10.1530/ERC-24-0321&lt;/_doi&gt;&lt;_impact_factor&gt;   3.900&lt;/_impact_factor&gt;&lt;_isbn&gt;1479-6821 (Electronic); 1351-0088 (Linking)&lt;/_isbn&gt;&lt;_issue&gt;3&lt;/_issue&gt;&lt;_journal&gt;Endocr Relat Cancer&lt;/_journal&gt;&lt;_keywords&gt;Ki-67 index; evolution; intra-tumour heterogeneity; metastases; pancreatic neuroendocrine tumours&lt;/_keywords&gt;&lt;_language&gt;eng&lt;/_language&gt;&lt;_modified&gt;65843867&lt;/_modified&gt;&lt;_social_category&gt;内分泌学与代谢(3) &amp;amp; 肿瘤学(3)&lt;/_social_category&gt;&lt;_subject_headings&gt;Humans; *Pancreatic Neoplasms/metabolism/pathology/mortality/drug therapy; *Ki-67 Antigen/metabolism; *Neuroendocrine Tumors/metabolism/pathology/drug therapy/mortality; Female; Male; Middle Aged; Aged; Retrospective Studies; Biomarkers, Tumor/metabolism; Adult; Prognosis; Trans-Activators/metabolism; X-linked Nuclear Protein/metabolism/genetics; Proto-Oncogene Proteins; Transcription Factors; Homeodomain Proteins&lt;/_subject_headings&gt;&lt;_tertiary_title&gt;Endocrine-related cancer&lt;/_tertiary_title&gt;&lt;_type_work&gt;Journal Article&lt;/_type_work&gt;&lt;_url&gt;http://www.ncbi.nlm.nih.gov/entrez/query.fcgi?cmd=Retrieve&amp;amp;db=pubmed&amp;amp;dopt=Abstract&amp;amp;list_uids=39804242&amp;amp;query_hl=1&lt;/_url&gt;&lt;_volume&gt;32&lt;/_volume&gt;&lt;_accessed&gt;65843867&lt;/_accessed&gt;&lt;/Details&gt;&lt;Extra&gt;&lt;DBUID&gt;{DE16ABCE-A785-434C-BF43-2FE58866AFDD}&lt;/DBUID&gt;&lt;/Extra&gt;&lt;/Item&gt;&lt;/References&gt;&lt;/Group&gt;&lt;/Citation&gt;_x000a_"/>
    <w:docVar w:name="NE.Ref{C83EC62B-EC8E-48A8-A657-B0186A06711B}" w:val=" ADDIN NE.Ref.{C83EC62B-EC8E-48A8-A657-B0186A06711B}&lt;Citation&gt;&lt;Group&gt;&lt;References&gt;&lt;Item&gt;&lt;ID&gt;660&lt;/ID&gt;&lt;UID&gt;{C2B1F592-D896-47A7-A5F0-CE2A3FF012EF}&lt;/UID&gt;&lt;Title&gt;Immunohistochemical expression of ephrin receptors in neuroendocrine neoplasms: a  case-series of gastroenteropancreatic neuroendocrine neoplasms and a systematic  review of the literature&lt;/Title&gt;&lt;Template&gt;Journal Article&lt;/Template&gt;&lt;Star&gt;0&lt;/Star&gt;&lt;Tag&gt;0&lt;/Tag&gt;&lt;Author&gt;Alexandraki, K I; Papadimitriou, E; Spyroglou, A; Karapanagioti, A; Antonopoulou, I; Theohari, I; Violetis, O; Sotiropoulos, G C; Theocharis, S; Kaltsas, G A&lt;/Author&gt;&lt;Year&gt;2025&lt;/Year&gt;&lt;Details&gt;&lt;_accession_num&gt;39425842&lt;/_accession_num&gt;&lt;_author_adr&gt;Second Department of Surgery, Aretaieio Hospital, Medical School, National and  Kapodistrian University of Athens, Athens, Greece. alexandrakik@gmail.com.; Endocrine Unit, First Department of Propaedeutic Medicine, Laiko University  Hospital, Medical School, National and Kapodistrian University of Athens, Athens,  Greece.; Second Department of Surgery, Aretaieio Hospital, Medical School, National and  Kapodistrian University of Athens, Athens, Greece.; Endocrine Unit, First Department of Propaedeutic Medicine, Laiko University  Hospital, Medical School, National and Kapodistrian University of Athens, Athens,  Greece.; Endocrine Unit, First Department of Propaedeutic Medicine, Laiko University  Hospital, Medical School, National and Kapodistrian University of Athens, Athens,  Greece.; First Department of Pathology, Medical School, National and Kapodistrian  University of Athens, Athens, Greece.; Second Department of Surgery, Aretaieio Hospital, Medical School, National and  Kapodistrian University of Athens, Athens, Greece.; Second Department of Propaedeutic Surgery, National and Kapodistrian University  of Athens, Athens, Greece.; First Department of Pathology, Medical School, National and Kapodistrian  University of Athens, Athens, Greece.; Endocrine Unit, First Department of Propaedeutic Medicine, Laiko University  Hospital, Medical School, National and Kapodistrian University of Athens, Athens,  Greece.&lt;/_author_adr&gt;&lt;_collection_scope&gt;SCIE&lt;/_collection_scope&gt;&lt;_created&gt;65835088&lt;/_created&gt;&lt;_date&gt;2025-03-01&lt;/_date&gt;&lt;_date_display&gt;2025 Mar&lt;/_date_display&gt;&lt;_db_updated&gt;PubMed&lt;/_db_updated&gt;&lt;_doi&gt;10.1007/s12020-024-04079-6&lt;/_doi&gt;&lt;_impact_factor&gt;   3.700&lt;/_impact_factor&gt;&lt;_isbn&gt;1559-0100 (Electronic); 1355-008X (Linking)&lt;/_isbn&gt;&lt;_issue&gt;3&lt;/_issue&gt;&lt;_journal&gt;Endocrine&lt;/_journal&gt;&lt;_keywords&gt;EPH-A1; EPH-A2; EPH-A4; EPH-A5; Ephrin receptor; Neuroendocrine tumors; PD-L1&lt;/_keywords&gt;&lt;_language&gt;eng&lt;/_language&gt;&lt;_modified&gt;65843862&lt;/_modified&gt;&lt;_ori_publication&gt;(c) 2024. The Author(s), under exclusive licence to Springer Science+Business _x000d__x000a_      Media, LLC, part of Springer Nature.&lt;/_ori_publication&gt;&lt;_pages&gt;1323-1332&lt;/_pages&gt;&lt;_social_category&gt;内分泌学与代谢(3)&lt;/_social_category&gt;&lt;_subject_headings&gt;Humans; *Neuroendocrine Tumors/metabolism/pathology; *Pancreatic Neoplasms/metabolism/pathology; *Intestinal Neoplasms/metabolism/pathology; Male; Female; *Immunohistochemistry; Middle Aged; *Receptors, Eph Family/metabolism; Stomach Neoplasms/metabolism/pathology; Aged; Adult; Lung Neoplasms/metabolism/pathology&lt;/_subject_headings&gt;&lt;_tertiary_title&gt;Endocrine&lt;/_tertiary_title&gt;&lt;_type_work&gt;Journal Article; Systematic Review&lt;/_type_work&gt;&lt;_url&gt;http://www.ncbi.nlm.nih.gov/entrez/query.fcgi?cmd=Retrieve&amp;amp;db=pubmed&amp;amp;dopt=Abstract&amp;amp;list_uids=39425842&amp;amp;query_hl=1&lt;/_url&gt;&lt;_volume&gt;87&lt;/_volume&gt;&lt;_accessed&gt;65843924&lt;/_accessed&gt;&lt;/Details&gt;&lt;Extra&gt;&lt;DBUID&gt;{DE16ABCE-A785-434C-BF43-2FE58866AFDD}&lt;/DBUID&gt;&lt;/Extra&gt;&lt;/Item&gt;&lt;/References&gt;&lt;/Group&gt;&lt;Group&gt;&lt;References&gt;&lt;Item&gt;&lt;ID&gt;544&lt;/ID&gt;&lt;UID&gt;{1FEC01E6-5E56-40E8-808E-AA8C19EA6DE4}&lt;/UID&gt;&lt;Title&gt;Hypoxia exosome derived CEACAM5 promotes tumor-associated macrophages M2  polarization to accelerate pancreatic neuroendocrine tumors metastasis via MMP9&lt;/Title&gt;&lt;Template&gt;Journal Article&lt;/Template&gt;&lt;Star&gt;0&lt;/Star&gt;&lt;Tag&gt;0&lt;/Tag&gt;&lt;Author&gt;Ye, M; Lu, F; Gu, D; Xue, B; Xu, L; Hu, C; Chen, J; Yu, P; Zheng, H; Gao, Y; Wang, J; Tang, Q&lt;/Author&gt;&lt;Year&gt;2024&lt;/Year&gt;&lt;Details&gt;&lt;_accession_num&gt;38923643&lt;/_accession_num&gt;&lt;_author_adr&gt;Department of Geriatric Gastroenterology, Neuroendocrine Tumor Center, Jiangsu  Province Hospital, The First Affiliated Hospital of Nanjing Medical University,  Institute of Neuroendocrine Tumor, Nanjing Medical University, Nanjing, China.; Department of Geriatric Gastroenterology, Neuroendocrine Tumor Center, Jiangsu  Province Hospital, The First Affiliated Hospital of Nanjing Medical University,  Institute of Neuroendocrine Tumor, Nanjing Medical University, Nanjing, China.; Department of Geriatric Gastroenterology, Neuroendocrine Tumor Center, Jiangsu  Province Hospital, The First Affiliated Hospital of Nanjing Medical University,  Institute of Neuroendocrine Tumor, Nanjing Medical University, Nanjing, China.; Department of Geriatric Gastroenterology, Neuroendocrine Tumor Center, Jiangsu  Province Hospital, The First Affiliated Hospital of Nanjing Medical University,  Institute of Neuroendocrine Tumor, Nanjing Medical University, Nanjing, China.; Department of Geriatric Gastroenterology, Neuroendocrine Tumor Center, Jiangsu  Province Hospital, The First Affiliated Hospital of Nanjing Medical University,  Institute of Neuroendocrine Tumor, Nanjing Medical University, Nanjing, China.; Department of Geriatric Gastroenterology, Neuroendocrine Tumor Center, Jiangsu  Province Hospital, The First Affiliated Hospital of Nanjing Medical University,  Institute of Neuroendocrine Tumor, Nanjing Medical University, Nanjing, China.; Department of Geriatric Gastroenterology, Neuroendocrine Tumor Center, Jiangsu  Province Hospital, The First Affiliated Hospital of Nanjing Medical University,  Institute of Neuroendocrine Tumor, Nanjing Medical University, Nanjing, China.; Department of Geriatric Gastroenterology, Neuroendocrine Tumor Center, Jiangsu  Province Hospital, The First Affiliated Hospital of Nanjing Medical University,  Institute of Neuroendocrine Tumor, Nanjing Medical University, Nanjing, China.; Department of Geriatric Gastroenterology, Neuroendocrine Tumor Center, Jiangsu  Province Hospital, The First Affiliated Hospital of Nanjing Medical University,  Institute of Neuroendocrine Tumor, Nanjing Medical University, Nanjing, China.; Department of Geriatric Gastroenterology, Neuroendocrine Tumor Center, Jiangsu  Province Hospital, The First Affiliated Hospital of Nanjing Medical University,  Institute of Neuroendocrine Tumor, Nanjing Medical University, Nanjing, China.; Department of Gastroenterology, Yancheng No.1 People&amp;apos;s Hospital, Affiliated  Hospital of Medical School, Nanjing University, Yancheng, China.; Department of Geriatric Gastroenterology, Neuroendocrine Tumor Center, Jiangsu  Province Hospital, The First Affiliated Hospital of Nanjing Medical University,  Institute of Neuroendocrine Tumor, Nanjing Medical University, Nanjing, China.&lt;/_author_adr&gt;&lt;_collection_scope&gt;SCIE&lt;/_collection_scope&gt;&lt;_created&gt;65709242&lt;/_created&gt;&lt;_date&gt;2024-07-15&lt;/_date&gt;&lt;_date_display&gt;2024 Jul 15&lt;/_date_display&gt;&lt;_db_updated&gt;PubMed&lt;/_db_updated&gt;&lt;_doi&gt;10.1096/fj.202302489RRR&lt;/_doi&gt;&lt;_impact_factor&gt;   4.800&lt;/_impact_factor&gt;&lt;_isbn&gt;1530-6860 (Electronic); 0892-6638 (Linking)&lt;/_isbn&gt;&lt;_issue&gt;13&lt;/_issue&gt;&lt;_journal&gt;FASEB J&lt;/_journal&gt;&lt;_keywords&gt;CEACAM5; exosome; hypoxia; metastasis; pancreatic neuroendocrine neoplasm&lt;/_keywords&gt;&lt;_language&gt;eng&lt;/_language&gt;&lt;_modified&gt;65843878&lt;/_modified&gt;&lt;_ori_publication&gt;(c) 2024 Federation of American Societies for Experimental Biology.&lt;/_ori_publication&gt;&lt;_pages&gt;e23762&lt;/_pages&gt;&lt;_social_category&gt;生化与分子生物学(2) &amp;amp; 生物学(2) &amp;amp; 细胞生物学(3)&lt;/_social_category&gt;&lt;_subject_headings&gt;Animals; Humans; Mice; Antigens, CD/metabolism; Carcinoembryonic Antigen; Cell Adhesion Molecules/metabolism; Cell Hypoxia/physiology; Cell Line, Tumor; Cell Movement; *Exosomes/metabolism; *GPI-Linked Proteins/metabolism; Hypoxia/metabolism; *Matrix Metalloproteinase 9/metabolism; Mice, Nude; Neoplasm Metastasis; *Neuroendocrine Tumors/metabolism/pathology; *Pancreatic Neoplasms/metabolism/pathology; *Tumor Microenvironment; *Tumor-Associated Macrophages/metabolism/pathology&lt;/_subject_headings&gt;&lt;_tertiary_title&gt;FASEB journal : official publication of the Federation of American Societies for _x000d__x000a_      Experimental Biology&lt;/_tertiary_title&gt;&lt;_type_work&gt;Journal Article&lt;/_type_work&gt;&lt;_url&gt;http://www.ncbi.nlm.nih.gov/entrez/query.fcgi?cmd=Retrieve&amp;amp;db=pubmed&amp;amp;dopt=Abstract&amp;amp;list_uids=38923643&amp;amp;query_hl=1&lt;/_url&gt;&lt;_volume&gt;38&lt;/_volume&gt;&lt;_accessed&gt;65843925&lt;/_accessed&gt;&lt;/Details&gt;&lt;Extra&gt;&lt;DBUID&gt;{DE16ABCE-A785-434C-BF43-2FE58866AFDD}&lt;/DBUID&gt;&lt;/Extra&gt;&lt;/Item&gt;&lt;/References&gt;&lt;/Group&gt;&lt;Group&gt;&lt;References&gt;&lt;Item&gt;&lt;ID&gt;546&lt;/ID&gt;&lt;UID&gt;{528D9513-77FD-4537-9C25-2C14B38C69D7}&lt;/UID&gt;&lt;Title&gt;Single-cell sequencing reveals the heterogeneity of pancreatic neuroendocrine  tumors under genomic instability and histological grading&lt;/Title&gt;&lt;Template&gt;Journal Article&lt;/Template&gt;&lt;Star&gt;0&lt;/Star&gt;&lt;Tag&gt;0&lt;/Tag&gt;&lt;Author&gt;Ye, Z; Zhou, Y; Hu, Y; Li, Q; Xu, Z; Lou, X; Zhang, W; Zhu, D; Xie, C; Zhou, Q; Gao, J; Zhou, H; Yang, D; Qin, Y; Xu, X; Chen, J; Ji, S; Wang, M W; Yu, X&lt;/Author&gt;&lt;Year&gt;2024&lt;/Year&gt;&lt;Details&gt;&lt;_accession_num&gt;39310774&lt;/_accession_num&gt;&lt;_author_adr&gt;Department of Pancreatic Surgery, Fudan University Shanghai Cancer Center,  Shanghai 200032, China.; Center for Neuroendocrine Tumors, Fudan University Shanghai Cancer Center,  Shanghai 200032, China.; Department of Oncology, Shanghai Medical College, Fudan University, Shanghai  200032, China.; Shanghai Pancreatic Cancer Institute, Shanghai 200032, China.; Pancreatic Cancer Institute, Fudan University, Shanghai 200032, China.; The National Center for Drug Screening, Shanghai Institute of Materia Medica,  Chinese Academy of Sciences, Shanghai 201203, China.; Department of Hepatobiliary and Pancreatic Surgery, Tenth People&amp;apos;s Hospital of  Tongji University, School of Medicine, Tongji University, Shanghai, China.; Department of General, Visceral, and Transplant Surgery,  Ludwig-Maximilians-University Munich, Marchioninistr. 15 81377 Munich, Germany.; General Surgery Department, Qingpu Branch of Zhongshan Hospital, Shanghai 200032,  China.; Department of Pancreatic Surgery, Fudan University Shanghai Cancer Center,  Shanghai 200032, China.; Center for Neuroendocrine Tumors, Fudan University Shanghai Cancer Center,  Shanghai 200032, China.; Department of Oncology, Shanghai Medical College, Fudan University, Shanghai  200032, China.; Shanghai Pancreatic Cancer Institute, Shanghai 200032, China.; Pancreatic Cancer Institute, Fudan University, Shanghai 200032, China.; Department of Pancreatic Surgery, Fudan University Shanghai Cancer Center,  Shanghai 200032, China.; Center for Neuroendocrine Tumors, Fudan University Shanghai Cancer Center,  Shanghai 200032, China.; Department of Oncology, Shanghai Medical College, Fudan University, Shanghai  200032, China.; Shanghai Pancreatic Cancer Institute, Shanghai 200032, China.; Pancreatic Cancer Institute, Fudan University, Shanghai 200032, China.; Department of Pharmacology, School of Basic Medical Sciences, Fudan University,  Shanghai 200032, China.; School of Pharmacy, Fudan University, Shanghai 201203, China.; Department of Pharmacology, School of Basic Medical Sciences, Fudan University,  Shanghai 200032, China.; Research Center for Deepsea Bioresources, Sanya, Hainan 572025, China.; The CAS Key Laboratory of Receptor Research, Shanghai Institute of Materia  Medica, Chinese Academy of Sciences, Shanghai 201203, China.; The CAS Key Laboratory of Receptor Research, Shanghai Institute of Materia  Medica, Chinese Academy of Sciences, Shanghai 201203, China.; The National Center for Drug Screening, Shanghai Institute of Materia Medica,  Chinese Academy of Sciences, Shanghai 201203, China.; Research Center for Deepsea Bioresources, Sanya, Hainan 572025, China.; Department of Pancreatic Surgery, Fudan University Shanghai Cancer Center,  Shanghai 200032, China.; Center for Neuroendocrine Tumors, Fudan University Shanghai Cancer Center,  Shanghai 200032, China.; Department of Oncology, Shanghai Medical College, Fudan University, Shanghai  200032, China.; Shanghai Pancreatic Cancer Institute, Shanghai 200032, China.; Pancreatic Cancer Institute, Fudan University, Shanghai 200032, China.; Department of Pancreatic Surgery, Fudan University Shanghai Cancer Center,  Shanghai 200032, China.; Center for Neuroendocrine Tumors, Fudan University Shanghai Cancer Center,  Shanghai 200032, China.; Department of Oncology, Shanghai Medical College, Fudan University, Shanghai  200032, China.; Shanghai Pancreatic Cancer Institute, Shanghai 200032, China.; Pancreatic Cancer Institute, Fudan University, Shanghai 200032, China.; Center for Neuroendocrine Tumors, Fudan University Shanghai Cancer Center,  Shanghai 200032, China.; Department of Pancreatic Surgery, Fudan University Shanghai Cancer Center,  Shanghai 200032, China.; Center for Neuroendocrine Tumors, Fudan University Shanghai Cancer Center,  Shanghai 200032, China.; Department of Oncology, Shanghai Medical College, Fudan University, Shanghai  200032, China.; Shanghai Pancreatic Cancer Institute, Shanghai 200032, China.; Pancreatic Cancer Institute, Fudan University, Shanghai 200032, China.; Department of Pharmacology, School of Basic Medical Sciences, Fudan University,  Shanghai 200032, China.; Research Center for Deepsea Bioresources, Sanya, Hainan 572025, China.; Department of Chemistry, School of Science, The University of Tokyo, Tokyo  113-0033, Japan.; Department of Pancreatic Surgery, Fudan University Shanghai Cancer Center,  Shanghai 200032, China.; Center for Neuroendocrine Tumors, Fudan University Shanghai Cancer Center,  Shanghai 200032, China.; Department of Oncology, Shanghai Medical College, Fudan University, Shanghai  200032, China.; Shanghai Pancreatic Cancer Institute, Shanghai 200032, China.; Pancreatic Cancer Institute, Fudan University, Shanghai 200032, China.&lt;/_author_adr&gt;&lt;_collection_scope&gt;SCIE&lt;/_collection_scope&gt;&lt;_created&gt;65709253&lt;/_created&gt;&lt;_date&gt;2024-09-20&lt;/_date&gt;&lt;_date_display&gt;2024 Sep 20&lt;/_date_display&gt;&lt;_db_updated&gt;PubMed&lt;/_db_updated&gt;&lt;_doi&gt;10.1016/j.isci.2024.110836&lt;/_doi&gt;&lt;_impact_factor&gt;   5.800&lt;/_impact_factor&gt;&lt;_isbn&gt;2589-0042 (Electronic); 2589-0042 (Linking)&lt;/_isbn&gt;&lt;_issue&gt;9&lt;/_issue&gt;&lt;_journal&gt;iScience&lt;/_journal&gt;&lt;_keywords&gt;Cancer; Microenvironment; Omics; Transcriptomics&lt;/_keywords&gt;&lt;_language&gt;eng&lt;/_language&gt;&lt;_modified&gt;65843884&lt;/_modified&gt;&lt;_ori_publication&gt;(c) 2024 The Author(s).&lt;/_ori_publication&gt;&lt;_pages&gt;110836&lt;/_pages&gt;&lt;_social_category&gt;综合性期刊(2)&lt;/_social_category&gt;&lt;_tertiary_title&gt;iScience&lt;/_tertiary_title&gt;&lt;_type_work&gt;Journal Article&lt;/_type_work&gt;&lt;_url&gt;http://www.ncbi.nlm.nih.gov/entrez/query.fcgi?cmd=Retrieve&amp;amp;db=pubmed&amp;amp;dopt=Abstract&amp;amp;list_uids=39310774&amp;amp;query_hl=1&lt;/_url&gt;&lt;_volume&gt;27&lt;/_volume&gt;&lt;_accessed&gt;65843925&lt;/_accessed&gt;&lt;/Details&gt;&lt;Extra&gt;&lt;DBUID&gt;{DE16ABCE-A785-434C-BF43-2FE58866AFDD}&lt;/DBUID&gt;&lt;/Extra&gt;&lt;/Item&gt;&lt;/References&gt;&lt;/Group&gt;&lt;Group&gt;&lt;References&gt;&lt;Item&gt;&lt;ID&gt;547&lt;/ID&gt;&lt;UID&gt;{D434B2A9-2453-465F-8719-1BEF23391C2D}&lt;/UID&gt;&lt;Title&gt;MEN1 Deficiency-Driven Activation of the beta-Catenin-MGMT Axis Promotes Pancreatic  Neuroendocrine Tumor Growth and Confers Temozolomide Resistance&lt;/Title&gt;&lt;Template&gt;Journal Article&lt;/Template&gt;&lt;Star&gt;0&lt;/Star&gt;&lt;Tag&gt;0&lt;/Tag&gt;&lt;Author&gt;Xu, J; Lou, X; Wang, F; Zhang, W; Xu, X; Ye, Z; Zhuo, Q; Wang, Y; Jing, D; Fan, G; Chen, X; Zhang, Y; Zhou, C; Chen, J; Qin, Y; Yu, X; Ji, S&lt;/Author&gt;&lt;Year&gt;2024&lt;/Year&gt;&lt;Details&gt;&lt;_accession_num&gt;39041891&lt;/_accession_num&gt;&lt;_author_adr&gt;Center for Neuroendocrine Tumors, Fudan University Shanghai Cancer Center,  Shanghai, 200032, China.; Department of Pancreatic Surgery, Fudan University Shanghai Cancer Center,  Shanghai, 200032, China.; Department of Oncology, Shanghai Medical College, Fudan University, Shanghai,  200032, China.; Shanghai Pancreatic Cancer Institute, Shanghai, 200032, China.; Pancreatic Cancer Institute, Fudan University, Shanghai, 200032, China.; Center for Neuroendocrine Tumors, Fudan University Shanghai Cancer Center,  Shanghai, 200032, China.; Department of Pancreatic Surgery, Fudan University Shanghai Cancer Center,  Shanghai, 200032, China.; Department of Oncology, Shanghai Medical College, Fudan University, Shanghai,  200032, China.; Shanghai Pancreatic Cancer Institute, Shanghai, 200032, China.; Pancreatic Cancer Institute, Fudan University, Shanghai, 200032, China.; Center for Neuroendocrine Tumors, Fudan University Shanghai Cancer Center,  Shanghai, 200032, China.; Department of Pancreatic Surgery, Fudan University Shanghai Cancer Center,  Shanghai, 200032, China.; Department of Oncology, Shanghai Medical College, Fudan University, Shanghai,  200032, China.; Shanghai Pancreatic Cancer Institute, Shanghai, 200032, China.; Pancreatic Cancer Institute, Fudan University, Shanghai, 200032, China.; Center for Neuroendocrine Tumors, Fudan University Shanghai Cancer Center,  Shanghai, 200032, China.; Department of Pancreatic Surgery, Fudan University Shanghai Cancer Center,  Shanghai, 200032, China.; Department of Oncology, Shanghai Medical College, Fudan University, Shanghai,  200032, China.; Shanghai Pancreatic Cancer Institute, Shanghai, 200032, China.; Pancreatic Cancer Institute, Fudan University, Shanghai, 200032, China.; Center for Neuroendocrine Tumors, Fudan University Shanghai Cancer Center,  Shanghai, 200032, China.; Department of Pancreatic Surgery, Fudan University Shanghai Cancer Center,  Shanghai, 200032, China.; Department of Oncology, Shanghai Medical College, Fudan University, Shanghai,  200032, China.; Shanghai Pancreatic Cancer Institute, Shanghai, 200032, China.; Pancreatic Cancer Institute, Fudan University, Shanghai, 200032, China.; Center for Neuroendocrine Tumors, Fudan University Shanghai Cancer Center,  Shanghai, 200032, China.; Department of Pancreatic Surgery, Fudan University Shanghai Cancer Center,  Shanghai, 200032, China.; Department of Oncology, Shanghai Medical College, Fudan University, Shanghai,  200032, China.; Shanghai Pancreatic Cancer Institute, Shanghai, 200032, China.; Pancreatic Cancer Institute, Fudan University, Shanghai, 200032, China.; Center for Neuroendocrine Tumors, Fudan University Shanghai Cancer Center,  Shanghai, 200032, China.; Department of Pancreatic Surgery, Fudan University Shanghai Cancer Center,  Shanghai, 200032, China.; Department of Oncology, Shanghai Medical College, Fudan University, Shanghai,  200032, China.; Shanghai Pancreatic Cancer Institute, Shanghai, 200032, China.; Pancreatic Cancer Institute, Fudan University, Shanghai, 200032, China.; Center for Neuroendocrine Tumors, Fudan University Shanghai Cancer Center,  Shanghai, 200032, China.; Department of Pancreatic Surgery, Fudan University Shanghai Cancer Center,  Shanghai, 200032, China.; Department of Oncology, Shanghai Medical College, Fudan University, Shanghai,  200032, China.; Shanghai Pancreatic Cancer Institute, Shanghai, 200032, China.; Pancreatic Cancer Institute, Fudan University, Shanghai, 200032, China.; Center for Neuroendocrine Tumors, Fudan University Shanghai Cancer Center,  Shanghai, 200032, China.; Department of Pancreatic Surgery, Fudan University Shanghai Cancer Center,  Shanghai, 200032, China.; Department of Oncology, Shanghai Medical College, Fudan University, Shanghai,  200032, China.; Shanghai Pancreatic Cancer Institute, Shanghai, 200032, China.; Pancreatic Cancer Institute, Fudan University, Shanghai, 200032, China.; Center for Neuroendocrine Tumors, Fudan University Shanghai Cancer Center,  Shanghai, 200032, China.; Department of Pancreatic Surgery, Fudan University Shanghai Cancer Center,  Shanghai, 200032, China.; Department of Oncology, Shanghai Medical College, Fudan University, Shanghai,  200032, China.; Shanghai Pancreatic Cancer Institute, Shanghai, 200032, China.; Pancreatic Cancer Institute, Fudan University, Shanghai, 200032, China.; The First People&amp;apos;s Hospital of Changzhou, The Third Affiliated Hospital of  Soochow University, Changzhou, 213004, China.; The First People&amp;apos;s Hospital of Changzhou, The Third Affiliated Hospital of  Soochow University, Changzhou, 213004, China.; Center for Neuroendocrine Tumors, Fudan University Shanghai Cancer Center,  Shanghai, 200032, China.; Department of Pancreatic Surgery, Fudan University Shanghai Cancer Center,  Shanghai, 200032, China.; Department of Oncology, Shanghai Medical College, Fudan University, Shanghai,  200032, China.; Shanghai Pancreatic Cancer Institute, Shanghai, 200032, China.; Pancreatic Cancer Institute, Fudan University, Shanghai, 200032, China.; Center for Neuroendocrine Tumors, Fudan University Shanghai Cancer Center,  Shanghai, 200032, China.; Department of Pancreatic Surgery, Fudan University Shanghai Cancer Center,  Shanghai, 200032, China.; Department of Oncology, Shanghai Medical College, Fudan University, Shanghai,  200032, China.; Shanghai Pancreatic Cancer Institute, Shanghai, 200032, China.; Pancreatic Cancer Institute, Fudan University, Shanghai, 200032, China.; Center for Neuroendocrine Tumors, Fudan University Shanghai Cancer Center,  Shanghai, 200032, China.; Department of Pancreatic Surgery, Fudan University Shanghai Cancer Center,  Shanghai, 200032, China.; Department of Oncology, Shanghai Medical College, Fudan University, Shanghai,  200032, China.; Shanghai Pancreatic Cancer Institute, Shanghai, 200032, China.; Pancreatic Cancer Institute, Fudan University, Shanghai, 200032, China.; Center for Neuroendocrine Tumors, Fudan University Shanghai Cancer Center,  Shanghai, 200032, China.; Department of Pancreatic Surgery, Fudan University Shanghai Cancer Center,  Shanghai, 200032, China.; Department of Oncology, Shanghai Medical College, Fudan University, Shanghai,  200032, China.; Shanghai Pancreatic Cancer Institute, Shanghai, 200032, China.; Pancreatic Cancer Institute, Fudan University, Shanghai, 200032, China.; Center for Neuroendocrine Tumors, Fudan University Shanghai Cancer Center,  Shanghai, 200032, China.; Department of Pancreatic Surgery, Fudan University Shanghai Cancer Center,  Shanghai, 200032, China.; Department of Oncology, Shanghai Medical College, Fudan University, Shanghai,  200032, China.; Shanghai Pancreatic Cancer Institute, Shanghai, 200032, China.; Pancreatic Cancer Institute, Fudan University, Shanghai, 200032, China.&lt;/_author_adr&gt;&lt;_collection_scope&gt;SCIE;EI&lt;/_collection_scope&gt;&lt;_created&gt;65709254&lt;/_created&gt;&lt;_date&gt;2024-09-01&lt;/_date&gt;&lt;_date_display&gt;2024 Sep&lt;/_date_display&gt;&lt;_db_updated&gt;PubMed&lt;/_db_updated&gt;&lt;_doi&gt;10.1002/advs.202308417&lt;/_doi&gt;&lt;_impact_factor&gt;  15.100&lt;/_impact_factor&gt;&lt;_isbn&gt;2198-3844 (Electronic); 2198-3844 (Linking)&lt;/_isbn&gt;&lt;_issue&gt;35&lt;/_issue&gt;&lt;_journal&gt;Adv Sci (Weinh)&lt;/_journal&gt;&lt;_keywords&gt;MEN1; MGMT; Pancreatic neuroendocrine tumors; temozolomide&lt;/_keywords&gt;&lt;_language&gt;eng&lt;/_language&gt;&lt;_modified&gt;65843881&lt;/_modified&gt;&lt;_ori_publication&gt;(c) 2024 The Author(s). Advanced Science published by Wiley-VCH GmbH.&lt;/_ori_publication&gt;&lt;_pages&gt;e2308417&lt;/_pages&gt;&lt;_social_category&gt;化学：综合(1) &amp;amp; 材料科学：综合(1) &amp;amp; 纳米科技(2)&lt;/_social_category&gt;&lt;_subject_headings&gt;Animals; Female; Humans; Male; Mice; Antineoplastic Agents, Alkylating/pharmacology; *beta Catenin/metabolism/genetics; Cell Line, Tumor; Disease Models, Animal; *DNA Modification Methylases/metabolism/genetics; *DNA Repair Enzymes/genetics/metabolism; *Drug Resistance, Neoplasm/genetics/drug effects; Mice, Nude; *Neuroendocrine Tumors/genetics/drug therapy/metabolism; *Pancreatic Neoplasms/drug therapy/genetics/metabolism/pathology; Proto-Oncogene Proteins/metabolism/genetics; *Temozolomide/pharmacology; Tumor Suppressor Proteins/genetics/metabolism&lt;/_subject_headings&gt;&lt;_tertiary_title&gt;Advanced science (Weinheim, Baden-Wurttemberg, Germany)&lt;/_tertiary_title&gt;&lt;_type_work&gt;Journal Article&lt;/_type_work&gt;&lt;_url&gt;http://www.ncbi.nlm.nih.gov/entrez/query.fcgi?cmd=Retrieve&amp;amp;db=pubmed&amp;amp;dopt=Abstract&amp;amp;list_uids=39041891&amp;amp;query_hl=1&lt;/_url&gt;&lt;_volume&gt;11&lt;/_volume&gt;&lt;_accessed&gt;65843926&lt;/_accessed&gt;&lt;/Details&gt;&lt;Extra&gt;&lt;DBUID&gt;{DE16ABCE-A785-434C-BF43-2FE58866AFDD}&lt;/DBUID&gt;&lt;/Extra&gt;&lt;/Item&gt;&lt;/References&gt;&lt;/Group&gt;&lt;Group&gt;&lt;References&gt;&lt;Item&gt;&lt;ID&gt;548&lt;/ID&gt;&lt;UID&gt;{E80A229F-A58C-4510-AD4E-A0E912FF9774}&lt;/UID&gt;&lt;Title&gt;The stromal microenvironment endows pancreatic neuroendocrine tumors with  spatially specific invasive and metastatic phenotypes&lt;/Title&gt;&lt;Template&gt;Journal Article&lt;/Template&gt;&lt;Star&gt;0&lt;/Star&gt;&lt;Tag&gt;0&lt;/Tag&gt;&lt;Author&gt;Ye, Z; Li, Q; Hu, Y; Hu, H; Xu, J; Guo, M; Zhang, W; Lou, X; Wang, Y; Gao, H; Jing, D; Fan, G; Qin, Y; Zhang, Y; Chen, X; Chen, J; Xu, X; Yu, X; Liu, M; Ji, S&lt;/Author&gt;&lt;Year&gt;2024&lt;/Year&gt;&lt;Details&gt;&lt;_accession_num&gt;38438098&lt;/_accession_num&gt;&lt;_author_adr&gt;Department of Pancreatic Surgery, Fudan University Shanghai Cancer Center,  Shanghai, 200032, China; Center for Neuroendocrine Tumors, Fudan University  Shanghai Cancer Center, Shanghai, 200032, China; Department of Oncology, Shanghai  Medical College, Fudan University, Shanghai, 200032, China; Shanghai Pancreatic  Cancer Institute, Shanghai, 200032, China; Pancreatic Cancer Institute, Fudan  University, Shanghai, 200032, China.; Department of General, Visceral, and Transplant Surgery,  Ludwig-Maximilians-University Munich, Marchioninistr.15, 81377, Munich, Germany.; Department of Pancreatic Surgery, Fudan University Shanghai Cancer Center,  Shanghai, 200032, China; Center for Neuroendocrine Tumors, Fudan University  Shanghai Cancer Center, Shanghai, 200032, China; Department of Oncology, Shanghai  Medical College, Fudan University, Shanghai, 200032, China; Shanghai Pancreatic  Cancer Institute, Shanghai, 200032, China; Pancreatic Cancer Institute, Fudan  University, Shanghai, 200032, China.; Department of Pancreatic Surgery, Fudan University Shanghai Cancer Center,  Shanghai, 200032, China; Center for Neuroendocrine Tumors, Fudan University  Shanghai Cancer Center, Shanghai, 200032, China; Department of Oncology, Shanghai  Medical College, Fudan University, Shanghai, 200032, China; Shanghai Pancreatic  Cancer Institute, Shanghai, 200032, China; Pancreatic Cancer Institute, Fudan  University, Shanghai, 200032, China.; Department of Pancreatic Surgery, Fudan University Shanghai Cancer Center,  Shanghai, 200032, China; Center for Neuroendocrine Tumors, Fudan University  Shanghai Cancer Center, Shanghai, 200032, China; Department of Oncology, Shanghai  Medical College, Fudan University, Shanghai, 200032, China; Shanghai Pancreatic  Cancer Institute, Shanghai, 200032, China; Pancreatic Cancer Institute, Fudan  University, Shanghai, 200032, China.; Department of Medicine, the University of Oklahoma Health Sciences Center,  Oklahoma City, OK, USA.; Department of Pancreatic Surgery, Fudan University Shanghai Cancer Center,  Shanghai, 200032, China; Center for Neuroendocrine Tumors, Fudan University  Shanghai Cancer Center, Shanghai, 200032, China; Department of Oncology, Shanghai  Medical College, Fudan University, Shanghai, 200032, China; Shanghai Pancreatic  Cancer Institute, Shanghai, 200032, China; Pancreatic Cancer Institute, Fudan  University, Shanghai, 200032, China.; Department of Pancreatic Surgery, Fudan University Shanghai Cancer Center,  Shanghai, 200032, China; Center for Neuroendocrine Tumors, Fudan University  Shanghai Cancer Center, Shanghai, 200032, China; Department of Oncology, Shanghai  Medical College, Fudan University, Shanghai, 200032, China; Shanghai Pancreatic  Cancer Institute, Shanghai, 200032, China; Pancreatic Cancer Institute, Fudan  University, Shanghai, 200032, China.; Department of Pancreatic Surgery, Fudan University Shanghai Cancer Center,  Shanghai, 200032, China; Center for Neuroendocrine Tumors, Fudan University  Shanghai Cancer Center, Shanghai, 200032, China; Department of Oncology, Shanghai  Medical College, Fudan University, Shanghai, 200032, China; Shanghai Pancreatic  Cancer Institute, Shanghai, 200032, China; Pancreatic Cancer Institute, Fudan  University, Shanghai, 200032, China.; Department of Pancreatic Surgery, Fudan University Shanghai Cancer Center,  Shanghai, 200032, China; Center for Neuroendocrine Tumors, Fudan University  Shanghai Cancer Center, Shanghai, 200032, China; Department of Oncology, Shanghai  Medical College, Fudan University, Shanghai, 200032, China; Shanghai Pancreatic  Cancer Institute, Shanghai, 200032, China; Pancreatic Cancer Institute, Fudan  University, Shanghai, 200032, China.; Department of Pancreatic Surgery, Fudan University Shanghai Cancer Center,  Shanghai, 200032, China; Center for Neuroendocrine Tumors, Fudan University  Shanghai Cancer Center, Shanghai, 200032, China; Department of Oncology, Shanghai  Medical College, Fudan University, Shanghai, 200032, China; Shanghai Pancreatic  Cancer Institute, Shanghai, 200032, China; Pancreatic Cancer Institute, Fudan  University, Shanghai, 200032, China.; Department of Pancreatic Surgery, Fudan University Shanghai Cancer Center,  Shanghai, 200032, China; Center for Neuroendocrine Tumors, Fudan University  Shanghai Cancer Center, Shanghai, 200032, China; Department of Oncology, Shanghai  Medical College, Fudan University, Shanghai, 200032, China; Shanghai Pancreatic  Cancer Institute, Shanghai, 200032, China; Pancreatic Cancer Institute, Fudan  University, Shanghai, 200032, China.; Department of Pancreatic Surgery, Fudan University Shanghai Cancer Center,  Shanghai, 200032, China; Center for Neuroendocrine Tumors, Fudan University  Shanghai Cancer Center, Shanghai, 200032, China; Department of Oncology, Shanghai  Medical College, Fudan University, Shanghai, 200032, China; Shanghai Pancreatic  Cancer Institute, Shanghai, 200032, China; Pancreatic Cancer Institute, Fudan  University, Shanghai, 200032, China.; Department of Hepatobiliary and Pancreatic Surgery, The Third Affiliated Hospital  of Soochow University, Changzhou, 213003, China.; Department of Hepatobiliary and Pancreatic Surgery, The Third Affiliated Hospital  of Soochow University, Changzhou, 213003, China.; Center for Neuroendocrine Tumors, Fudan University Shanghai Cancer Center,  Shanghai, 200032, China.; Department of Pancreatic Surgery, Fudan University Shanghai Cancer Center,  Shanghai, 200032, China; Center for Neuroendocrine Tumors, Fudan University  Shanghai Cancer Center, Shanghai, 200032, China; Department of Oncology, Shanghai  Medical College, Fudan University, Shanghai, 200032, China; Shanghai Pancreatic  Cancer Institute, Shanghai, 200032, China; Pancreatic Cancer Institute, Fudan  University, Shanghai, 200032, China. Electronic address: xuxiaowu@fudanpci.org.; Department of Pancreatic Surgery, Fudan University Shanghai Cancer Center,  Shanghai, 200032, China; Center for Neuroendocrine Tumors, Fudan University  Shanghai Cancer Center, Shanghai, 200032, China; Department of Oncology, Shanghai  Medical College, Fudan University, Shanghai, 200032, China; Shanghai Pancreatic  Cancer Institute, Shanghai, 200032, China; Pancreatic Cancer Institute, Fudan  University, Shanghai, 200032, China. Electronic address: yuxianjun@fudanpci.org.; State Key Laboratory of Molecular Oncology, National Cancer Center/National  Clinical Research Center for Cancer/Cancer Hospital, Chinese Academy of Medical  Sciences and Peking Union Medical College, Beijing, 100021, China. Electronic  address: liumy@cicams.ac.cn.; Department of Pancreatic Surgery, Fudan University Shanghai Cancer Center,  Shanghai, 200032, China; Center for Neuroendocrine Tumors, Fudan University  Shanghai Cancer Center, Shanghai, 200032, China; Department of Oncology, Shanghai  Medical College, Fudan University, Shanghai, 200032, China; Shanghai Pancreatic  Cancer Institute, Shanghai, 200032, China; Pancreatic Cancer Institute, Fudan  University, Shanghai, 200032, China. Electronic address: jishunrong@fudanpci.org.&lt;/_author_adr&gt;&lt;_collection_scope&gt;SCIE&lt;/_collection_scope&gt;&lt;_created&gt;65709257&lt;/_created&gt;&lt;_date&gt;2024-04-28&lt;/_date&gt;&lt;_date_display&gt;2024 Apr 28&lt;/_date_display&gt;&lt;_db_updated&gt;PubMed&lt;/_db_updated&gt;&lt;_doi&gt;10.1016/j.canlet.2024.216769&lt;/_doi&gt;&lt;_impact_factor&gt;   9.700&lt;/_impact_factor&gt;&lt;_isbn&gt;1872-7980 (Electronic); 0304-3835 (Linking)&lt;/_isbn&gt;&lt;_journal&gt;Cancer Lett&lt;/_journal&gt;&lt;_keywords&gt;Cell interaction; Spatial heterogeneity; Tumor cell plasticity; Tumor stroma&lt;/_keywords&gt;&lt;_language&gt;eng&lt;/_language&gt;&lt;_modified&gt;65843886&lt;/_modified&gt;&lt;_ori_publication&gt;Copyright (c) 2024. Published by Elsevier B.V.&lt;/_ori_publication&gt;&lt;_pages&gt;216769&lt;/_pages&gt;&lt;_social_category&gt;肿瘤学(2)&lt;/_social_category&gt;&lt;_subject_headings&gt;Humans; Cell Line, Tumor; *Neuroendocrine Tumors/pathology; *Cancer-Associated Fibroblasts/metabolism; *Pancreatic Neoplasms/pathology; Phenotype; Transforming Growth Factor beta/metabolism; *Liver Neoplasms/pathology; Tumor Microenvironment&lt;/_subject_headings&gt;&lt;_tertiary_title&gt;Cancer letters&lt;/_tertiary_title&gt;&lt;_type_work&gt;Journal Article&lt;/_type_work&gt;&lt;_url&gt;http://www.ncbi.nlm.nih.gov/entrez/query.fcgi?cmd=Retrieve&amp;amp;db=pubmed&amp;amp;dopt=Abstract&amp;amp;list_uids=38438098&amp;amp;query_hl=1&lt;/_url&gt;&lt;_volume&gt;588&lt;/_volume&gt;&lt;_accessed&gt;65843929&lt;/_accessed&gt;&lt;/Details&gt;&lt;Extra&gt;&lt;DBUID&gt;{DE16ABCE-A785-434C-BF43-2FE58866AFDD}&lt;/DBUID&gt;&lt;/Extra&gt;&lt;/Item&gt;&lt;/References&gt;&lt;/Group&gt;&lt;Group&gt;&lt;References&gt;&lt;Item&gt;&lt;ID&gt;549&lt;/ID&gt;&lt;UID&gt;{5F7F1A19-CD2E-4649-92BC-704C9B0409B5}&lt;/UID&gt;&lt;Title&gt;Systemic Cancer Hallmarks as Novel Markers Associated with Progression-free  Survival in Gastroenteropancreatic Neuroendocrine Tumor Patients Undergoing PRRT&lt;/Title&gt;&lt;Template&gt;Journal Article&lt;/Template&gt;&lt;Star&gt;0&lt;/Star&gt;&lt;Tag&gt;0&lt;/Tag&gt;&lt;Author&gt;Padwal, M K; Parghane, R V; Chakraborty, A; Ujaoney, A K; Anaganti, N; Basu, S; Basu, B&lt;/Author&gt;&lt;Year&gt;2024&lt;/Year&gt;&lt;Details&gt;&lt;_accession_num&gt;39626642&lt;/_accession_num&gt;&lt;_collection_scope&gt;SCIE&lt;/_collection_scope&gt;&lt;_created&gt;65709259&lt;/_created&gt;&lt;_date&gt;2024-12-03&lt;/_date&gt;&lt;_date_display&gt;2024 Dec 3&lt;/_date_display&gt;&lt;_db_updated&gt;PubMed&lt;/_db_updated&gt;&lt;_doi&gt;10.1159/000542918&lt;/_doi&gt;&lt;_impact_factor&gt;   4.100&lt;/_impact_factor&gt;&lt;_isbn&gt;1423-0194 (Electronic); 0028-3835 (Linking)&lt;/_isbn&gt;&lt;_journal&gt;Neuroendocrinology&lt;/_journal&gt;&lt;_language&gt;eng&lt;/_language&gt;&lt;_modified&gt;65843885&lt;/_modified&gt;&lt;_ori_publication&gt;S. Karger AG, Basel.&lt;/_ori_publication&gt;&lt;_pages&gt;1-18&lt;/_pages&gt;&lt;_social_category&gt;内分泌学与代谢(2) &amp;amp; 神经科学(2)&lt;/_social_category&gt;&lt;_tertiary_title&gt;Neuroendocrinology&lt;/_tertiary_title&gt;&lt;_type_work&gt;Journal Article&lt;/_type_work&gt;&lt;_url&gt;http://www.ncbi.nlm.nih.gov/entrez/query.fcgi?cmd=Retrieve&amp;amp;db=pubmed&amp;amp;dopt=Abstract&amp;amp;list_uids=39626642&amp;amp;query_hl=1&lt;/_url&gt;&lt;_accessed&gt;65843929&lt;/_accessed&gt;&lt;/Details&gt;&lt;Extra&gt;&lt;DBUID&gt;{DE16ABCE-A785-434C-BF43-2FE58866AFDD}&lt;/DBUID&gt;&lt;/Extra&gt;&lt;/Item&gt;&lt;/References&gt;&lt;/Group&gt;&lt;Group&gt;&lt;References&gt;&lt;Item&gt;&lt;ID&gt;550&lt;/ID&gt;&lt;UID&gt;{622C1B81-1C8E-4EBF-A7CA-31E03E53ED25}&lt;/UID&gt;&lt;Title&gt;The prognostic and therapeutic value of the tumor microenvironment and immune  checkpoints in pancreatic neuroendocrine neoplasms&lt;/Title&gt;&lt;Template&gt;Journal Article&lt;/Template&gt;&lt;Star&gt;0&lt;/Star&gt;&lt;Tag&gt;0&lt;/Tag&gt;&lt;Author&gt;Chen, Z; Lin, S; Liang, F; Hou, Z; Yang, Y; Huang, H; Pan, Y&lt;/Author&gt;&lt;Year&gt;2024&lt;/Year&gt;&lt;Details&gt;&lt;_accession_num&gt;39433799&lt;/_accession_num&gt;&lt;_author_adr&gt;Department of General Surgery, The Cancer Center, Fujian Medical University Union  Hospital, No. 29 Xinquan Road, Fuzhou, 350001, People&amp;apos;s Republic of China.; Department of General Surgery, The Cancer Center, Fujian Medical University Union  Hospital, No. 29 Xinquan Road, Fuzhou, 350001, People&amp;apos;s Republic of China.; Department of General Surgery, The Cancer Center, Fujian Medical University Union  Hospital, No. 29 Xinquan Road, Fuzhou, 350001, People&amp;apos;s Republic of China.; Department of General Surgery, The Cancer Center, Fujian Medical University Union  Hospital, No. 29 Xinquan Road, Fuzhou, 350001, People&amp;apos;s Republic of China.; Department of General Surgery, The Cancer Center, Fujian Medical University Union  Hospital, No. 29 Xinquan Road, Fuzhou, 350001, People&amp;apos;s Republic of China.; Department of General Surgery, The Cancer Center, Fujian Medical University Union  Hospital, No. 29 Xinquan Road, Fuzhou, 350001, People&amp;apos;s Republic of China.  heguanghuang22@163.com.; Department of General Surgery, The Cancer Center, Fujian Medical University Union  Hospital, No. 29 Xinquan Road, Fuzhou, 350001, People&amp;apos;s Republic of China.  yupan199002@163.com.&lt;/_author_adr&gt;&lt;_collection_scope&gt;SCIE&lt;/_collection_scope&gt;&lt;_created&gt;65709262&lt;/_created&gt;&lt;_date&gt;2024-10-21&lt;/_date&gt;&lt;_date_display&gt;2024 Oct 21&lt;/_date_display&gt;&lt;_db_updated&gt;PubMed&lt;/_db_updated&gt;&lt;_doi&gt;10.1038/s41598-024-75882-4&lt;/_doi&gt;&lt;_impact_factor&gt;   4.600&lt;/_impact_factor&gt;&lt;_isbn&gt;2045-2322 (Electronic); 2045-2322 (Linking)&lt;/_isbn&gt;&lt;_issue&gt;1&lt;/_issue&gt;&lt;_journal&gt;Sci Rep&lt;/_journal&gt;&lt;_keywords&gt;Checkpoint; Immunoenvironment; Pancreatic neuroendocrine tumors&lt;/_keywords&gt;&lt;_language&gt;eng&lt;/_language&gt;&lt;_modified&gt;65843930&lt;/_modified&gt;&lt;_ori_publication&gt;(c) 2024. The Author(s).&lt;/_ori_publication&gt;&lt;_pages&gt;24669&lt;/_pages&gt;&lt;_social_category&gt;综合性期刊(2)&lt;/_social_category&gt;&lt;_subject_headings&gt;Humans; *Tumor Microenvironment/immunology; *Pancreatic Neoplasms/pathology/immunology/mortality/metabolism/therapy; Male; Female; Middle Aged; *Neuroendocrine Tumors/pathology/immunology/metabolism/mortality; Prognosis; Aged; Adult; *Biomarkers, Tumor/metabolism; Programmed Cell Death 1 Receptor/metabolism; Lymphocytes, Tumor-Infiltrating/immunology/metabolism; Immunotherapy/methods&lt;/_subject_headings&gt;&lt;_tertiary_title&gt;Scientific reports&lt;/_tertiary_title&gt;&lt;_type_work&gt;Journal Article&lt;/_type_work&gt;&lt;_url&gt;http://www.ncbi.nlm.nih.gov/entrez/query.fcgi?cmd=Retrieve&amp;amp;db=pubmed&amp;amp;dopt=Abstract&amp;amp;list_uids=39433799&amp;amp;query_hl=1&lt;/_url&gt;&lt;_volume&gt;14&lt;/_volume&gt;&lt;_accessed&gt;65843930&lt;/_accessed&gt;&lt;/Details&gt;&lt;Extra&gt;&lt;DBUID&gt;{DE16ABCE-A785-434C-BF43-2FE58866AFDD}&lt;/DBUID&gt;&lt;/Extra&gt;&lt;/Item&gt;&lt;/References&gt;&lt;/Group&gt;&lt;Group&gt;&lt;References&gt;&lt;Item&gt;&lt;ID&gt;564&lt;/ID&gt;&lt;UID&gt;{A4900245-28C8-48F0-84E1-B3940FA2E21D}&lt;/UID&gt;&lt;Title&gt;CTCF enhances pancreatic cancer progression via FLG-AS1-dependent epigenetic  regulation and macrophage polarization&lt;/Title&gt;&lt;Template&gt;Journal Article&lt;/Template&gt;&lt;Star&gt;0&lt;/Star&gt;&lt;Tag&gt;0&lt;/Tag&gt;&lt;Author&gt;Liu, Y; Liu, P; Duan, S; Lin, J; Qi, W; Yu, Z; Gao, X; Sun, X; Liu, J; Lin, J; Zhai, S; Qin, K; Cao, Y; Li, J; Liu, Y; Chen, M; Zou, S; Wen, C; Wang, J; Fu, D; Wang, J; Bao, H; Sun, K; Jiang, Y; Shen, B&lt;/Author&gt;&lt;Year&gt;2024&lt;/Year&gt;&lt;Details&gt;&lt;_accession_num&gt;39616247&lt;/_accession_num&gt;&lt;_author_adr&gt;Department of General Surgery, Pancreatic Disease Center, Research Institute of  Pancreatic Diseases, Ruijin Hospital, Shanghai Jiaotong University School of  Medicine, Shanghai, 200025, China.; Research Institute of Pancreatic Disease, Shanghai Jiaotong University School of  Medicine, Shanghai, China.; State Key Laboratory of Oncogenes and Related Genes, Institute of Translational  Medicine, Shanghai Jiaotong University, Shanghai, 200025, China.; Department of General Surgery, Pancreatic Disease Center, Research Institute of  Pancreatic Diseases, Ruijin Hospital, Shanghai Jiaotong University School of  Medicine, Shanghai, 200025, China.; Research Institute of Pancreatic Disease, Shanghai Jiaotong University School of  Medicine, Shanghai, China.; State Key Laboratory of Oncogenes and Related Genes, Institute of Translational  Medicine, Shanghai Jiaotong University, Shanghai, 200025, China.; College of Food Science, Sichuan Agricultural University, Yaan, China.; Department of General Surgery, Pancreatic Disease Center, Research Institute of  Pancreatic Diseases, Ruijin Hospital, Shanghai Jiaotong University School of  Medicine, Shanghai, 200025, China.; Research Institute of Pancreatic Disease, Shanghai Jiaotong University School of  Medicine, Shanghai, China.; State Key Laboratory of Oncogenes and Related Genes, Institute of Translational  Medicine, Shanghai Jiaotong University, Shanghai, 200025, China.; School of Life Sciences, Shanghai University, Shanghai, China.; Research Institute of Pancreatic Disease, Shanghai Jiaotong University School of  Medicine, Shanghai, China.; Research Institute of Pancreatic Disease, Shanghai Jiaotong University School of  Medicine, Shanghai, China.; Research Institute of Pancreatic Disease, Shanghai Jiaotong University School of  Medicine, Shanghai, China.; Department of General Surgery, Pancreatic Disease Center, Research Institute of  Pancreatic Diseases, Ruijin Hospital, Shanghai Jiaotong University School of  Medicine, Shanghai, 200025, China.; Research Institute of Pancreatic Disease, Shanghai Jiaotong University School of  Medicine, Shanghai, China.; State Key Laboratory of Oncogenes and Related Genes, Institute of Translational  Medicine, Shanghai Jiaotong University, Shanghai, 200025, China.; Department of General Surgery, Pancreatic Disease Center, Research Institute of  Pancreatic Diseases, Ruijin Hospital, Shanghai Jiaotong University School of  Medicine, Shanghai, 200025, China.; Research Institute of Pancreatic Disease, Shanghai Jiaotong University School of  Medicine, Shanghai, China.; State Key Laboratory of Oncogenes and Related Genes, Institute of Translational  Medicine, Shanghai Jiaotong University, Shanghai, 200025, China.; Department of General Surgery, Pancreatic Disease Center, Research Institute of  Pancreatic Diseases, Ruijin Hospital, Shanghai Jiaotong University School of  Medicine, Shanghai, 200025, China.; Research Institute of Pancreatic Disease, Shanghai Jiaotong University School of  Medicine, Shanghai, China.; State Key Laboratory of Oncogenes and Related Genes, Institute of Translational  Medicine, Shanghai Jiaotong University, Shanghai, 200025, China.; Department of General Surgery, Pancreatic Disease Center, Research Institute of  Pancreatic Diseases, Ruijin Hospital, Shanghai Jiaotong University School of  Medicine, Shanghai, 200025, China.; Research Institute of Pancreatic Disease, Shanghai Jiaotong University School of  Medicine, Shanghai, China.; State Key Laboratory of Oncogenes and Related Genes, Institute of Translational  Medicine, Shanghai Jiaotong University, Shanghai, 200025, China.; Department of General Surgery, Pancreatic Disease Center, Research Institute of  Pancreatic Diseases, Ruijin Hospital, Shanghai Jiaotong University School of  Medicine, Shanghai, 200025, China.; Research Institute of Pancreatic Disease, Shanghai Jiaotong University School of  Medicine, Shanghai, China.; State Key Laboratory of Oncogenes and Related Genes, Institute of Translational  Medicine, Shanghai Jiaotong University, Shanghai, 200025, China.; Department of General Surgery, Pancreatic Disease Center, Research Institute of  Pancreatic Diseases, Ruijin Hospital, Shanghai Jiaotong University School of  Medicine, Shanghai, 200025, China.; Research Institute of Pancreatic Disease, Shanghai Jiaotong University School of  Medicine, Shanghai, China.; State Key Laboratory of Oncogenes and Related Genes, Institute of Translational  Medicine, Shanghai Jiaotong University, Shanghai, 200025, China.; Department of General Surgery, Pancreatic Disease Center, Research Institute of  Pancreatic Diseases, Ruijin Hospital, Shanghai Jiaotong University School of  Medicine, Shanghai, 200025, China.; Research Institute of Pancreatic Disease, Shanghai Jiaotong University School of  Medicine, Shanghai, China.; State Key Laboratory of Oncogenes and Related Genes, Institute of Translational  Medicine, Shanghai Jiaotong University, Shanghai, 200025, China.; Department of General Surgery, Pancreatic Disease Center, Research Institute of  Pancreatic Diseases, Ruijin Hospital, Shanghai Jiaotong University School of  Medicine, Shanghai, 200025, China.; Research Institute of Pancreatic Disease, Shanghai Jiaotong University School of  Medicine, Shanghai, China.; State Key Laboratory of Oncogenes and Related Genes, Institute of Translational  Medicine, Shanghai Jiaotong University, Shanghai, 200025, China.; Department of General Surgery, Pancreatic Disease Center, Research Institute of  Pancreatic Diseases, Ruijin Hospital, Shanghai Jiaotong University School of  Medicine, Shanghai, 200025, China.; Research Institute of Pancreatic Disease, Shanghai Jiaotong University School of  Medicine, Shanghai, China.; State Key Laboratory of Oncogenes and Related Genes, Institute of Translational  Medicine, Shanghai Jiaotong University, Shanghai, 200025, China.; Department of General Surgery, Pancreatic Disease Center, Research Institute of  Pancreatic Diseases, Ruijin Hospital, Shanghai Jiaotong University School of  Medicine, Shanghai, 200025, China.; Research Institute of Pancreatic Disease, Shanghai Jiaotong University School of  Medicine, Shanghai, China.; State Key Laboratory of Oncogenes and Related Genes, Institute of Translational  Medicine, Shanghai Jiaotong University, Shanghai, 200025, China.; School of Life Sciences, Shanghai University, Shanghai, China.; Department of General Surgery, Pancreatic Disease Center, Research Institute of  Pancreatic Diseases, Ruijin Hospital, Shanghai Jiaotong University School of  Medicine, Shanghai, 200025, China.; Research Institute of Pancreatic Disease, Shanghai Jiaotong University School of  Medicine, Shanghai, China.; State Key Laboratory of Oncogenes and Related Genes, Institute of Translational  Medicine, Shanghai Jiaotong University, Shanghai, 200025, China.; Department of General Surgery, Pancreatic Disease Center, Research Institute of  Pancreatic Diseases, Ruijin Hospital, Shanghai Jiaotong University School of  Medicine, Shanghai, 200025, China.; Research Institute of Pancreatic Disease, Shanghai Jiaotong University School of  Medicine, Shanghai, China.; State Key Laboratory of Oncogenes and Related Genes, Institute of Translational  Medicine, Shanghai Jiaotong University, Shanghai, 200025, China.; Department of General Surgery, Pancreatic Disease Center, Research Institute of  Pancreatic Diseases, Ruijin Hospital, Shanghai Jiaotong University School of  Medicine, Shanghai, 200025, China. harryb139@gmail.com.; Department of General Surgery, Pancreatic Disease Center, Research Institute of  Pancreatic Diseases, Ruijin Hospital, Shanghai Jiaotong University School of  Medicine, Shanghai, 200025, China. 188025796@qq.com.; Research Institute of Pancreatic Disease, Shanghai Jiaotong University School of  Medicine, Shanghai, China. 188025796@qq.com.; State Key Laboratory of Oncogenes and Related Genes, Institute of Translational  Medicine, Shanghai Jiaotong University, Shanghai, 200025, China.  188025796@qq.com.; Department of General Surgery, Pancreatic Disease Center, Research Institute of  Pancreatic Diseases, Ruijin Hospital, Shanghai Jiaotong University School of  Medicine, Shanghai, 200025, China. jiangyu890401@163.com.; Research Institute of Pancreatic Disease, Shanghai Jiaotong University School of  Medicine, Shanghai, China. jiangyu890401@163.com.; State Key Laboratory of Oncogenes and Related Genes, Institute of Translational  Medicine, Shanghai Jiaotong University, Shanghai, 200025, China.  jiangyu890401@163.com.; Department of General Surgery, Pancreatic Disease Center, Research Institute of  Pancreatic Diseases, Ruijin Hospital, Shanghai Jiaotong University School of  Medicine, Shanghai, 200025, China. shenby@shsmu.edu.cn.; Research Institute of Pancreatic Disease, Shanghai Jiaotong University School of  Medicine, Shanghai, China. shenby@shsmu.edu.cn.; State Key Laboratory of Oncogenes and Related Genes, Institute of Translational  Medicine, Shanghai Jiaotong University, Shanghai, 200025, China.  shenby@shsmu.edu.cn.&lt;/_author_adr&gt;&lt;_collection_scope&gt;SCIE&lt;/_collection_scope&gt;&lt;_created&gt;65709274&lt;/_created&gt;&lt;_date&gt;2024-11-30&lt;/_date&gt;&lt;_date_display&gt;2024 Nov 30&lt;/_date_display&gt;&lt;_db_updated&gt;PubMed&lt;/_db_updated&gt;&lt;_doi&gt;10.1038/s41418-024-01423-1&lt;/_doi&gt;&lt;_impact_factor&gt;  12.400&lt;/_impact_factor&gt;&lt;_isbn&gt;1476-5403 (Electronic); 1350-9047 (Linking)&lt;/_isbn&gt;&lt;_journal&gt;Cell Death Differ&lt;/_journal&gt;&lt;_language&gt;eng&lt;/_language&gt;&lt;_modified&gt;65843933&lt;/_modified&gt;&lt;_ori_publication&gt;(c) 2024. The Author(s), under exclusive licence to ADMC Associazione _x000d__x000a_      Differenziamento e Morte Cellulare.&lt;/_ori_publication&gt;&lt;_social_category&gt;生化与分子生物学(1) &amp;amp; 细胞生物学(2)&lt;/_social_category&gt;&lt;_tertiary_title&gt;Cell death and differentiation&lt;/_tertiary_title&gt;&lt;_type_work&gt;Journal Article&lt;/_type_work&gt;&lt;_url&gt;http://www.ncbi.nlm.nih.gov/entrez/query.fcgi?cmd=Retrieve&amp;amp;db=pubmed&amp;amp;dopt=Abstract&amp;amp;list_uids=39616247&amp;amp;query_hl=1&lt;/_url&gt;&lt;_accessed&gt;65843933&lt;/_accessed&gt;&lt;/Details&gt;&lt;Extra&gt;&lt;DBUID&gt;{DE16ABCE-A785-434C-BF43-2FE58866AFDD}&lt;/DBUID&gt;&lt;/Extra&gt;&lt;/Item&gt;&lt;/References&gt;&lt;/Group&gt;&lt;/Citation&gt;_x000a_"/>
    <w:docVar w:name="NE.Ref{D80ED679-058A-4D67-9972-EFD413C0B1FF}" w:val=" ADDIN NE.Ref.{D80ED679-058A-4D67-9972-EFD413C0B1FF}&lt;Citation&gt;&lt;Group&gt;&lt;References&gt;&lt;Item&gt;&lt;ID&gt;690&lt;/ID&gt;&lt;UID&gt;{517F6AD1-1FC2-411C-B731-A5C0EA485FB9}&lt;/UID&gt;&lt;Title&gt;Classification of neuroendocrine neoplasms: lights and shadows&lt;/Title&gt;&lt;Template&gt;Journal Article&lt;/Template&gt;&lt;Star&gt;0&lt;/Star&gt;&lt;Tag&gt;0&lt;/Tag&gt;&lt;Author&gt;La Rosa, Stefano; Uccella, Silvia&lt;/Author&gt;&lt;Year&gt;2021&lt;/Year&gt;&lt;Details&gt;&lt;_created&gt;65843824&lt;/_created&gt;&lt;_modified&gt;65843824&lt;/_modified&gt;&lt;_url&gt;http://pku.summon.serialssolutions.com/2.0.0/link/0/eLvHCXMwnV3dS9xAEB-s0uKLWls1fpT43KbkdjfJrg-CHB4iSgu2UHwJ-xUUNTmMh_--M3u5O86Ph_qyEHZIsjO7s7M7M78B4OxnmjzTCdwJtOStMkI54XLt0Y4WjFx-ykvl6X7_8lye_WaD4-x0ltYdYt8nDsqgt2epb4Qjk9Dhh4qWsATV8FLGcIoRunM61casl4fKK-SPSwgLvUucef0d85vTC4vzZeDkM-9p2JQGq-_6_zVY6WzQ-Gg8aT7Dgq_X4dN552Vfh4-XTbhs_wKHoWYmRRMFAcZNFQcATF-7xlLeID42Q6S5aw_iWzrnt7GuXdxeadc8tl_h7-D4T_8k6SouJFYU4iExXros01IZNLy9FZVWxhVGFchYw1XPcalNJWzG04ppNB6s4oIJq7V0hnnHN2Cxbmq_BbEnQ08oo61JhTBKprmtjMmr1HJbsCqC7xNWl8MxsEY5g1Am5pTInDIwp2QR7E6kUXaLrC3xNCSpGoBMI9ifduPyIJ-HxvGPkEZkCm1MlaoINsfCm36Oc0IKUthTzIl1SkDQ2_M99fVVgOCWnDzCvQh-TKQ7-623R7H9f-Q7sMwogiZEtO3C4sP9yO_Bh-HN6FuY49gW_wps-3kf24tfp0-5SvvR&lt;/_url&gt;&lt;_place_published&gt;New York&lt;/_place_published&gt;&lt;_journal&gt;Reviews in endocrine &amp;amp; metabolic disorders&lt;/_journal&gt;&lt;_volume&gt;22&lt;/_volume&gt;&lt;_issue&gt;3&lt;/_issue&gt;&lt;_number&gt;1&lt;/_number&gt;&lt;_pages&gt;527-538&lt;/_pages&gt;&lt;_doi&gt;10.1007/s11154-020-09612-2&lt;/_doi&gt;&lt;_date_display&gt;2021&lt;/_date_display&gt;&lt;_date&gt;63640800&lt;/_date&gt;&lt;_isbn&gt;1389-9155;1573-2606;&lt;/_isbn&gt;&lt;_ori_publication&gt;Springer US&lt;/_ori_publication&gt;&lt;_keywords&gt;Breast; Classification; Diabetes; Endocrinology; Head and neck; Humans; Internal Medicine; Medicine; Medicine &amp;amp; Public Health; Neoplasia; Neuroendocrine tumors; Neuroendocrine Tumors - diagnosis; Nomenclature; Pituitary; Terminology; Tumors&lt;/_keywords&gt;&lt;_accessed&gt;65843824&lt;/_accessed&gt;&lt;_db_updated&gt;PKU Search&lt;/_db_updated&gt;&lt;_impact_factor&gt;   8.200&lt;/_impact_factor&gt;&lt;_social_category&gt;内分泌学与代谢(2)&lt;/_social_category&gt;&lt;_collection_scope&gt;SCIE&lt;/_collection_scope&gt;&lt;/Details&gt;&lt;Extra&gt;&lt;DBUID&gt;{DE16ABCE-A785-434C-BF43-2FE58866AFDD}&lt;/DBUID&gt;&lt;/Extra&gt;&lt;/Item&gt;&lt;/References&gt;&lt;/Group&gt;&lt;Group&gt;&lt;References&gt;&lt;Item&gt;&lt;ID&gt;737&lt;/ID&gt;&lt;UID&gt;{9672030A-79F8-4399-B693-6FB2F6E93C76}&lt;/UID&gt;&lt;Title&gt;Primary hepatic neuroendocrine neoplasms of children, a systematic review&lt;/Title&gt;&lt;Template&gt;Journal Article&lt;/Template&gt;&lt;Star&gt;0&lt;/Star&gt;&lt;Tag&gt;0&lt;/Tag&gt;&lt;Author&gt;Samady, Khanghah A; Madadi-Sanjani, O; Abolzadeh, A; Atqiaee, K&lt;/Author&gt;&lt;Year&gt;2025&lt;/Year&gt;&lt;Details&gt;&lt;_accession_num&gt;39924853&lt;/_accession_num&gt;&lt;_author_adr&gt;Department of Surgery, School of Medicine, Ardabil University of Medical  Sciences, Ardabil, Iran.; Department of Pediatric Surgery, University Medical Center Hamburg-Eppendorf,  Hamburg, Germany.; Department of Surgery, School of Medicine, Ardabil University of Medical  Sciences, Ardabil, Iran.; Department of Pediatric Surgery, School of Medicine, Mashhad University of  Medical Sciences, Mashhad, Iran.&lt;/_author_adr&gt;&lt;_date_display&gt;2025 Feb 9&lt;/_date_display&gt;&lt;_date&gt;2025-02-09&lt;/_date&gt;&lt;_doi&gt;10.1111/jne.13495&lt;/_doi&gt;&lt;_isbn&gt;1365-2826 (Electronic); 0953-8194 (Linking)&lt;/_isbn&gt;&lt;_journal&gt;J Neuroendocrinol&lt;/_journal&gt;&lt;_keywords&gt;carcinoid tumour; hepatic neuroendocrine neoplasm; paediatric; primary&lt;/_keywords&gt;&lt;_language&gt;eng&lt;/_language&gt;&lt;_ori_publication&gt;(c) 2025 British Society for Neuroendocrinology.&lt;/_ori_publication&gt;&lt;_pages&gt;e13495&lt;/_pages&gt;&lt;_tertiary_title&gt;Journal of neuroendocrinology&lt;/_tertiary_title&gt;&lt;_type_work&gt;Journal Article; Review&lt;/_type_work&gt;&lt;_url&gt;http://www.ncbi.nlm.nih.gov/entrez/query.fcgi?cmd=Retrieve&amp;amp;db=pubmed&amp;amp;dopt=Abstract&amp;amp;list_uids=39924853&amp;amp;query_hl=1&lt;/_url&gt;&lt;_created&gt;65843918&lt;/_created&gt;&lt;_modified&gt;65843918&lt;/_modified&gt;&lt;_db_updated&gt;PubMed&lt;/_db_updated&gt;&lt;_impact_factor&gt;   3.200&lt;/_impact_factor&gt;&lt;_social_category&gt;内分泌学与代谢(4) &amp;amp; 神经科学(4)&lt;/_social_category&gt;&lt;_collection_scope&gt;SCIE&lt;/_collection_scope&gt;&lt;/Details&gt;&lt;Extra&gt;&lt;DBUID&gt;{DE16ABCE-A785-434C-BF43-2FE58866AFDD}&lt;/DBUID&gt;&lt;/Extra&gt;&lt;/Item&gt;&lt;/References&gt;&lt;/Group&gt;&lt;Group&gt;&lt;References&gt;&lt;Item&gt;&lt;ID&gt;738&lt;/ID&gt;&lt;UID&gt;{20B4F7D9-A5A3-4559-8A5C-080B20EAEB45}&lt;/UID&gt;&lt;Title&gt;Pulmonary neuroendocrine neoplasms: the molecular landscape, therapeutic  challenges, and diagnosis and management strategies&lt;/Title&gt;&lt;Template&gt;Journal Article&lt;/Template&gt;&lt;Star&gt;0&lt;/Star&gt;&lt;Tag&gt;0&lt;/Tag&gt;&lt;Author&gt;Sen, T; Dotsu, Y; Corbett, V; Puri, S; Sen, U; Boyle, T A; Mack, P; Hirsch, F; Aljumaily, R; Naqash, A R; Sukrithan, V; Karim, N A&lt;/Author&gt;&lt;Year&gt;2025&lt;/Year&gt;&lt;Details&gt;&lt;_accession_num&gt;39756451&lt;/_accession_num&gt;&lt;_author_adr&gt;Department of Oncological Sciences, Icahn School of Medicine at Mount Sinai, New  York, NY, USA; Tisch Cancer Institute, Icahn School of Medicine at Mount Sinai,  New York, NY, USA. Electronic address: triparna.sen@mssm.edu.; Department of Oncological Sciences, Icahn School of Medicine at Mount Sinai, New  York, NY, USA.; Division of Hematology and Medical Oncology, Icahn School of Medicine at Mount  Sinai, New York, NY, USA.; Division of Clinical Oncology, The Huntsman Cancer Institute at The University of  Utah, Salt Lake City, UT, USA.; Department of Oncological Sciences, Icahn School of Medicine at Mount Sinai, New  York, NY, USA.; Moffitt Cancer Center, Tampa, FL, USA.; Department of Oncological Sciences, Icahn School of Medicine at Mount Sinai, New  York, NY, USA.; Department of Oncological Sciences, Icahn School of Medicine at Mount Sinai, New  York, NY, USA.; Stephenson Cancer Center, University of Oklahoma, Oklahoma City, OK, USA.; Stephenson Cancer Center, University of Oklahoma, Oklahoma City, OK, USA.; Ohio State University Comprehensive Cancer Center, Columbus, OH, USA.; Inova Schar Cancer Institute, Fairfax, VA, USA.&lt;/_author_adr&gt;&lt;_date_display&gt;2025 Jan&lt;/_date_display&gt;&lt;_date&gt;2025-01-01&lt;/_date&gt;&lt;_doi&gt;10.1016/S1470-2045(24)00374-7&lt;/_doi&gt;&lt;_isbn&gt;1474-5488 (Electronic); 1470-2045 (Linking)&lt;/_isbn&gt;&lt;_issue&gt;1&lt;/_issue&gt;&lt;_journal&gt;Lancet Oncol&lt;/_journal&gt;&lt;_language&gt;eng&lt;/_language&gt;&lt;_ori_publication&gt;Copyright (c) 2024 Elsevier Ltd. All rights reserved, including those for text and _x000d__x000a_      data mining, AI training, and similar technologies.&lt;/_ori_publication&gt;&lt;_pages&gt;e13-e33&lt;/_pages&gt;&lt;_subject_headings&gt;Humans; *Lung Neoplasms/therapy/genetics/diagnosis/epidemiology/pathology; *Neuroendocrine Tumors/therapy/genetics/diagnosis/epidemiology/pathology; Biomarkers, Tumor/genetics; Carcinoma, Neuroendocrine/genetics/therapy/pathology/diagnosis/epidemiology; Neoplasm Staging&lt;/_subject_headings&gt;&lt;_tertiary_title&gt;The Lancet. Oncology&lt;/_tertiary_title&gt;&lt;_type_work&gt;Journal Article; Review&lt;/_type_work&gt;&lt;_url&gt;http://www.ncbi.nlm.nih.gov/entrez/query.fcgi?cmd=Retrieve&amp;amp;db=pubmed&amp;amp;dopt=Abstract&amp;amp;list_uids=39756451&amp;amp;query_hl=1&lt;/_url&gt;&lt;_volume&gt;26&lt;/_volume&gt;&lt;_created&gt;65843919&lt;/_created&gt;&lt;_modified&gt;65843919&lt;/_modified&gt;&lt;_db_updated&gt;PubMed&lt;/_db_updated&gt;&lt;_impact_factor&gt;  51.100&lt;/_impact_factor&gt;&lt;_social_category&gt;肿瘤学(1)&lt;/_social_category&gt;&lt;_collection_scope&gt;SCIE&lt;/_collection_scope&gt;&lt;/Details&gt;&lt;Extra&gt;&lt;DBUID&gt;{DE16ABCE-A785-434C-BF43-2FE58866AFDD}&lt;/DBUID&gt;&lt;/Extra&gt;&lt;/Item&gt;&lt;/References&gt;&lt;/Group&gt;&lt;Group&gt;&lt;References&gt;&lt;Item&gt;&lt;ID&gt;739&lt;/ID&gt;&lt;UID&gt;{7B90C6A2-EC83-4F23-BA26-A6FB59561C9F}&lt;/UID&gt;&lt;Title&gt;Neuroendocrine Neoplasms of the Breast: Current Insights and Future Directions&lt;/Title&gt;&lt;Template&gt;Journal Article&lt;/Template&gt;&lt;Star&gt;0&lt;/Star&gt;&lt;Tag&gt;0&lt;/Tag&gt;&lt;Author&gt;Jiang, L; Pan, X; Lang, Z&lt;/Author&gt;&lt;Year&gt;2024&lt;/Year&gt;&lt;Details&gt;&lt;_accession_num&gt;39585672&lt;/_accession_num&gt;&lt;_author_adr&gt;Department of Pathology, Yantai Yuhuangding Hospital, Yantai, Shandong, China.; Department of Pathology, Yantai Yuhuangding Hospital, Yantai, Shandong, China.; School of Clinical Medicine, Shandong Second Medical University, Weifang,  Shandong, China.; Department of Pathology, Yantai Yuhuangding Hospital, Yantai, Shandong, China.&lt;/_author_adr&gt;&lt;_date_display&gt;2024 Nov&lt;/_date_display&gt;&lt;_date&gt;2024-11-01&lt;/_date&gt;&lt;_doi&gt;10.1002/cnr2.70059&lt;/_doi&gt;&lt;_isbn&gt;2573-8348 (Electronic); 2573-8348 (Linking)&lt;/_isbn&gt;&lt;_issue&gt;11&lt;/_issue&gt;&lt;_journal&gt;Cancer Rep (Hoboken)&lt;/_journal&gt;&lt;_keywords&gt;diagnosis; management; neuroendocrine neoplasms of the breast; review&lt;/_keywords&gt;&lt;_language&gt;eng&lt;/_language&gt;&lt;_ori_publication&gt;(c) 2024 The Author(s). Cancer Reports published by Wiley Periodicals LLC.&lt;/_ori_publication&gt;&lt;_pages&gt;e70059&lt;/_pages&gt;&lt;_subject_headings&gt;Humans; *Breast Neoplasms/pathology/diagnosis/therapy; Female; *Neuroendocrine Tumors/pathology/diagnosis/therapy; Biomarkers, Tumor/analysis; Prognosis; Carcinoma, Neuroendocrine/pathology/diagnosis/therapy&lt;/_subject_headings&gt;&lt;_tertiary_title&gt;Cancer reports (Hoboken, N.J.)&lt;/_tertiary_title&gt;&lt;_type_work&gt;Journal Article; Review&lt;/_type_work&gt;&lt;_url&gt;http://www.ncbi.nlm.nih.gov/entrez/query.fcgi?cmd=Retrieve&amp;amp;db=pubmed&amp;amp;dopt=Abstract&amp;amp;list_uids=39585672&amp;amp;query_hl=1&lt;/_url&gt;&lt;_volume&gt;7&lt;/_volume&gt;&lt;_created&gt;65843920&lt;/_created&gt;&lt;_modified&gt;65843920&lt;/_modified&gt;&lt;_db_updated&gt;PubMed&lt;/_db_updated&gt;&lt;_impact_factor&gt;   1.700&lt;/_impact_factor&gt;&lt;_collection_scope&gt;ESCI&lt;/_collection_scope&gt;&lt;/Details&gt;&lt;Extra&gt;&lt;DBUID&gt;{DE16ABCE-A785-434C-BF43-2FE58866AFDD}&lt;/DBUID&gt;&lt;/Extra&gt;&lt;/Item&gt;&lt;/References&gt;&lt;/Group&gt;&lt;/Citation&gt;_x000a_"/>
    <w:docVar w:name="NE.Ref{FC572CE2-0F7C-47AB-9F47-38209DDCCDD7}" w:val=" ADDIN NE.Ref.{FC572CE2-0F7C-47AB-9F47-38209DDCCDD7}&lt;Citation&gt;&lt;Group&gt;&lt;References&gt;&lt;Item&gt;&lt;ID&gt;610&lt;/ID&gt;&lt;UID&gt;{3D9F8321-F3C0-4153-9C7D-B80F7E94AF11}&lt;/UID&gt;&lt;Title&gt;Temporal increase in Ki-67 index in patients with pancreatic neuroendocrine  tumours&lt;/Title&gt;&lt;Template&gt;Journal Article&lt;/Template&gt;&lt;Star&gt;0&lt;/Star&gt;&lt;Tag&gt;0&lt;/Tag&gt;&lt;Author&gt;Bourdeleau, P; Pokossy-Epee, J; Hentic, O; Tihy, M; Awan, Z A; Couvelard, A; Ronot, M; Rebours, V; Ruszniewski, P; Cros, J; de Mestier, L&lt;/Author&gt;&lt;Year&gt;2025&lt;/Year&gt;&lt;Details&gt;&lt;_accession_num&gt;39804242&lt;/_accession_num&gt;&lt;_collection_scope&gt;SCIE&lt;/_collection_scope&gt;&lt;_created&gt;65792888&lt;/_created&gt;&lt;_date&gt;2025-03-01&lt;/_date&gt;&lt;_date_display&gt;2025 Mar 1&lt;/_date_display&gt;&lt;_db_updated&gt;PubMed&lt;/_db_updated&gt;&lt;_doi&gt;10.1530/ERC-24-0321&lt;/_doi&gt;&lt;_impact_factor&gt;   3.900&lt;/_impact_factor&gt;&lt;_isbn&gt;1479-6821 (Electronic); 1351-0088 (Linking)&lt;/_isbn&gt;&lt;_issue&gt;3&lt;/_issue&gt;&lt;_journal&gt;Endocr Relat Cancer&lt;/_journal&gt;&lt;_keywords&gt;Ki-67 index; evolution; intra-tumour heterogeneity; metastases; pancreatic neuroendocrine tumours&lt;/_keywords&gt;&lt;_language&gt;eng&lt;/_language&gt;&lt;_modified&gt;65843867&lt;/_modified&gt;&lt;_social_category&gt;内分泌学与代谢(3) &amp;amp; 肿瘤学(3)&lt;/_social_category&gt;&lt;_subject_headings&gt;Humans; *Pancreatic Neoplasms/metabolism/pathology/mortality/drug therapy; *Ki-67 Antigen/metabolism; *Neuroendocrine Tumors/metabolism/pathology/drug therapy/mortality; Female; Male; Middle Aged; Aged; Retrospective Studies; Biomarkers, Tumor/metabolism; Adult; Prognosis; Trans-Activators/metabolism; X-linked Nuclear Protein/metabolism/genetics; Proto-Oncogene Proteins; Transcription Factors; Homeodomain Proteins&lt;/_subject_headings&gt;&lt;_tertiary_title&gt;Endocrine-related cancer&lt;/_tertiary_title&gt;&lt;_type_work&gt;Journal Article&lt;/_type_work&gt;&lt;_url&gt;http://www.ncbi.nlm.nih.gov/entrez/query.fcgi?cmd=Retrieve&amp;amp;db=pubmed&amp;amp;dopt=Abstract&amp;amp;list_uids=39804242&amp;amp;query_hl=1&lt;/_url&gt;&lt;_volume&gt;32&lt;/_volume&gt;&lt;_accessed&gt;65843867&lt;/_accessed&gt;&lt;/Details&gt;&lt;Extra&gt;&lt;DBUID&gt;{DE16ABCE-A785-434C-BF43-2FE58866AFDD}&lt;/DBUID&gt;&lt;/Extra&gt;&lt;/Item&gt;&lt;/References&gt;&lt;/Group&gt;&lt;/Citation&gt;_x000a_"/>
    <w:docVar w:name="ne_docsoft" w:val="MSWord"/>
    <w:docVar w:name="ne_docversion" w:val="NoteExpress 2.0"/>
    <w:docVar w:name="ne_stylename" w:val="中华人民共和国国家标准_GBT_7714-2005"/>
  </w:docVars>
  <w:rsids>
    <w:rsidRoot w:val="00172A27"/>
    <w:rsid w:val="017460A8"/>
    <w:rsid w:val="02CA41D5"/>
    <w:rsid w:val="03E47DE3"/>
    <w:rsid w:val="04801B6D"/>
    <w:rsid w:val="04A4020B"/>
    <w:rsid w:val="05FE23E4"/>
    <w:rsid w:val="06070943"/>
    <w:rsid w:val="067D4056"/>
    <w:rsid w:val="07752068"/>
    <w:rsid w:val="07E82C21"/>
    <w:rsid w:val="080566C1"/>
    <w:rsid w:val="089470F2"/>
    <w:rsid w:val="08FA3336"/>
    <w:rsid w:val="0AC21DAF"/>
    <w:rsid w:val="0B732F2C"/>
    <w:rsid w:val="0C123E3E"/>
    <w:rsid w:val="0C140D82"/>
    <w:rsid w:val="0C926D95"/>
    <w:rsid w:val="0D650EBE"/>
    <w:rsid w:val="0D9854A1"/>
    <w:rsid w:val="0E340B1A"/>
    <w:rsid w:val="0EEC3721"/>
    <w:rsid w:val="13370C17"/>
    <w:rsid w:val="1451279F"/>
    <w:rsid w:val="163D73A5"/>
    <w:rsid w:val="1669101C"/>
    <w:rsid w:val="166D1A36"/>
    <w:rsid w:val="1A7B2C06"/>
    <w:rsid w:val="1B956485"/>
    <w:rsid w:val="1D1F3868"/>
    <w:rsid w:val="1EAB56A0"/>
    <w:rsid w:val="1ECD7FF7"/>
    <w:rsid w:val="1FAA1465"/>
    <w:rsid w:val="1FF94EE1"/>
    <w:rsid w:val="2072364A"/>
    <w:rsid w:val="20FB70FE"/>
    <w:rsid w:val="22193302"/>
    <w:rsid w:val="22610ADC"/>
    <w:rsid w:val="234875F1"/>
    <w:rsid w:val="25B7024E"/>
    <w:rsid w:val="26BB40F8"/>
    <w:rsid w:val="280C73D5"/>
    <w:rsid w:val="298E3064"/>
    <w:rsid w:val="29E161C4"/>
    <w:rsid w:val="2CB05936"/>
    <w:rsid w:val="2EC11944"/>
    <w:rsid w:val="2F0F103A"/>
    <w:rsid w:val="2F8A47D0"/>
    <w:rsid w:val="31D4502B"/>
    <w:rsid w:val="37167DC8"/>
    <w:rsid w:val="382411C2"/>
    <w:rsid w:val="3909750A"/>
    <w:rsid w:val="3C631651"/>
    <w:rsid w:val="3E4F71FF"/>
    <w:rsid w:val="3EB51383"/>
    <w:rsid w:val="3F41064F"/>
    <w:rsid w:val="401232F8"/>
    <w:rsid w:val="41E1477C"/>
    <w:rsid w:val="423C4142"/>
    <w:rsid w:val="424D3ACD"/>
    <w:rsid w:val="426B2D1E"/>
    <w:rsid w:val="45F545AD"/>
    <w:rsid w:val="4808522C"/>
    <w:rsid w:val="483334AA"/>
    <w:rsid w:val="48BF2D31"/>
    <w:rsid w:val="4AA76173"/>
    <w:rsid w:val="4AAB6DBB"/>
    <w:rsid w:val="4C332EEE"/>
    <w:rsid w:val="4C4B1D97"/>
    <w:rsid w:val="4C687E90"/>
    <w:rsid w:val="4CF2277F"/>
    <w:rsid w:val="4D2A31A5"/>
    <w:rsid w:val="4E117365"/>
    <w:rsid w:val="4E66445A"/>
    <w:rsid w:val="506E5F07"/>
    <w:rsid w:val="51311368"/>
    <w:rsid w:val="51754720"/>
    <w:rsid w:val="5230615B"/>
    <w:rsid w:val="525C76C9"/>
    <w:rsid w:val="53A15172"/>
    <w:rsid w:val="54532EC8"/>
    <w:rsid w:val="54662BFB"/>
    <w:rsid w:val="55C273B1"/>
    <w:rsid w:val="587E4BF4"/>
    <w:rsid w:val="589A48CE"/>
    <w:rsid w:val="58DE5828"/>
    <w:rsid w:val="5AAE7FC0"/>
    <w:rsid w:val="5C08420D"/>
    <w:rsid w:val="5D2E548C"/>
    <w:rsid w:val="5D480A5E"/>
    <w:rsid w:val="5DAA1DAA"/>
    <w:rsid w:val="5E1D6529"/>
    <w:rsid w:val="5FC133DB"/>
    <w:rsid w:val="60096F7E"/>
    <w:rsid w:val="63C77D1B"/>
    <w:rsid w:val="64A07A63"/>
    <w:rsid w:val="65252AAB"/>
    <w:rsid w:val="65C14D81"/>
    <w:rsid w:val="68CD2E71"/>
    <w:rsid w:val="68E63EB3"/>
    <w:rsid w:val="69CD3032"/>
    <w:rsid w:val="6A493FCB"/>
    <w:rsid w:val="6A781D7F"/>
    <w:rsid w:val="6A8A495F"/>
    <w:rsid w:val="6AB75B07"/>
    <w:rsid w:val="6B521F17"/>
    <w:rsid w:val="6BE27381"/>
    <w:rsid w:val="6C061E6B"/>
    <w:rsid w:val="6D464F20"/>
    <w:rsid w:val="6DCF75C3"/>
    <w:rsid w:val="6FD56D4F"/>
    <w:rsid w:val="70005D5B"/>
    <w:rsid w:val="7158072E"/>
    <w:rsid w:val="721F1FA0"/>
    <w:rsid w:val="72C851ED"/>
    <w:rsid w:val="74626AE3"/>
    <w:rsid w:val="7486496C"/>
    <w:rsid w:val="74EB47DC"/>
    <w:rsid w:val="772F42FA"/>
    <w:rsid w:val="775846B6"/>
    <w:rsid w:val="77FE10EE"/>
    <w:rsid w:val="791164BA"/>
    <w:rsid w:val="7AC6465C"/>
    <w:rsid w:val="7B8A1C26"/>
    <w:rsid w:val="7E7E1819"/>
    <w:rsid w:val="7FC03B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2140</Words>
  <Characters>12715</Characters>
  <Lines>0</Lines>
  <Paragraphs>0</Paragraphs>
  <TotalTime>13</TotalTime>
  <ScaleCrop>false</ScaleCrop>
  <LinksUpToDate>false</LinksUpToDate>
  <CharactersWithSpaces>14840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2025-03-07T05:49:00Z</dcterms:created>
  <dc:creator>叶木杰</dc:creator>
  <cp:lastModifiedBy>叶木杰</cp:lastModifiedBy>
  <dcterms:modified xsi:type="dcterms:W3CDTF">2025-04-04T05:28:03Z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4786919774034D6B8686F805A35F8785_13</vt:lpwstr>
  </property>
  <property fmtid="{D5CDD505-2E9C-101B-9397-08002B2CF9AE}" pid="4" name="KSOTemplateDocerSaveRecord">
    <vt:lpwstr>eyJoZGlkIjoiMTA4MzU1NTFkMmNhYjM5ZGJkZGFlODlmNzQxMDk2NWUiLCJ1c2VySWQiOiI0NzIzMjkyMDEifQ==</vt:lpwstr>
  </property>
</Properties>
</file>