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05F61" w14:textId="4ED36F10" w:rsidR="00FA1481" w:rsidRDefault="00FA1481" w:rsidP="00354875">
      <w:pPr>
        <w:jc w:val="center"/>
        <w:rPr>
          <w:sz w:val="36"/>
          <w:szCs w:val="36"/>
        </w:rPr>
      </w:pPr>
    </w:p>
    <w:p w14:paraId="3317CF4D" w14:textId="77777777" w:rsidR="00EC7C85" w:rsidRDefault="00EC7C85" w:rsidP="00F125EE">
      <w:pPr>
        <w:rPr>
          <w:sz w:val="36"/>
          <w:szCs w:val="36"/>
        </w:rPr>
      </w:pPr>
    </w:p>
    <w:p w14:paraId="33788641" w14:textId="77777777" w:rsidR="00F125EE" w:rsidRDefault="00F125EE" w:rsidP="00FA1481">
      <w:pPr>
        <w:jc w:val="center"/>
        <w:rPr>
          <w:sz w:val="36"/>
          <w:szCs w:val="36"/>
        </w:rPr>
      </w:pPr>
    </w:p>
    <w:p w14:paraId="31C337D1" w14:textId="77777777" w:rsidR="00D04BCF" w:rsidRPr="001A34C4" w:rsidRDefault="00BB2D2A" w:rsidP="00FA1481">
      <w:pPr>
        <w:jc w:val="center"/>
        <w:rPr>
          <w:rFonts w:ascii="Arial" w:hAnsi="Arial" w:cs="Arial"/>
          <w:szCs w:val="24"/>
        </w:rPr>
      </w:pPr>
      <w:r w:rsidRPr="001A34C4">
        <w:rPr>
          <w:rFonts w:ascii="Arial" w:hAnsi="Arial" w:cs="Arial"/>
          <w:szCs w:val="24"/>
        </w:rPr>
        <w:t>Supplementary Materials</w:t>
      </w:r>
      <w:r w:rsidR="009743A9" w:rsidRPr="001A34C4">
        <w:rPr>
          <w:rFonts w:ascii="Arial" w:hAnsi="Arial" w:cs="Arial"/>
          <w:szCs w:val="24"/>
        </w:rPr>
        <w:t xml:space="preserve"> for</w:t>
      </w:r>
    </w:p>
    <w:p w14:paraId="29411C5A" w14:textId="77777777" w:rsidR="005001AC" w:rsidRDefault="005001AC"/>
    <w:p w14:paraId="5770FE1F" w14:textId="77777777" w:rsidR="00BC0349" w:rsidRDefault="00BC0349" w:rsidP="00BC0349">
      <w:pPr>
        <w:jc w:val="center"/>
        <w:rPr>
          <w:rFonts w:ascii="Helvetica" w:hAnsi="Helvetica"/>
          <w:b/>
          <w:bCs/>
        </w:rPr>
      </w:pPr>
      <w:r>
        <w:rPr>
          <w:rFonts w:ascii="Helvetica" w:hAnsi="Helvetica"/>
          <w:b/>
          <w:bCs/>
        </w:rPr>
        <w:t>Precipitation consolidation</w:t>
      </w:r>
      <w:r w:rsidRPr="00DA028D">
        <w:rPr>
          <w:rFonts w:ascii="Helvetica" w:hAnsi="Helvetica"/>
          <w:b/>
          <w:bCs/>
        </w:rPr>
        <w:t xml:space="preserve"> </w:t>
      </w:r>
      <w:r>
        <w:rPr>
          <w:rFonts w:ascii="Helvetica" w:hAnsi="Helvetica"/>
          <w:b/>
          <w:bCs/>
        </w:rPr>
        <w:t>decreases terrestrial water storage</w:t>
      </w:r>
    </w:p>
    <w:p w14:paraId="339B31F7" w14:textId="77777777" w:rsidR="00015F74" w:rsidRPr="007108F5" w:rsidRDefault="00015F74" w:rsidP="003B40E6">
      <w:pPr>
        <w:jc w:val="center"/>
        <w:rPr>
          <w:sz w:val="28"/>
          <w:szCs w:val="28"/>
        </w:rPr>
      </w:pPr>
    </w:p>
    <w:p w14:paraId="3A4A1AF8" w14:textId="64E1AA17" w:rsidR="00BC0349" w:rsidRPr="002A34E6" w:rsidRDefault="00BC0349" w:rsidP="00BC0349">
      <w:pPr>
        <w:jc w:val="center"/>
        <w:rPr>
          <w:rFonts w:ascii="Arial" w:hAnsi="Arial" w:cs="Arial"/>
          <w:vertAlign w:val="superscript"/>
        </w:rPr>
      </w:pPr>
      <w:r w:rsidRPr="002A34E6">
        <w:rPr>
          <w:rFonts w:ascii="Arial" w:hAnsi="Arial" w:cs="Arial"/>
        </w:rPr>
        <w:t>Corey S. Lesk and Justin S. Mankin</w:t>
      </w:r>
    </w:p>
    <w:p w14:paraId="0648E06D" w14:textId="77777777" w:rsidR="000F0DCE" w:rsidRPr="002A34E6" w:rsidRDefault="000F0DCE" w:rsidP="005001AC">
      <w:pPr>
        <w:jc w:val="center"/>
        <w:rPr>
          <w:rFonts w:ascii="Arial" w:hAnsi="Arial" w:cs="Arial"/>
          <w:szCs w:val="24"/>
        </w:rPr>
      </w:pPr>
    </w:p>
    <w:p w14:paraId="34D67477" w14:textId="7FA00E1B" w:rsidR="004779CB" w:rsidRPr="002A34E6" w:rsidRDefault="00E4519A" w:rsidP="005001AC">
      <w:pPr>
        <w:jc w:val="center"/>
        <w:rPr>
          <w:rFonts w:ascii="Arial" w:hAnsi="Arial" w:cs="Arial"/>
          <w:szCs w:val="24"/>
        </w:rPr>
      </w:pPr>
      <w:r w:rsidRPr="002A34E6">
        <w:rPr>
          <w:rFonts w:ascii="Arial" w:hAnsi="Arial" w:cs="Arial"/>
          <w:szCs w:val="24"/>
        </w:rPr>
        <w:t>Correspond</w:t>
      </w:r>
      <w:r w:rsidR="00F4427B" w:rsidRPr="002A34E6">
        <w:rPr>
          <w:rFonts w:ascii="Arial" w:hAnsi="Arial" w:cs="Arial"/>
          <w:szCs w:val="24"/>
        </w:rPr>
        <w:t>ing author</w:t>
      </w:r>
      <w:r w:rsidR="004779CB" w:rsidRPr="002A34E6">
        <w:rPr>
          <w:rFonts w:ascii="Arial" w:hAnsi="Arial" w:cs="Arial"/>
          <w:szCs w:val="24"/>
        </w:rPr>
        <w:t>:</w:t>
      </w:r>
      <w:r w:rsidR="00BC3E04" w:rsidRPr="002A34E6">
        <w:rPr>
          <w:rFonts w:ascii="Arial" w:hAnsi="Arial" w:cs="Arial"/>
          <w:szCs w:val="24"/>
        </w:rPr>
        <w:t xml:space="preserve"> </w:t>
      </w:r>
      <w:hyperlink r:id="rId8" w:history="1">
        <w:r w:rsidR="00BC0349" w:rsidRPr="002A34E6">
          <w:rPr>
            <w:rStyle w:val="Hyperlink"/>
            <w:rFonts w:ascii="Arial" w:hAnsi="Arial" w:cs="Arial"/>
            <w:szCs w:val="24"/>
          </w:rPr>
          <w:t>corey.s.lesk@dartmouth.edu</w:t>
        </w:r>
      </w:hyperlink>
    </w:p>
    <w:p w14:paraId="223EBBEB" w14:textId="77777777" w:rsidR="002C030F" w:rsidRPr="002A34E6" w:rsidRDefault="002C030F">
      <w:pPr>
        <w:rPr>
          <w:rFonts w:ascii="Arial" w:hAnsi="Arial" w:cs="Arial"/>
        </w:rPr>
      </w:pPr>
    </w:p>
    <w:p w14:paraId="68691C5A" w14:textId="77777777" w:rsidR="00065EBD" w:rsidRDefault="00065EBD" w:rsidP="00262D72">
      <w:pPr>
        <w:ind w:left="720"/>
      </w:pPr>
    </w:p>
    <w:p w14:paraId="23718CE0" w14:textId="77777777" w:rsidR="00015F74" w:rsidRDefault="00015F74" w:rsidP="00262D72">
      <w:pPr>
        <w:ind w:left="720"/>
      </w:pPr>
      <w:r>
        <w:br/>
      </w:r>
    </w:p>
    <w:p w14:paraId="20BA19CA" w14:textId="32B4AD76" w:rsidR="001152BA" w:rsidRPr="00B903B6" w:rsidRDefault="00015F74" w:rsidP="002A34E6">
      <w:pPr>
        <w:spacing w:after="80"/>
        <w:jc w:val="both"/>
        <w:rPr>
          <w:rFonts w:ascii="Arial" w:eastAsiaTheme="minorEastAsia" w:hAnsi="Arial" w:cs="Arial"/>
        </w:rPr>
      </w:pPr>
      <w:r>
        <w:br w:type="page"/>
      </w:r>
      <w:bookmarkStart w:id="0" w:name="Tables"/>
      <w:bookmarkStart w:id="1" w:name="MaterialsMethods"/>
      <w:bookmarkEnd w:id="0"/>
      <w:bookmarkEnd w:id="1"/>
    </w:p>
    <w:p w14:paraId="501A8ED0" w14:textId="77777777" w:rsidR="00354875" w:rsidRPr="00DA4541" w:rsidRDefault="00354875" w:rsidP="00354875">
      <w:pPr>
        <w:jc w:val="center"/>
        <w:rPr>
          <w:rFonts w:ascii="Arial" w:hAnsi="Arial" w:cs="Arial"/>
        </w:rPr>
      </w:pPr>
      <w:r w:rsidRPr="00DA4541">
        <w:rPr>
          <w:rFonts w:ascii="Arial" w:hAnsi="Arial" w:cs="Arial"/>
          <w:noProof/>
        </w:rPr>
        <w:lastRenderedPageBreak/>
        <w:drawing>
          <wp:inline distT="0" distB="0" distL="0" distR="0" wp14:anchorId="77F3A744" wp14:editId="5964D71C">
            <wp:extent cx="4127500" cy="2621139"/>
            <wp:effectExtent l="0" t="0" r="0" b="8255"/>
            <wp:docPr id="2438480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942" cy="2627135"/>
                    </a:xfrm>
                    <a:prstGeom prst="rect">
                      <a:avLst/>
                    </a:prstGeom>
                    <a:noFill/>
                    <a:ln>
                      <a:noFill/>
                    </a:ln>
                  </pic:spPr>
                </pic:pic>
              </a:graphicData>
            </a:graphic>
          </wp:inline>
        </w:drawing>
      </w:r>
    </w:p>
    <w:p w14:paraId="25E5A4C5" w14:textId="0233A53D" w:rsidR="00354875" w:rsidRPr="006138C6" w:rsidRDefault="00D970E5" w:rsidP="006721CE">
      <w:pPr>
        <w:jc w:val="both"/>
        <w:rPr>
          <w:rFonts w:ascii="Arial" w:hAnsi="Arial" w:cs="Arial"/>
        </w:rPr>
      </w:pPr>
      <w:r>
        <w:rPr>
          <w:rFonts w:ascii="Arial" w:hAnsi="Arial" w:cs="Arial"/>
          <w:b/>
          <w:bCs/>
        </w:rPr>
        <w:t xml:space="preserve">Supplementary </w:t>
      </w:r>
      <w:r w:rsidR="00354875" w:rsidRPr="0020013A">
        <w:rPr>
          <w:rFonts w:ascii="Arial" w:hAnsi="Arial" w:cs="Arial"/>
          <w:b/>
          <w:bCs/>
        </w:rPr>
        <w:t>Figure 1: Distribution of mean annual precipitation and daily rainfall consolidation across global land area.</w:t>
      </w:r>
      <w:r w:rsidR="006138C6">
        <w:rPr>
          <w:rFonts w:ascii="Arial" w:hAnsi="Arial" w:cs="Arial"/>
          <w:b/>
          <w:bCs/>
        </w:rPr>
        <w:t xml:space="preserve"> </w:t>
      </w:r>
      <w:r w:rsidR="006138C6">
        <w:rPr>
          <w:rFonts w:ascii="Arial" w:hAnsi="Arial" w:cs="Arial"/>
        </w:rPr>
        <w:t>Climatological G</w:t>
      </w:r>
      <w:r w:rsidR="006138C6">
        <w:rPr>
          <w:rFonts w:ascii="Arial" w:hAnsi="Arial" w:cs="Arial"/>
          <w:vertAlign w:val="subscript"/>
        </w:rPr>
        <w:t>P</w:t>
      </w:r>
      <w:r w:rsidR="006138C6">
        <w:rPr>
          <w:rFonts w:ascii="Arial" w:hAnsi="Arial" w:cs="Arial"/>
        </w:rPr>
        <w:t xml:space="preserve"> averaged over 100mm bins of climatological annual precipitation across its global domain (blue curve, left vertical axis). Histogram of climatological annual precipitation in frequency terms (bars, right vertical axis). Data are from the Climate Prediction Center Unified Gauge-Based Daily Analysis.</w:t>
      </w:r>
    </w:p>
    <w:p w14:paraId="75EEDFEC" w14:textId="77777777" w:rsidR="00354875" w:rsidRPr="00DA4541" w:rsidRDefault="00354875" w:rsidP="00354875">
      <w:pPr>
        <w:jc w:val="center"/>
        <w:rPr>
          <w:rFonts w:ascii="Arial" w:hAnsi="Arial" w:cs="Arial"/>
        </w:rPr>
      </w:pPr>
    </w:p>
    <w:p w14:paraId="68115013" w14:textId="77777777" w:rsidR="00354875" w:rsidRPr="00DA4541" w:rsidRDefault="00354875" w:rsidP="00354875">
      <w:pPr>
        <w:jc w:val="center"/>
        <w:rPr>
          <w:rFonts w:ascii="Arial" w:hAnsi="Arial" w:cs="Arial"/>
        </w:rPr>
      </w:pPr>
    </w:p>
    <w:p w14:paraId="7B39E61B" w14:textId="77777777" w:rsidR="00354875" w:rsidRPr="00DA4541" w:rsidRDefault="00354875" w:rsidP="00354875">
      <w:pPr>
        <w:jc w:val="center"/>
        <w:rPr>
          <w:rFonts w:ascii="Arial" w:hAnsi="Arial" w:cs="Arial"/>
        </w:rPr>
      </w:pPr>
    </w:p>
    <w:p w14:paraId="773D87A7" w14:textId="77777777" w:rsidR="00354875" w:rsidRPr="00DA4541" w:rsidRDefault="00354875" w:rsidP="00354875">
      <w:pPr>
        <w:jc w:val="center"/>
        <w:rPr>
          <w:rFonts w:ascii="Arial" w:hAnsi="Arial" w:cs="Arial"/>
        </w:rPr>
      </w:pPr>
    </w:p>
    <w:p w14:paraId="0E89F69A" w14:textId="77777777" w:rsidR="00354875" w:rsidRDefault="00354875" w:rsidP="00354875">
      <w:pPr>
        <w:jc w:val="center"/>
        <w:rPr>
          <w:rFonts w:ascii="Arial" w:hAnsi="Arial" w:cs="Arial"/>
        </w:rPr>
      </w:pPr>
    </w:p>
    <w:p w14:paraId="5DC618D5" w14:textId="77777777" w:rsidR="00354875" w:rsidRDefault="00354875" w:rsidP="00354875">
      <w:pPr>
        <w:jc w:val="center"/>
        <w:rPr>
          <w:rFonts w:ascii="Arial" w:hAnsi="Arial" w:cs="Arial"/>
        </w:rPr>
      </w:pPr>
    </w:p>
    <w:p w14:paraId="13B387A3" w14:textId="77777777" w:rsidR="00354875" w:rsidRPr="00DA4541" w:rsidRDefault="00354875" w:rsidP="00354875">
      <w:pPr>
        <w:jc w:val="center"/>
        <w:rPr>
          <w:rFonts w:ascii="Arial" w:hAnsi="Arial" w:cs="Arial"/>
        </w:rPr>
      </w:pPr>
    </w:p>
    <w:p w14:paraId="69672D09" w14:textId="77777777" w:rsidR="00354875" w:rsidRDefault="00354875" w:rsidP="00354875">
      <w:pPr>
        <w:jc w:val="center"/>
        <w:rPr>
          <w:rFonts w:ascii="Arial" w:hAnsi="Arial" w:cs="Arial"/>
        </w:rPr>
      </w:pPr>
    </w:p>
    <w:p w14:paraId="3637B4A5" w14:textId="77777777" w:rsidR="00354875" w:rsidRDefault="00354875" w:rsidP="00354875">
      <w:pPr>
        <w:jc w:val="center"/>
        <w:rPr>
          <w:rFonts w:ascii="Arial" w:hAnsi="Arial" w:cs="Arial"/>
        </w:rPr>
      </w:pPr>
    </w:p>
    <w:p w14:paraId="1219F9E2" w14:textId="77777777" w:rsidR="00354875" w:rsidRDefault="00354875" w:rsidP="00354875">
      <w:pPr>
        <w:jc w:val="center"/>
        <w:rPr>
          <w:rFonts w:ascii="Arial" w:hAnsi="Arial" w:cs="Arial"/>
        </w:rPr>
      </w:pPr>
    </w:p>
    <w:p w14:paraId="099401B6" w14:textId="77777777" w:rsidR="00354875" w:rsidRDefault="00354875" w:rsidP="00354875">
      <w:pPr>
        <w:jc w:val="center"/>
        <w:rPr>
          <w:rFonts w:ascii="Arial" w:hAnsi="Arial" w:cs="Arial"/>
        </w:rPr>
      </w:pPr>
    </w:p>
    <w:p w14:paraId="0E1255D9" w14:textId="77777777" w:rsidR="00354875" w:rsidRDefault="00354875" w:rsidP="00354875">
      <w:pPr>
        <w:jc w:val="center"/>
        <w:rPr>
          <w:rFonts w:ascii="Arial" w:hAnsi="Arial" w:cs="Arial"/>
        </w:rPr>
      </w:pPr>
    </w:p>
    <w:p w14:paraId="7074182E" w14:textId="77777777" w:rsidR="00354875" w:rsidRDefault="00354875" w:rsidP="00354875">
      <w:pPr>
        <w:jc w:val="center"/>
        <w:rPr>
          <w:rFonts w:ascii="Arial" w:hAnsi="Arial" w:cs="Arial"/>
        </w:rPr>
      </w:pPr>
    </w:p>
    <w:p w14:paraId="30D09F50" w14:textId="77777777" w:rsidR="00354875" w:rsidRDefault="00354875" w:rsidP="00354875">
      <w:pPr>
        <w:jc w:val="center"/>
        <w:rPr>
          <w:rFonts w:ascii="Arial" w:hAnsi="Arial" w:cs="Arial"/>
        </w:rPr>
      </w:pPr>
    </w:p>
    <w:p w14:paraId="4E7C8A9E" w14:textId="77777777" w:rsidR="00354875" w:rsidRDefault="00354875" w:rsidP="00354875">
      <w:pPr>
        <w:jc w:val="center"/>
        <w:rPr>
          <w:rFonts w:ascii="Arial" w:hAnsi="Arial" w:cs="Arial"/>
        </w:rPr>
      </w:pPr>
    </w:p>
    <w:p w14:paraId="1ADE9EFA" w14:textId="77777777" w:rsidR="00354875" w:rsidRDefault="00354875" w:rsidP="00354875">
      <w:pPr>
        <w:jc w:val="center"/>
        <w:rPr>
          <w:rFonts w:ascii="Arial" w:hAnsi="Arial" w:cs="Arial"/>
        </w:rPr>
      </w:pPr>
    </w:p>
    <w:p w14:paraId="69858C8C" w14:textId="77777777" w:rsidR="00354875" w:rsidRDefault="00354875" w:rsidP="00354875">
      <w:pPr>
        <w:jc w:val="center"/>
        <w:rPr>
          <w:rFonts w:ascii="Arial" w:hAnsi="Arial" w:cs="Arial"/>
        </w:rPr>
      </w:pPr>
    </w:p>
    <w:p w14:paraId="436DCBBF" w14:textId="77777777" w:rsidR="00354875" w:rsidRDefault="00354875" w:rsidP="00354875">
      <w:pPr>
        <w:jc w:val="center"/>
        <w:rPr>
          <w:rFonts w:ascii="Arial" w:hAnsi="Arial" w:cs="Arial"/>
        </w:rPr>
      </w:pPr>
    </w:p>
    <w:p w14:paraId="662E4603" w14:textId="77777777" w:rsidR="00354875" w:rsidRDefault="00354875" w:rsidP="00354875">
      <w:pPr>
        <w:jc w:val="center"/>
        <w:rPr>
          <w:rFonts w:ascii="Arial" w:hAnsi="Arial" w:cs="Arial"/>
        </w:rPr>
      </w:pPr>
    </w:p>
    <w:p w14:paraId="1840C2F3" w14:textId="77777777" w:rsidR="00354875" w:rsidRPr="007D1916" w:rsidRDefault="00354875" w:rsidP="00354875">
      <w:pPr>
        <w:jc w:val="center"/>
        <w:rPr>
          <w:rFonts w:ascii="Arial" w:hAnsi="Arial" w:cs="Arial"/>
          <w:b/>
          <w:bCs/>
        </w:rPr>
      </w:pPr>
      <w:r w:rsidRPr="007D1916">
        <w:rPr>
          <w:rFonts w:ascii="Arial" w:hAnsi="Arial" w:cs="Arial"/>
          <w:b/>
          <w:bCs/>
          <w:noProof/>
        </w:rPr>
        <w:lastRenderedPageBreak/>
        <w:drawing>
          <wp:inline distT="0" distB="0" distL="0" distR="0" wp14:anchorId="0C9D2D4F" wp14:editId="5C452C8B">
            <wp:extent cx="5943600" cy="4418965"/>
            <wp:effectExtent l="0" t="0" r="0" b="635"/>
            <wp:docPr id="1303436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18965"/>
                    </a:xfrm>
                    <a:prstGeom prst="rect">
                      <a:avLst/>
                    </a:prstGeom>
                    <a:noFill/>
                    <a:ln>
                      <a:noFill/>
                    </a:ln>
                  </pic:spPr>
                </pic:pic>
              </a:graphicData>
            </a:graphic>
          </wp:inline>
        </w:drawing>
      </w:r>
    </w:p>
    <w:p w14:paraId="0783A04C" w14:textId="77777777" w:rsidR="00354875" w:rsidRPr="0020013A" w:rsidRDefault="00354875" w:rsidP="00354875">
      <w:pPr>
        <w:jc w:val="center"/>
        <w:rPr>
          <w:rFonts w:ascii="Arial" w:hAnsi="Arial" w:cs="Arial"/>
          <w:b/>
          <w:bCs/>
        </w:rPr>
      </w:pPr>
    </w:p>
    <w:p w14:paraId="5FA94A0A" w14:textId="6AA84577" w:rsidR="00354875" w:rsidRPr="009F44E7" w:rsidRDefault="00D970E5" w:rsidP="006721CE">
      <w:pPr>
        <w:jc w:val="both"/>
        <w:rPr>
          <w:rFonts w:ascii="Arial" w:hAnsi="Arial" w:cs="Arial"/>
        </w:rPr>
      </w:pPr>
      <w:r>
        <w:rPr>
          <w:rFonts w:ascii="Arial" w:hAnsi="Arial" w:cs="Arial"/>
          <w:b/>
          <w:bCs/>
        </w:rPr>
        <w:t xml:space="preserve">Supplementary </w:t>
      </w:r>
      <w:r w:rsidR="00354875" w:rsidRPr="0020013A">
        <w:rPr>
          <w:rFonts w:ascii="Arial" w:hAnsi="Arial" w:cs="Arial"/>
          <w:b/>
          <w:bCs/>
        </w:rPr>
        <w:t xml:space="preserve">Figure </w:t>
      </w:r>
      <w:r w:rsidR="006138C6">
        <w:rPr>
          <w:rFonts w:ascii="Arial" w:hAnsi="Arial" w:cs="Arial"/>
          <w:b/>
          <w:bCs/>
        </w:rPr>
        <w:t>2</w:t>
      </w:r>
      <w:r w:rsidR="00354875" w:rsidRPr="0020013A">
        <w:rPr>
          <w:rFonts w:ascii="Arial" w:hAnsi="Arial" w:cs="Arial"/>
          <w:b/>
          <w:bCs/>
        </w:rPr>
        <w:t xml:space="preserve">: </w:t>
      </w:r>
      <w:r w:rsidR="00354875">
        <w:rPr>
          <w:rFonts w:ascii="Arial" w:hAnsi="Arial" w:cs="Arial"/>
          <w:b/>
          <w:bCs/>
        </w:rPr>
        <w:t>Mean, variability, and trends in p</w:t>
      </w:r>
      <w:r w:rsidR="00354875" w:rsidRPr="0020013A">
        <w:rPr>
          <w:rFonts w:ascii="Arial" w:hAnsi="Arial" w:cs="Arial"/>
          <w:b/>
          <w:bCs/>
        </w:rPr>
        <w:t xml:space="preserve">recipitation consolidation </w:t>
      </w:r>
      <w:r w:rsidR="00354875">
        <w:rPr>
          <w:rFonts w:ascii="Arial" w:hAnsi="Arial" w:cs="Arial"/>
          <w:b/>
          <w:bCs/>
        </w:rPr>
        <w:t>across datasets</w:t>
      </w:r>
      <w:r w:rsidR="00354875" w:rsidRPr="0020013A">
        <w:rPr>
          <w:rFonts w:ascii="Arial" w:hAnsi="Arial" w:cs="Arial"/>
          <w:b/>
          <w:bCs/>
        </w:rPr>
        <w:t>.</w:t>
      </w:r>
      <w:r w:rsidR="006138C6">
        <w:rPr>
          <w:rFonts w:ascii="Arial" w:hAnsi="Arial" w:cs="Arial"/>
          <w:b/>
          <w:bCs/>
        </w:rPr>
        <w:t xml:space="preserve"> </w:t>
      </w:r>
      <w:r w:rsidR="006138C6">
        <w:rPr>
          <w:rFonts w:ascii="Arial" w:hAnsi="Arial" w:cs="Arial"/>
        </w:rPr>
        <w:t>a-d) Climatological mean G</w:t>
      </w:r>
      <w:r w:rsidR="006138C6">
        <w:rPr>
          <w:rFonts w:ascii="Arial" w:hAnsi="Arial" w:cs="Arial"/>
          <w:vertAlign w:val="subscript"/>
        </w:rPr>
        <w:t>P</w:t>
      </w:r>
      <w:r w:rsidR="009F44E7">
        <w:rPr>
          <w:rFonts w:ascii="Arial" w:hAnsi="Arial" w:cs="Arial"/>
        </w:rPr>
        <w:t xml:space="preserve">, averaged </w:t>
      </w:r>
      <w:r w:rsidR="006138C6">
        <w:rPr>
          <w:rFonts w:ascii="Arial" w:hAnsi="Arial" w:cs="Arial"/>
        </w:rPr>
        <w:t>over the complete record length</w:t>
      </w:r>
      <w:r w:rsidR="009F44E7">
        <w:rPr>
          <w:rFonts w:ascii="Arial" w:hAnsi="Arial" w:cs="Arial"/>
        </w:rPr>
        <w:t>, for individual daily precipitation data products (CPC, GPCC, and GPCP, a-c) and for the three-product mean (d). e-g) Standard deviation of detrended G</w:t>
      </w:r>
      <w:r w:rsidR="009F44E7">
        <w:rPr>
          <w:rFonts w:ascii="Arial" w:hAnsi="Arial" w:cs="Arial"/>
          <w:vertAlign w:val="subscript"/>
        </w:rPr>
        <w:t>P</w:t>
      </w:r>
      <w:r w:rsidR="009F44E7">
        <w:rPr>
          <w:rFonts w:ascii="Arial" w:hAnsi="Arial" w:cs="Arial"/>
        </w:rPr>
        <w:t xml:space="preserve"> anomalies over the complete record length, as a metric of interannual variability in precipitation consolidation. </w:t>
      </w:r>
      <w:proofErr w:type="spellStart"/>
      <w:r w:rsidR="009F44E7">
        <w:rPr>
          <w:rFonts w:ascii="Arial" w:hAnsi="Arial" w:cs="Arial"/>
        </w:rPr>
        <w:t>i</w:t>
      </w:r>
      <w:proofErr w:type="spellEnd"/>
      <w:r w:rsidR="009F44E7">
        <w:rPr>
          <w:rFonts w:ascii="Arial" w:hAnsi="Arial" w:cs="Arial"/>
        </w:rPr>
        <w:t>-l) Long-term linear trends in G</w:t>
      </w:r>
      <w:r w:rsidR="009F44E7">
        <w:rPr>
          <w:rFonts w:ascii="Arial" w:hAnsi="Arial" w:cs="Arial"/>
          <w:vertAlign w:val="subscript"/>
        </w:rPr>
        <w:t>P</w:t>
      </w:r>
      <w:r w:rsidR="009F44E7">
        <w:rPr>
          <w:rFonts w:ascii="Arial" w:hAnsi="Arial" w:cs="Arial"/>
        </w:rPr>
        <w:t>, expressed as changes per 20 years (to harmonize across the varying record lengths of the three data products).</w:t>
      </w:r>
      <w:r w:rsidR="006721CE">
        <w:rPr>
          <w:rFonts w:ascii="Arial" w:hAnsi="Arial" w:cs="Arial"/>
        </w:rPr>
        <w:t xml:space="preserve"> Panels d and f are identical to Fig. 1f and g.</w:t>
      </w:r>
    </w:p>
    <w:p w14:paraId="2D8F4A98" w14:textId="77777777" w:rsidR="00354875" w:rsidRDefault="00354875" w:rsidP="00354875">
      <w:pPr>
        <w:rPr>
          <w:rFonts w:ascii="Arial" w:hAnsi="Arial" w:cs="Arial"/>
        </w:rPr>
      </w:pPr>
    </w:p>
    <w:p w14:paraId="6D2D8754" w14:textId="77777777" w:rsidR="00354875" w:rsidRDefault="00354875" w:rsidP="00354875">
      <w:pPr>
        <w:rPr>
          <w:rFonts w:ascii="Arial" w:hAnsi="Arial" w:cs="Arial"/>
        </w:rPr>
      </w:pPr>
    </w:p>
    <w:p w14:paraId="06AD80C1" w14:textId="77777777" w:rsidR="00354875" w:rsidRDefault="00354875" w:rsidP="00354875">
      <w:pPr>
        <w:rPr>
          <w:rFonts w:ascii="Arial" w:hAnsi="Arial" w:cs="Arial"/>
        </w:rPr>
      </w:pPr>
    </w:p>
    <w:p w14:paraId="49311A7E" w14:textId="77777777" w:rsidR="00354875" w:rsidRDefault="00354875" w:rsidP="00354875">
      <w:pPr>
        <w:rPr>
          <w:rFonts w:ascii="Arial" w:hAnsi="Arial" w:cs="Arial"/>
        </w:rPr>
      </w:pPr>
    </w:p>
    <w:p w14:paraId="7BD23E51" w14:textId="77777777" w:rsidR="00354875" w:rsidRDefault="00354875" w:rsidP="00354875">
      <w:pPr>
        <w:rPr>
          <w:rFonts w:ascii="Arial" w:hAnsi="Arial" w:cs="Arial"/>
        </w:rPr>
      </w:pPr>
    </w:p>
    <w:p w14:paraId="4BADB4DE" w14:textId="77777777" w:rsidR="00354875" w:rsidRDefault="00354875" w:rsidP="00354875">
      <w:pPr>
        <w:rPr>
          <w:rFonts w:ascii="Arial" w:hAnsi="Arial" w:cs="Arial"/>
        </w:rPr>
      </w:pPr>
    </w:p>
    <w:p w14:paraId="620083D6" w14:textId="77777777" w:rsidR="00354875" w:rsidRDefault="00354875" w:rsidP="00354875">
      <w:pPr>
        <w:rPr>
          <w:rFonts w:ascii="Arial" w:hAnsi="Arial" w:cs="Arial"/>
        </w:rPr>
      </w:pPr>
    </w:p>
    <w:p w14:paraId="48CE84C1" w14:textId="77777777" w:rsidR="00354875" w:rsidRDefault="00354875" w:rsidP="00354875">
      <w:pPr>
        <w:rPr>
          <w:rFonts w:ascii="Arial" w:hAnsi="Arial" w:cs="Arial"/>
        </w:rPr>
      </w:pPr>
    </w:p>
    <w:p w14:paraId="35C7BC0D" w14:textId="77777777" w:rsidR="00354875" w:rsidRDefault="00354875" w:rsidP="00354875">
      <w:pPr>
        <w:rPr>
          <w:rFonts w:ascii="Arial" w:hAnsi="Arial" w:cs="Arial"/>
        </w:rPr>
      </w:pPr>
    </w:p>
    <w:p w14:paraId="4A8613B1" w14:textId="77777777" w:rsidR="00354875" w:rsidRDefault="00354875" w:rsidP="00354875">
      <w:pPr>
        <w:rPr>
          <w:rFonts w:ascii="Arial" w:hAnsi="Arial" w:cs="Arial"/>
        </w:rPr>
      </w:pPr>
    </w:p>
    <w:p w14:paraId="14AE4665" w14:textId="77777777" w:rsidR="00354875" w:rsidRDefault="00354875" w:rsidP="00354875">
      <w:pPr>
        <w:rPr>
          <w:rFonts w:ascii="Arial" w:hAnsi="Arial" w:cs="Arial"/>
        </w:rPr>
      </w:pPr>
    </w:p>
    <w:p w14:paraId="7CCF430A" w14:textId="77777777" w:rsidR="00354875" w:rsidRPr="008D1B31" w:rsidRDefault="00354875" w:rsidP="00354875">
      <w:pPr>
        <w:jc w:val="center"/>
        <w:rPr>
          <w:rFonts w:ascii="Arial" w:hAnsi="Arial" w:cs="Arial"/>
        </w:rPr>
      </w:pPr>
      <w:r w:rsidRPr="00CA48DF">
        <w:rPr>
          <w:rFonts w:ascii="Arial" w:hAnsi="Arial" w:cs="Arial"/>
          <w:noProof/>
        </w:rPr>
        <w:lastRenderedPageBreak/>
        <w:drawing>
          <wp:inline distT="0" distB="0" distL="0" distR="0" wp14:anchorId="7DFA0824" wp14:editId="7C173AEB">
            <wp:extent cx="4660967" cy="3919993"/>
            <wp:effectExtent l="0" t="0" r="6350" b="4445"/>
            <wp:docPr id="14009501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8840" cy="3926614"/>
                    </a:xfrm>
                    <a:prstGeom prst="rect">
                      <a:avLst/>
                    </a:prstGeom>
                    <a:noFill/>
                    <a:ln>
                      <a:noFill/>
                    </a:ln>
                  </pic:spPr>
                </pic:pic>
              </a:graphicData>
            </a:graphic>
          </wp:inline>
        </w:drawing>
      </w:r>
    </w:p>
    <w:p w14:paraId="364BD93C" w14:textId="78BA0B12" w:rsidR="00354875" w:rsidRPr="006721CE" w:rsidRDefault="00D970E5" w:rsidP="006721CE">
      <w:pPr>
        <w:jc w:val="both"/>
        <w:rPr>
          <w:rFonts w:ascii="Arial" w:hAnsi="Arial" w:cs="Arial"/>
        </w:rPr>
      </w:pPr>
      <w:r>
        <w:rPr>
          <w:rFonts w:ascii="Arial" w:hAnsi="Arial" w:cs="Arial"/>
          <w:b/>
          <w:bCs/>
        </w:rPr>
        <w:t xml:space="preserve">Supplementary </w:t>
      </w:r>
      <w:r w:rsidR="00354875" w:rsidRPr="0020013A">
        <w:rPr>
          <w:rFonts w:ascii="Arial" w:hAnsi="Arial" w:cs="Arial"/>
          <w:b/>
          <w:bCs/>
        </w:rPr>
        <w:t xml:space="preserve">Figure </w:t>
      </w:r>
      <w:r w:rsidR="000753D0">
        <w:rPr>
          <w:rFonts w:ascii="Arial" w:hAnsi="Arial" w:cs="Arial"/>
          <w:b/>
          <w:bCs/>
        </w:rPr>
        <w:t>3</w:t>
      </w:r>
      <w:r w:rsidR="00354875" w:rsidRPr="0020013A">
        <w:rPr>
          <w:rFonts w:ascii="Arial" w:hAnsi="Arial" w:cs="Arial"/>
          <w:b/>
          <w:bCs/>
        </w:rPr>
        <w:t>: Relative effect of precipitation consolidation on terrestrial water storage.</w:t>
      </w:r>
      <w:r w:rsidR="009F44E7">
        <w:rPr>
          <w:rFonts w:ascii="Arial" w:hAnsi="Arial" w:cs="Arial"/>
          <w:b/>
          <w:bCs/>
        </w:rPr>
        <w:t xml:space="preserve"> </w:t>
      </w:r>
      <w:r w:rsidR="009F44E7" w:rsidRPr="009F44E7">
        <w:rPr>
          <w:rFonts w:ascii="Arial" w:hAnsi="Arial" w:cs="Arial"/>
        </w:rPr>
        <w:t>Interannual</w:t>
      </w:r>
      <w:r w:rsidR="009F44E7">
        <w:rPr>
          <w:rFonts w:ascii="Arial" w:hAnsi="Arial" w:cs="Arial"/>
          <w:b/>
          <w:bCs/>
        </w:rPr>
        <w:t xml:space="preserve"> </w:t>
      </w:r>
      <w:r w:rsidR="009F44E7">
        <w:rPr>
          <w:rFonts w:ascii="Arial" w:hAnsi="Arial" w:cs="Arial"/>
        </w:rPr>
        <w:t>standard deviation of detrended GRACE TWS anomalies,</w:t>
      </w:r>
      <w:r w:rsidR="009F44E7" w:rsidRPr="009F44E7">
        <w:rPr>
          <w:rFonts w:ascii="Arial" w:hAnsi="Arial" w:cs="Arial"/>
        </w:rPr>
        <w:t xml:space="preserve"> </w:t>
      </w:r>
      <w:r w:rsidR="009F44E7">
        <w:rPr>
          <w:rFonts w:ascii="Arial" w:hAnsi="Arial" w:cs="Arial"/>
        </w:rPr>
        <w:t>averaged over 100mm bins of climatological annual precipitation across its global domain (red curve, right vertical axis).</w:t>
      </w:r>
      <w:r w:rsidR="006721CE">
        <w:rPr>
          <w:rFonts w:ascii="Arial" w:hAnsi="Arial" w:cs="Arial"/>
        </w:rPr>
        <w:t xml:space="preserve"> Marginal effect of precipitation consolidation on TWS, conditional on climatological precipitation (i.e., the effects in Fig. 2b), normalized by TWS standard deviation (blue curves, left vertical axis). This normalization estimates the magnitude of the TWS effect relative to local TWS variability (</w:t>
      </w:r>
      <w:proofErr w:type="spellStart"/>
      <w:r w:rsidR="006721CE">
        <w:rPr>
          <w:rFonts w:ascii="Calibri" w:hAnsi="Calibri" w:cs="Calibri"/>
        </w:rPr>
        <w:t>σ</w:t>
      </w:r>
      <w:r w:rsidR="006721CE">
        <w:rPr>
          <w:rFonts w:ascii="Arial" w:hAnsi="Arial" w:cs="Arial"/>
          <w:vertAlign w:val="subscript"/>
        </w:rPr>
        <w:t>TWS</w:t>
      </w:r>
      <w:proofErr w:type="spellEnd"/>
      <w:r w:rsidR="006721CE">
        <w:rPr>
          <w:rFonts w:ascii="Arial" w:hAnsi="Arial" w:cs="Arial"/>
        </w:rPr>
        <w:t>), as opposed to in absolute terms (mm, as in Fig. 2b).</w:t>
      </w:r>
    </w:p>
    <w:p w14:paraId="16D99D5A" w14:textId="77777777" w:rsidR="00354875" w:rsidRDefault="00354875" w:rsidP="00354875">
      <w:pPr>
        <w:rPr>
          <w:rFonts w:ascii="Arial" w:hAnsi="Arial" w:cs="Arial"/>
        </w:rPr>
      </w:pPr>
    </w:p>
    <w:p w14:paraId="35765545" w14:textId="77777777" w:rsidR="00354875" w:rsidRDefault="00354875" w:rsidP="00354875">
      <w:pPr>
        <w:rPr>
          <w:rFonts w:ascii="Arial" w:hAnsi="Arial" w:cs="Arial"/>
        </w:rPr>
      </w:pPr>
    </w:p>
    <w:p w14:paraId="17B20E29" w14:textId="77777777" w:rsidR="00354875" w:rsidRPr="00B41261" w:rsidRDefault="00354875" w:rsidP="00354875">
      <w:pPr>
        <w:jc w:val="center"/>
        <w:rPr>
          <w:rFonts w:ascii="Arial" w:hAnsi="Arial" w:cs="Arial"/>
        </w:rPr>
      </w:pPr>
      <w:r w:rsidRPr="00B41261">
        <w:rPr>
          <w:rFonts w:ascii="Arial" w:hAnsi="Arial" w:cs="Arial"/>
          <w:noProof/>
        </w:rPr>
        <w:lastRenderedPageBreak/>
        <w:drawing>
          <wp:inline distT="0" distB="0" distL="0" distR="0" wp14:anchorId="223C54AA" wp14:editId="7F88CB01">
            <wp:extent cx="4723155" cy="7442200"/>
            <wp:effectExtent l="0" t="0" r="1270" b="6350"/>
            <wp:docPr id="4712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6413" cy="7447334"/>
                    </a:xfrm>
                    <a:prstGeom prst="rect">
                      <a:avLst/>
                    </a:prstGeom>
                    <a:noFill/>
                    <a:ln>
                      <a:noFill/>
                    </a:ln>
                  </pic:spPr>
                </pic:pic>
              </a:graphicData>
            </a:graphic>
          </wp:inline>
        </w:drawing>
      </w:r>
    </w:p>
    <w:p w14:paraId="24D6096C" w14:textId="619439E2" w:rsidR="00354875" w:rsidRPr="006721CE" w:rsidRDefault="00D970E5" w:rsidP="00354875">
      <w:pPr>
        <w:rPr>
          <w:rFonts w:ascii="Arial" w:hAnsi="Arial" w:cs="Arial"/>
        </w:rPr>
      </w:pPr>
      <w:r>
        <w:rPr>
          <w:rFonts w:ascii="Arial" w:hAnsi="Arial" w:cs="Arial"/>
          <w:b/>
          <w:bCs/>
        </w:rPr>
        <w:t xml:space="preserve">Supplementary </w:t>
      </w:r>
      <w:r w:rsidR="00354875" w:rsidRPr="0020013A">
        <w:rPr>
          <w:rFonts w:ascii="Arial" w:hAnsi="Arial" w:cs="Arial"/>
          <w:b/>
          <w:bCs/>
        </w:rPr>
        <w:t xml:space="preserve">Figure </w:t>
      </w:r>
      <w:r w:rsidR="000753D0">
        <w:rPr>
          <w:rFonts w:ascii="Arial" w:hAnsi="Arial" w:cs="Arial"/>
          <w:b/>
          <w:bCs/>
        </w:rPr>
        <w:t>4</w:t>
      </w:r>
      <w:r w:rsidR="00354875" w:rsidRPr="0020013A">
        <w:rPr>
          <w:rFonts w:ascii="Arial" w:hAnsi="Arial" w:cs="Arial"/>
          <w:b/>
          <w:bCs/>
        </w:rPr>
        <w:t>: Basin-level effects of consolidation on terrestrial water storage across precipitation data products.</w:t>
      </w:r>
      <w:r w:rsidR="006721CE">
        <w:rPr>
          <w:rFonts w:ascii="Arial" w:hAnsi="Arial" w:cs="Arial"/>
          <w:b/>
          <w:bCs/>
        </w:rPr>
        <w:t xml:space="preserve"> </w:t>
      </w:r>
      <w:r w:rsidR="006721CE">
        <w:rPr>
          <w:rFonts w:ascii="Arial" w:hAnsi="Arial" w:cs="Arial"/>
        </w:rPr>
        <w:t xml:space="preserve">Same as Fig. 2c, but for individual data products. Main river basin boundaries are from the </w:t>
      </w:r>
      <w:proofErr w:type="spellStart"/>
      <w:r w:rsidR="006721CE">
        <w:rPr>
          <w:rFonts w:ascii="Arial" w:hAnsi="Arial" w:cs="Arial"/>
        </w:rPr>
        <w:t>HydroBASINS</w:t>
      </w:r>
      <w:proofErr w:type="spellEnd"/>
      <w:r w:rsidR="006721CE">
        <w:rPr>
          <w:rFonts w:ascii="Arial" w:hAnsi="Arial" w:cs="Arial"/>
        </w:rPr>
        <w:t xml:space="preserve"> dataset. Estimated G</w:t>
      </w:r>
      <w:r w:rsidR="006721CE">
        <w:rPr>
          <w:rFonts w:ascii="Arial" w:hAnsi="Arial" w:cs="Arial"/>
          <w:vertAlign w:val="subscript"/>
        </w:rPr>
        <w:t>P</w:t>
      </w:r>
      <w:r w:rsidR="006721CE">
        <w:rPr>
          <w:rFonts w:ascii="Arial" w:hAnsi="Arial" w:cs="Arial"/>
        </w:rPr>
        <w:t xml:space="preserve"> coefficients of TWS are statistically significant (p &lt; 0.05) except in hatched basins.</w:t>
      </w:r>
    </w:p>
    <w:p w14:paraId="4234357F" w14:textId="77777777" w:rsidR="00354875" w:rsidRDefault="00354875" w:rsidP="00354875">
      <w:pPr>
        <w:rPr>
          <w:rFonts w:ascii="Arial" w:hAnsi="Arial" w:cs="Arial"/>
        </w:rPr>
      </w:pPr>
    </w:p>
    <w:p w14:paraId="67F52AFE" w14:textId="77777777" w:rsidR="00354875" w:rsidRPr="0020013A" w:rsidRDefault="00354875" w:rsidP="00354875">
      <w:pPr>
        <w:jc w:val="center"/>
        <w:rPr>
          <w:rFonts w:ascii="Arial" w:hAnsi="Arial" w:cs="Arial"/>
        </w:rPr>
      </w:pPr>
      <w:r w:rsidRPr="00AD19D0">
        <w:rPr>
          <w:rFonts w:ascii="Arial" w:hAnsi="Arial" w:cs="Arial"/>
          <w:noProof/>
        </w:rPr>
        <w:drawing>
          <wp:inline distT="0" distB="0" distL="0" distR="0" wp14:anchorId="3DE0EFFB" wp14:editId="79634B85">
            <wp:extent cx="3144407" cy="6949440"/>
            <wp:effectExtent l="0" t="0" r="0" b="3810"/>
            <wp:docPr id="17750154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8527" cy="6958545"/>
                    </a:xfrm>
                    <a:prstGeom prst="rect">
                      <a:avLst/>
                    </a:prstGeom>
                    <a:noFill/>
                    <a:ln>
                      <a:noFill/>
                    </a:ln>
                  </pic:spPr>
                </pic:pic>
              </a:graphicData>
            </a:graphic>
          </wp:inline>
        </w:drawing>
      </w:r>
    </w:p>
    <w:p w14:paraId="437F34A8" w14:textId="6E5E4D41" w:rsidR="00354875" w:rsidRPr="006721CE" w:rsidRDefault="00D970E5" w:rsidP="00354875">
      <w:pPr>
        <w:rPr>
          <w:rFonts w:ascii="Arial" w:hAnsi="Arial" w:cs="Arial"/>
        </w:rPr>
      </w:pPr>
      <w:r>
        <w:rPr>
          <w:rFonts w:ascii="Arial" w:hAnsi="Arial" w:cs="Arial"/>
          <w:b/>
          <w:bCs/>
        </w:rPr>
        <w:t xml:space="preserve">Supplementary </w:t>
      </w:r>
      <w:r w:rsidR="00354875" w:rsidRPr="0020013A">
        <w:rPr>
          <w:rFonts w:ascii="Arial" w:hAnsi="Arial" w:cs="Arial"/>
          <w:b/>
          <w:bCs/>
        </w:rPr>
        <w:t xml:space="preserve">Figure </w:t>
      </w:r>
      <w:r w:rsidR="000753D0">
        <w:rPr>
          <w:rFonts w:ascii="Arial" w:hAnsi="Arial" w:cs="Arial"/>
          <w:b/>
          <w:bCs/>
        </w:rPr>
        <w:t>5</w:t>
      </w:r>
      <w:r w:rsidR="00354875" w:rsidRPr="0020013A">
        <w:rPr>
          <w:rFonts w:ascii="Arial" w:hAnsi="Arial" w:cs="Arial"/>
          <w:b/>
          <w:bCs/>
        </w:rPr>
        <w:t>: Distribution versus full effect of precipitation consolidation on terrestrial water storage across precipitation data products.</w:t>
      </w:r>
      <w:r w:rsidR="006721CE">
        <w:rPr>
          <w:rFonts w:ascii="Arial" w:hAnsi="Arial" w:cs="Arial"/>
          <w:b/>
          <w:bCs/>
        </w:rPr>
        <w:t xml:space="preserve"> </w:t>
      </w:r>
      <w:r w:rsidR="006721CE">
        <w:rPr>
          <w:rFonts w:ascii="Arial" w:hAnsi="Arial" w:cs="Arial"/>
        </w:rPr>
        <w:t xml:space="preserve">Same as Fig. 3b, but for individual daily precipitation data products. </w:t>
      </w:r>
    </w:p>
    <w:p w14:paraId="0213D778" w14:textId="77777777" w:rsidR="00354875" w:rsidRDefault="00354875" w:rsidP="00354875">
      <w:pPr>
        <w:rPr>
          <w:rFonts w:ascii="Arial" w:hAnsi="Arial" w:cs="Arial"/>
          <w:b/>
          <w:bCs/>
        </w:rPr>
      </w:pPr>
    </w:p>
    <w:p w14:paraId="1782CD89" w14:textId="77777777" w:rsidR="00A47418" w:rsidRDefault="00A47418" w:rsidP="00354875">
      <w:pPr>
        <w:rPr>
          <w:rFonts w:ascii="Arial" w:hAnsi="Arial" w:cs="Arial"/>
          <w:b/>
          <w:bCs/>
        </w:rPr>
      </w:pPr>
    </w:p>
    <w:p w14:paraId="5FA31ECC" w14:textId="77777777" w:rsidR="00A47418" w:rsidRDefault="00A47418" w:rsidP="00354875">
      <w:pPr>
        <w:rPr>
          <w:rFonts w:ascii="Arial" w:hAnsi="Arial" w:cs="Arial"/>
          <w:b/>
          <w:bCs/>
        </w:rPr>
      </w:pPr>
    </w:p>
    <w:p w14:paraId="4B024945" w14:textId="77777777" w:rsidR="00A47418" w:rsidRDefault="00A47418" w:rsidP="00A47418">
      <w:pPr>
        <w:pStyle w:val="SMcaption"/>
        <w:jc w:val="center"/>
      </w:pPr>
      <w:r w:rsidRPr="003A6CE3">
        <w:rPr>
          <w:noProof/>
        </w:rPr>
        <w:lastRenderedPageBreak/>
        <w:drawing>
          <wp:inline distT="0" distB="0" distL="0" distR="0" wp14:anchorId="0E59EEF7" wp14:editId="2B3123EB">
            <wp:extent cx="5206435" cy="2444708"/>
            <wp:effectExtent l="0" t="0" r="0" b="0"/>
            <wp:docPr id="20" name="Picture 19">
              <a:extLst xmlns:a="http://schemas.openxmlformats.org/drawingml/2006/main">
                <a:ext uri="{FF2B5EF4-FFF2-40B4-BE49-F238E27FC236}">
                  <a16:creationId xmlns:a16="http://schemas.microsoft.com/office/drawing/2014/main" id="{65C3EFF9-57D6-6821-96DE-11908A77D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5C3EFF9-57D6-6821-96DE-11908A77D2B4}"/>
                        </a:ext>
                      </a:extLst>
                    </pic:cNvPr>
                    <pic:cNvPicPr>
                      <a:picLocks noChangeAspect="1"/>
                    </pic:cNvPicPr>
                  </pic:nvPicPr>
                  <pic:blipFill>
                    <a:blip r:embed="rId14"/>
                    <a:stretch>
                      <a:fillRect/>
                    </a:stretch>
                  </pic:blipFill>
                  <pic:spPr>
                    <a:xfrm>
                      <a:off x="0" y="0"/>
                      <a:ext cx="5206435" cy="2444708"/>
                    </a:xfrm>
                    <a:prstGeom prst="rect">
                      <a:avLst/>
                    </a:prstGeom>
                  </pic:spPr>
                </pic:pic>
              </a:graphicData>
            </a:graphic>
          </wp:inline>
        </w:drawing>
      </w:r>
    </w:p>
    <w:p w14:paraId="31C1C5B7" w14:textId="77777777" w:rsidR="00A47418" w:rsidRDefault="00A47418" w:rsidP="00A47418">
      <w:pPr>
        <w:pStyle w:val="SMcaption"/>
        <w:rPr>
          <w:rFonts w:ascii="Arial" w:hAnsi="Arial" w:cs="Arial"/>
          <w:b/>
          <w:bCs/>
        </w:rPr>
      </w:pPr>
    </w:p>
    <w:p w14:paraId="71CADBAA" w14:textId="27044C4B" w:rsidR="00A47418" w:rsidRPr="00F6260D" w:rsidRDefault="00D970E5" w:rsidP="00F6260D">
      <w:pPr>
        <w:pStyle w:val="SMcaption"/>
        <w:rPr>
          <w:rFonts w:ascii="Arial" w:hAnsi="Arial" w:cs="Arial"/>
        </w:rPr>
      </w:pPr>
      <w:r>
        <w:rPr>
          <w:rFonts w:ascii="Arial" w:hAnsi="Arial" w:cs="Arial"/>
          <w:b/>
          <w:bCs/>
        </w:rPr>
        <w:t xml:space="preserve">Supplementary </w:t>
      </w:r>
      <w:r w:rsidR="00A47418">
        <w:rPr>
          <w:rFonts w:ascii="Arial" w:hAnsi="Arial" w:cs="Arial"/>
          <w:b/>
          <w:bCs/>
        </w:rPr>
        <w:t>Figure 6: Schematic of hydrologic stocks and fluxes in idealized land-surface model.</w:t>
      </w:r>
      <w:r w:rsidR="00F6260D">
        <w:rPr>
          <w:rFonts w:ascii="Arial" w:hAnsi="Arial" w:cs="Arial"/>
          <w:b/>
          <w:bCs/>
        </w:rPr>
        <w:t xml:space="preserve"> </w:t>
      </w:r>
      <w:r w:rsidR="00F6260D">
        <w:rPr>
          <w:rFonts w:ascii="Arial" w:hAnsi="Arial" w:cs="Arial"/>
        </w:rPr>
        <w:t>M</w:t>
      </w:r>
      <w:r w:rsidR="00F6260D">
        <w:rPr>
          <w:rFonts w:ascii="Arial" w:hAnsi="Arial" w:cs="Arial"/>
          <w:vertAlign w:val="subscript"/>
        </w:rPr>
        <w:t xml:space="preserve">S </w:t>
      </w:r>
      <w:r w:rsidR="00F6260D">
        <w:rPr>
          <w:rFonts w:ascii="Arial" w:hAnsi="Arial" w:cs="Arial"/>
        </w:rPr>
        <w:t>and M</w:t>
      </w:r>
      <w:r w:rsidR="00F6260D">
        <w:rPr>
          <w:rFonts w:ascii="Arial" w:hAnsi="Arial" w:cs="Arial"/>
          <w:vertAlign w:val="subscript"/>
        </w:rPr>
        <w:t>L</w:t>
      </w:r>
      <w:r w:rsidR="00F6260D">
        <w:rPr>
          <w:rFonts w:ascii="Arial" w:hAnsi="Arial" w:cs="Arial"/>
        </w:rPr>
        <w:t xml:space="preserve"> denote the soil and surface water stocks, while arrows denote fluxes. P is precipitation; E</w:t>
      </w:r>
      <w:r w:rsidR="00F6260D">
        <w:rPr>
          <w:rFonts w:ascii="Arial" w:hAnsi="Arial" w:cs="Arial"/>
          <w:vertAlign w:val="subscript"/>
        </w:rPr>
        <w:t>S</w:t>
      </w:r>
      <w:r w:rsidR="00F6260D">
        <w:rPr>
          <w:rFonts w:ascii="Arial" w:hAnsi="Arial" w:cs="Arial"/>
        </w:rPr>
        <w:t>, soil evaporation; E</w:t>
      </w:r>
      <w:r w:rsidR="00F6260D">
        <w:rPr>
          <w:rFonts w:ascii="Arial" w:hAnsi="Arial" w:cs="Arial"/>
          <w:vertAlign w:val="subscript"/>
        </w:rPr>
        <w:t>L</w:t>
      </w:r>
      <w:r w:rsidR="00F6260D">
        <w:rPr>
          <w:rFonts w:ascii="Arial" w:hAnsi="Arial" w:cs="Arial"/>
        </w:rPr>
        <w:t xml:space="preserve"> evaporation from the surface water stock; Q</w:t>
      </w:r>
      <w:r w:rsidR="00F6260D">
        <w:rPr>
          <w:rFonts w:ascii="Arial" w:hAnsi="Arial" w:cs="Arial"/>
          <w:vertAlign w:val="subscript"/>
        </w:rPr>
        <w:t>S</w:t>
      </w:r>
      <w:r w:rsidR="00F6260D">
        <w:rPr>
          <w:rFonts w:ascii="Arial" w:hAnsi="Arial" w:cs="Arial"/>
        </w:rPr>
        <w:t>, surface ponding of precipitation (infiltration and saturation excess); Q</w:t>
      </w:r>
      <w:r w:rsidR="00F6260D">
        <w:rPr>
          <w:rFonts w:ascii="Arial" w:hAnsi="Arial" w:cs="Arial"/>
          <w:vertAlign w:val="subscript"/>
        </w:rPr>
        <w:t>D</w:t>
      </w:r>
      <w:r w:rsidR="00F6260D">
        <w:rPr>
          <w:rFonts w:ascii="Arial" w:hAnsi="Arial" w:cs="Arial"/>
        </w:rPr>
        <w:t>, soil drainage; and Q, runoff. In this formulation, Q</w:t>
      </w:r>
      <w:r w:rsidR="00F6260D">
        <w:rPr>
          <w:rFonts w:ascii="Arial" w:hAnsi="Arial" w:cs="Arial"/>
          <w:vertAlign w:val="subscript"/>
        </w:rPr>
        <w:t>S</w:t>
      </w:r>
      <w:r w:rsidR="00F6260D">
        <w:rPr>
          <w:rFonts w:ascii="Arial" w:hAnsi="Arial" w:cs="Arial"/>
        </w:rPr>
        <w:t xml:space="preserve"> is considered a flux internal to the modeled location, while flows out from the surface water stock are classified as runoff (i.e., export).</w:t>
      </w:r>
    </w:p>
    <w:p w14:paraId="5530C4FF" w14:textId="77777777" w:rsidR="00A47418" w:rsidRDefault="00A47418" w:rsidP="00354875">
      <w:pPr>
        <w:rPr>
          <w:rFonts w:ascii="Arial" w:hAnsi="Arial" w:cs="Arial"/>
          <w:b/>
          <w:bCs/>
        </w:rPr>
      </w:pPr>
    </w:p>
    <w:p w14:paraId="4E3DC02E" w14:textId="77777777" w:rsidR="00354875" w:rsidRDefault="00354875" w:rsidP="00354875">
      <w:pPr>
        <w:rPr>
          <w:rFonts w:ascii="Arial" w:hAnsi="Arial" w:cs="Arial"/>
          <w:b/>
          <w:bCs/>
        </w:rPr>
      </w:pPr>
      <w:r w:rsidRPr="00CA48DF">
        <w:rPr>
          <w:rFonts w:ascii="Arial" w:hAnsi="Arial" w:cs="Arial"/>
          <w:b/>
          <w:bCs/>
          <w:noProof/>
        </w:rPr>
        <w:lastRenderedPageBreak/>
        <w:drawing>
          <wp:inline distT="0" distB="0" distL="0" distR="0" wp14:anchorId="71551743" wp14:editId="686A5F8C">
            <wp:extent cx="5943600" cy="5170805"/>
            <wp:effectExtent l="0" t="0" r="0" b="0"/>
            <wp:docPr id="8093182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170805"/>
                    </a:xfrm>
                    <a:prstGeom prst="rect">
                      <a:avLst/>
                    </a:prstGeom>
                    <a:noFill/>
                    <a:ln>
                      <a:noFill/>
                    </a:ln>
                  </pic:spPr>
                </pic:pic>
              </a:graphicData>
            </a:graphic>
          </wp:inline>
        </w:drawing>
      </w:r>
    </w:p>
    <w:p w14:paraId="52A28606" w14:textId="4D723AAA" w:rsidR="00354875" w:rsidRPr="008E5666" w:rsidRDefault="00D970E5" w:rsidP="008E5666">
      <w:pPr>
        <w:jc w:val="both"/>
        <w:rPr>
          <w:rFonts w:ascii="Arial" w:hAnsi="Arial" w:cs="Arial"/>
        </w:rPr>
      </w:pPr>
      <w:r>
        <w:rPr>
          <w:rFonts w:ascii="Arial" w:hAnsi="Arial" w:cs="Arial"/>
          <w:b/>
          <w:bCs/>
        </w:rPr>
        <w:t xml:space="preserve">Supplementary </w:t>
      </w:r>
      <w:r w:rsidR="00354875">
        <w:rPr>
          <w:rFonts w:ascii="Arial" w:hAnsi="Arial" w:cs="Arial"/>
          <w:b/>
          <w:bCs/>
        </w:rPr>
        <w:t xml:space="preserve">Figure </w:t>
      </w:r>
      <w:r w:rsidR="00A47418">
        <w:rPr>
          <w:rFonts w:ascii="Arial" w:hAnsi="Arial" w:cs="Arial"/>
          <w:b/>
          <w:bCs/>
        </w:rPr>
        <w:t>7</w:t>
      </w:r>
      <w:r w:rsidR="00354875">
        <w:rPr>
          <w:rFonts w:ascii="Arial" w:hAnsi="Arial" w:cs="Arial"/>
          <w:b/>
          <w:bCs/>
        </w:rPr>
        <w:t>: Sample simulation from</w:t>
      </w:r>
      <w:r w:rsidR="006721CE">
        <w:rPr>
          <w:rFonts w:ascii="Arial" w:hAnsi="Arial" w:cs="Arial"/>
          <w:b/>
          <w:bCs/>
        </w:rPr>
        <w:t xml:space="preserve"> the idealized land-surface model</w:t>
      </w:r>
      <w:r w:rsidR="00354875">
        <w:rPr>
          <w:rFonts w:ascii="Arial" w:hAnsi="Arial" w:cs="Arial"/>
          <w:b/>
          <w:bCs/>
        </w:rPr>
        <w:t>.</w:t>
      </w:r>
      <w:r w:rsidR="006721CE">
        <w:rPr>
          <w:rFonts w:ascii="Arial" w:hAnsi="Arial" w:cs="Arial"/>
          <w:b/>
          <w:bCs/>
        </w:rPr>
        <w:t xml:space="preserve"> </w:t>
      </w:r>
      <w:r w:rsidR="006721CE">
        <w:rPr>
          <w:rFonts w:ascii="Arial" w:hAnsi="Arial" w:cs="Arial"/>
        </w:rPr>
        <w:t xml:space="preserve">Output from the </w:t>
      </w:r>
      <w:r w:rsidR="006721CE" w:rsidRPr="006721CE">
        <w:rPr>
          <w:rFonts w:ascii="Arial" w:hAnsi="Arial" w:cs="Arial"/>
        </w:rPr>
        <w:t>Surface Energy and Moisture Balance Model with Hydrology</w:t>
      </w:r>
      <w:r w:rsidR="001C6CFE">
        <w:rPr>
          <w:rFonts w:ascii="Arial" w:hAnsi="Arial" w:cs="Arial"/>
        </w:rPr>
        <w:t xml:space="preserve"> (SEMB-H)</w:t>
      </w:r>
      <w:r w:rsidR="006721CE">
        <w:rPr>
          <w:rFonts w:ascii="Arial" w:hAnsi="Arial" w:cs="Arial"/>
        </w:rPr>
        <w:t xml:space="preserve"> run </w:t>
      </w:r>
      <w:r w:rsidR="00FB2012">
        <w:rPr>
          <w:rFonts w:ascii="Arial" w:hAnsi="Arial" w:cs="Arial"/>
        </w:rPr>
        <w:t>with daily precipitation and shortwave forcings from CPC and GEWEX-SRB for the point 37.5°E, 80.5°N (near Roanoke, Virginia, US). Model output contrasts between the highest and lowest G</w:t>
      </w:r>
      <w:r w:rsidR="00FB2012">
        <w:rPr>
          <w:rFonts w:ascii="Arial" w:hAnsi="Arial" w:cs="Arial"/>
          <w:vertAlign w:val="subscript"/>
        </w:rPr>
        <w:t>P</w:t>
      </w:r>
      <w:r w:rsidR="00FB2012">
        <w:rPr>
          <w:rFonts w:ascii="Arial" w:hAnsi="Arial" w:cs="Arial"/>
        </w:rPr>
        <w:t xml:space="preserve"> years (2006 and 2003). a) Daily precipitation forcing time series for the two years, with daily values scaled such that the two time-series sum to equal annual total precipitation (1633mm). b) Daily precipitation Lorenz curves for the two years, with corresponding G</w:t>
      </w:r>
      <w:r w:rsidR="00FB2012">
        <w:rPr>
          <w:rFonts w:ascii="Arial" w:hAnsi="Arial" w:cs="Arial"/>
          <w:vertAlign w:val="subscript"/>
        </w:rPr>
        <w:t>P</w:t>
      </w:r>
      <w:r w:rsidR="00FB2012">
        <w:rPr>
          <w:rFonts w:ascii="Arial" w:hAnsi="Arial" w:cs="Arial"/>
        </w:rPr>
        <w:t xml:space="preserve"> values annotated. c) Simulated TWS evolution, with horizontal lines denoting annual mean TWS. </w:t>
      </w:r>
      <w:r w:rsidR="008E5666">
        <w:rPr>
          <w:rFonts w:ascii="Arial" w:hAnsi="Arial" w:cs="Arial"/>
        </w:rPr>
        <w:t>d) Annual mean shortwave radiation and total dry days for the high and low G</w:t>
      </w:r>
      <w:r w:rsidR="008E5666">
        <w:rPr>
          <w:rFonts w:ascii="Arial" w:hAnsi="Arial" w:cs="Arial"/>
          <w:vertAlign w:val="subscript"/>
        </w:rPr>
        <w:t>P</w:t>
      </w:r>
      <w:r w:rsidR="008E5666">
        <w:rPr>
          <w:rFonts w:ascii="Arial" w:hAnsi="Arial" w:cs="Arial"/>
        </w:rPr>
        <w:t xml:space="preserve"> years. e) Daily evolution of the simulated surface water (blue) and soil moisture (green) stocks, in terms of fractional saturation. f) Daily evolution of simulated surface air temperature. g) Evolution of simulated evaporation from surface water and soil moisture stocks). h) Frequency distribution of daily evaporation from surface water and soil moisture stocks. </w:t>
      </w:r>
      <w:r w:rsidR="00FB2012">
        <w:rPr>
          <w:rFonts w:ascii="Arial" w:hAnsi="Arial" w:cs="Arial"/>
        </w:rPr>
        <w:t>We track the difference in annual mean TWS between the highest and lowest G</w:t>
      </w:r>
      <w:r w:rsidR="00FB2012">
        <w:rPr>
          <w:rFonts w:ascii="Arial" w:hAnsi="Arial" w:cs="Arial"/>
          <w:vertAlign w:val="subscript"/>
        </w:rPr>
        <w:t>P</w:t>
      </w:r>
      <w:r w:rsidR="00FB2012">
        <w:rPr>
          <w:rFonts w:ascii="Arial" w:hAnsi="Arial" w:cs="Arial"/>
        </w:rPr>
        <w:t xml:space="preserve"> years (in this case, -14mm) as equivalent measure to GRACE TWS </w:t>
      </w:r>
      <w:r w:rsidR="008E5666">
        <w:rPr>
          <w:rFonts w:ascii="Arial" w:hAnsi="Arial" w:cs="Arial"/>
        </w:rPr>
        <w:t xml:space="preserve">anomalies </w:t>
      </w:r>
      <w:r w:rsidR="00FB2012">
        <w:rPr>
          <w:rFonts w:ascii="Arial" w:hAnsi="Arial" w:cs="Arial"/>
        </w:rPr>
        <w:t>used in our panel regression.</w:t>
      </w:r>
      <w:r w:rsidR="008E5666">
        <w:rPr>
          <w:rFonts w:ascii="Arial" w:hAnsi="Arial" w:cs="Arial"/>
        </w:rPr>
        <w:t xml:space="preserve"> Solid and dashed lines denote the minimum and maximum G</w:t>
      </w:r>
      <w:r w:rsidR="008E5666">
        <w:rPr>
          <w:rFonts w:ascii="Arial" w:hAnsi="Arial" w:cs="Arial"/>
          <w:vertAlign w:val="subscript"/>
        </w:rPr>
        <w:t>P</w:t>
      </w:r>
      <w:r w:rsidR="008E5666">
        <w:rPr>
          <w:rFonts w:ascii="Arial" w:hAnsi="Arial" w:cs="Arial"/>
        </w:rPr>
        <w:t xml:space="preserve"> years in c and e-h.</w:t>
      </w:r>
    </w:p>
    <w:p w14:paraId="3FFC71EA" w14:textId="77777777" w:rsidR="00354875" w:rsidRPr="00F868CF" w:rsidRDefault="00354875" w:rsidP="00354875">
      <w:pPr>
        <w:jc w:val="center"/>
        <w:rPr>
          <w:rFonts w:ascii="Arial" w:hAnsi="Arial" w:cs="Arial"/>
          <w:b/>
          <w:bCs/>
        </w:rPr>
      </w:pPr>
      <w:r w:rsidRPr="00F868CF">
        <w:rPr>
          <w:rFonts w:ascii="Arial" w:hAnsi="Arial" w:cs="Arial"/>
          <w:b/>
          <w:bCs/>
          <w:noProof/>
        </w:rPr>
        <w:lastRenderedPageBreak/>
        <w:drawing>
          <wp:inline distT="0" distB="0" distL="0" distR="0" wp14:anchorId="53E06197" wp14:editId="620CAEA0">
            <wp:extent cx="3208955" cy="5715000"/>
            <wp:effectExtent l="0" t="0" r="0" b="0"/>
            <wp:docPr id="201169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564" cy="5723209"/>
                    </a:xfrm>
                    <a:prstGeom prst="rect">
                      <a:avLst/>
                    </a:prstGeom>
                    <a:noFill/>
                    <a:ln>
                      <a:noFill/>
                    </a:ln>
                  </pic:spPr>
                </pic:pic>
              </a:graphicData>
            </a:graphic>
          </wp:inline>
        </w:drawing>
      </w:r>
    </w:p>
    <w:p w14:paraId="1A29F1D6" w14:textId="71963880" w:rsidR="008E5666" w:rsidRDefault="00D970E5" w:rsidP="008E5666">
      <w:pPr>
        <w:jc w:val="both"/>
        <w:rPr>
          <w:rFonts w:ascii="Helvetica" w:hAnsi="Helvetica"/>
        </w:rPr>
      </w:pPr>
      <w:r>
        <w:rPr>
          <w:rFonts w:ascii="Arial" w:hAnsi="Arial" w:cs="Arial"/>
          <w:b/>
          <w:bCs/>
        </w:rPr>
        <w:t xml:space="preserve">Supplementary </w:t>
      </w:r>
      <w:r w:rsidR="00354875">
        <w:rPr>
          <w:rFonts w:ascii="Arial" w:hAnsi="Arial" w:cs="Arial"/>
          <w:b/>
          <w:bCs/>
        </w:rPr>
        <w:t xml:space="preserve">Figure </w:t>
      </w:r>
      <w:r w:rsidR="00A47418">
        <w:rPr>
          <w:rFonts w:ascii="Arial" w:hAnsi="Arial" w:cs="Arial"/>
          <w:b/>
          <w:bCs/>
        </w:rPr>
        <w:t>8</w:t>
      </w:r>
      <w:r w:rsidR="00354875">
        <w:rPr>
          <w:rFonts w:ascii="Arial" w:hAnsi="Arial" w:cs="Arial"/>
          <w:b/>
          <w:bCs/>
        </w:rPr>
        <w:t>: Parametric sensitivity of simulated precipitation consolidation effect on TWS.</w:t>
      </w:r>
      <w:r w:rsidR="003A6CE3">
        <w:rPr>
          <w:rFonts w:ascii="Arial" w:hAnsi="Arial" w:cs="Arial"/>
          <w:b/>
          <w:bCs/>
        </w:rPr>
        <w:t xml:space="preserve"> </w:t>
      </w:r>
      <w:r w:rsidR="008E5666">
        <w:rPr>
          <w:rFonts w:ascii="Helvetica" w:hAnsi="Helvetica"/>
        </w:rPr>
        <w:t>a)</w:t>
      </w:r>
      <w:r w:rsidR="00354875">
        <w:rPr>
          <w:rFonts w:ascii="Helvetica" w:hAnsi="Helvetica"/>
        </w:rPr>
        <w:t xml:space="preserve"> Variance-based sensitivity of simulated TWS effect to idealized land-surface model parameter values, estimated using Sobol’ indices. Total- and first-order indices indicate influence of parameter on TWS effect with and without interactive effects among parameters. Error bars show 2 standard errors of the estimate. </w:t>
      </w:r>
      <w:r w:rsidR="008E5666">
        <w:rPr>
          <w:rFonts w:ascii="Helvetica" w:hAnsi="Helvetica"/>
        </w:rPr>
        <w:t>b</w:t>
      </w:r>
      <w:r w:rsidR="00354875">
        <w:rPr>
          <w:rFonts w:ascii="Helvetica" w:hAnsi="Helvetica"/>
        </w:rPr>
        <w:t xml:space="preserve">) Mean simulated TWS effect at 1000mm of climatological mean precipitation for different joint values of the two most influential model parameters (surface water potential area and depth). </w:t>
      </w:r>
      <w:r w:rsidR="008E5666" w:rsidRPr="002A6697">
        <w:rPr>
          <w:rFonts w:ascii="Helvetica" w:hAnsi="Helvetica"/>
        </w:rPr>
        <w:t>Slightly larger total-order v</w:t>
      </w:r>
      <w:r w:rsidR="008E5666">
        <w:rPr>
          <w:rFonts w:ascii="Helvetica" w:hAnsi="Helvetica"/>
        </w:rPr>
        <w:t>ersus</w:t>
      </w:r>
      <w:r w:rsidR="008E5666" w:rsidRPr="002A6697">
        <w:rPr>
          <w:rFonts w:ascii="Helvetica" w:hAnsi="Helvetica"/>
        </w:rPr>
        <w:t xml:space="preserve"> first-order indices suggest </w:t>
      </w:r>
      <w:r w:rsidR="008E5666">
        <w:rPr>
          <w:rFonts w:ascii="Helvetica" w:hAnsi="Helvetica"/>
        </w:rPr>
        <w:t>a small</w:t>
      </w:r>
      <w:r w:rsidR="008E5666" w:rsidRPr="002A6697">
        <w:rPr>
          <w:rFonts w:ascii="Helvetica" w:hAnsi="Helvetica"/>
        </w:rPr>
        <w:t xml:space="preserve"> interact</w:t>
      </w:r>
      <w:r w:rsidR="008E5666">
        <w:rPr>
          <w:rFonts w:ascii="Helvetica" w:hAnsi="Helvetica"/>
        </w:rPr>
        <w:t>ive influence of</w:t>
      </w:r>
      <w:r w:rsidR="008E5666" w:rsidRPr="002A6697">
        <w:rPr>
          <w:rFonts w:ascii="Helvetica" w:hAnsi="Helvetica"/>
        </w:rPr>
        <w:t xml:space="preserve"> </w:t>
      </w:r>
      <w:r w:rsidR="008E5666">
        <w:rPr>
          <w:rFonts w:ascii="Helvetica" w:hAnsi="Helvetica"/>
        </w:rPr>
        <w:t xml:space="preserve">surface water </w:t>
      </w:r>
      <w:r w:rsidR="008E5666" w:rsidRPr="002A6697">
        <w:rPr>
          <w:rFonts w:ascii="Helvetica" w:hAnsi="Helvetica"/>
        </w:rPr>
        <w:t xml:space="preserve">depth and area, meaning TWS is more sensitive when either </w:t>
      </w:r>
      <w:r w:rsidR="008E5666">
        <w:rPr>
          <w:rFonts w:ascii="Helvetica" w:hAnsi="Helvetica"/>
        </w:rPr>
        <w:t xml:space="preserve">parameter </w:t>
      </w:r>
      <w:r w:rsidR="008E5666" w:rsidRPr="002A6697">
        <w:rPr>
          <w:rFonts w:ascii="Helvetica" w:hAnsi="Helvetica"/>
        </w:rPr>
        <w:t>is high but insensitive when either is low.</w:t>
      </w:r>
      <w:r w:rsidR="008E5666">
        <w:rPr>
          <w:rFonts w:ascii="Helvetica" w:hAnsi="Helvetica"/>
        </w:rPr>
        <w:t xml:space="preserve"> </w:t>
      </w:r>
    </w:p>
    <w:p w14:paraId="036CD71E" w14:textId="77777777" w:rsidR="000753D0" w:rsidRDefault="000753D0" w:rsidP="008E5666">
      <w:pPr>
        <w:jc w:val="both"/>
        <w:rPr>
          <w:rFonts w:ascii="Helvetica" w:hAnsi="Helvetica"/>
        </w:rPr>
      </w:pPr>
    </w:p>
    <w:p w14:paraId="4685FAEB" w14:textId="77777777" w:rsidR="000753D0" w:rsidRDefault="000753D0" w:rsidP="008E5666">
      <w:pPr>
        <w:jc w:val="both"/>
        <w:rPr>
          <w:rFonts w:ascii="Helvetica" w:hAnsi="Helvetica"/>
        </w:rPr>
      </w:pPr>
    </w:p>
    <w:p w14:paraId="6C27E80C" w14:textId="77777777" w:rsidR="000753D0" w:rsidRDefault="000753D0" w:rsidP="008E5666">
      <w:pPr>
        <w:jc w:val="both"/>
        <w:rPr>
          <w:rFonts w:ascii="Helvetica" w:hAnsi="Helvetica"/>
        </w:rPr>
      </w:pPr>
    </w:p>
    <w:p w14:paraId="61AE943D" w14:textId="562F591C" w:rsidR="00354875" w:rsidRPr="008E5666" w:rsidRDefault="00354875" w:rsidP="008E5666">
      <w:pPr>
        <w:rPr>
          <w:rFonts w:ascii="Arial" w:hAnsi="Arial" w:cs="Arial"/>
        </w:rPr>
      </w:pPr>
    </w:p>
    <w:p w14:paraId="0179E2F9" w14:textId="77777777" w:rsidR="00354875" w:rsidRDefault="00354875" w:rsidP="00354875">
      <w:pPr>
        <w:rPr>
          <w:rFonts w:ascii="Arial" w:hAnsi="Arial" w:cs="Arial"/>
          <w:b/>
          <w:bCs/>
        </w:rPr>
      </w:pPr>
    </w:p>
    <w:p w14:paraId="3C0512C5" w14:textId="77777777" w:rsidR="00354875" w:rsidRPr="0020013A" w:rsidRDefault="00354875" w:rsidP="00354875">
      <w:pPr>
        <w:rPr>
          <w:rFonts w:ascii="Arial" w:hAnsi="Arial" w:cs="Arial"/>
        </w:rPr>
      </w:pPr>
    </w:p>
    <w:p w14:paraId="29ADDEC5" w14:textId="77777777" w:rsidR="00354875" w:rsidRDefault="00354875" w:rsidP="00354875">
      <w:pPr>
        <w:jc w:val="center"/>
        <w:rPr>
          <w:rFonts w:ascii="Arial" w:hAnsi="Arial" w:cs="Arial"/>
          <w:b/>
          <w:bCs/>
        </w:rPr>
      </w:pPr>
      <w:r w:rsidRPr="002C3826">
        <w:rPr>
          <w:rFonts w:ascii="Arial" w:hAnsi="Arial" w:cs="Arial"/>
          <w:noProof/>
        </w:rPr>
        <w:drawing>
          <wp:inline distT="0" distB="0" distL="0" distR="0" wp14:anchorId="1B9428FD" wp14:editId="774CEC08">
            <wp:extent cx="3327647" cy="6251945"/>
            <wp:effectExtent l="0" t="0" r="6350" b="0"/>
            <wp:docPr id="3073" name="Picture 1">
              <a:extLst xmlns:a="http://schemas.openxmlformats.org/drawingml/2006/main">
                <a:ext uri="{FF2B5EF4-FFF2-40B4-BE49-F238E27FC236}">
                  <a16:creationId xmlns:a16="http://schemas.microsoft.com/office/drawing/2014/main" id="{820E643F-8AB8-F8A4-AEA7-60A080CAA2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3" name="Picture 1">
                      <a:extLst>
                        <a:ext uri="{FF2B5EF4-FFF2-40B4-BE49-F238E27FC236}">
                          <a16:creationId xmlns:a16="http://schemas.microsoft.com/office/drawing/2014/main" id="{820E643F-8AB8-F8A4-AEA7-60A080CAA29C}"/>
                        </a:ext>
                      </a:extLst>
                    </pic:cNvPr>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1382" cy="6277750"/>
                    </a:xfrm>
                    <a:prstGeom prst="rect">
                      <a:avLst/>
                    </a:prstGeom>
                    <a:noFill/>
                  </pic:spPr>
                </pic:pic>
              </a:graphicData>
            </a:graphic>
          </wp:inline>
        </w:drawing>
      </w:r>
    </w:p>
    <w:p w14:paraId="6AEC65A6" w14:textId="31146C8E" w:rsidR="00665F44" w:rsidRPr="00665F44" w:rsidRDefault="00D970E5" w:rsidP="002A0C92">
      <w:r>
        <w:rPr>
          <w:rFonts w:ascii="Arial" w:hAnsi="Arial" w:cs="Arial"/>
          <w:b/>
          <w:bCs/>
        </w:rPr>
        <w:t xml:space="preserve">Supplementary </w:t>
      </w:r>
      <w:r w:rsidR="00354875" w:rsidRPr="0020013A">
        <w:rPr>
          <w:rFonts w:ascii="Arial" w:hAnsi="Arial" w:cs="Arial"/>
          <w:b/>
          <w:bCs/>
        </w:rPr>
        <w:t xml:space="preserve">Figure </w:t>
      </w:r>
      <w:r w:rsidR="002A0C92">
        <w:rPr>
          <w:rFonts w:ascii="Arial" w:hAnsi="Arial" w:cs="Arial"/>
          <w:b/>
          <w:bCs/>
        </w:rPr>
        <w:t>9</w:t>
      </w:r>
      <w:r w:rsidR="00354875" w:rsidRPr="0020013A">
        <w:rPr>
          <w:rFonts w:ascii="Arial" w:hAnsi="Arial" w:cs="Arial"/>
          <w:b/>
          <w:bCs/>
        </w:rPr>
        <w:t xml:space="preserve">: Drivers of precipitation consolidation and terrestrial water storage impacts under </w:t>
      </w:r>
      <w:r w:rsidR="00354875">
        <w:rPr>
          <w:rFonts w:ascii="Arial" w:hAnsi="Arial" w:cs="Arial"/>
          <w:b/>
          <w:bCs/>
        </w:rPr>
        <w:t>an additional 1°C of</w:t>
      </w:r>
      <w:r w:rsidR="00354875" w:rsidRPr="0020013A">
        <w:rPr>
          <w:rFonts w:ascii="Arial" w:hAnsi="Arial" w:cs="Arial"/>
          <w:b/>
          <w:bCs/>
        </w:rPr>
        <w:t xml:space="preserve"> global warming.</w:t>
      </w:r>
      <w:r w:rsidR="008E5666">
        <w:rPr>
          <w:rFonts w:ascii="Arial" w:hAnsi="Arial" w:cs="Arial"/>
          <w:b/>
          <w:bCs/>
        </w:rPr>
        <w:t xml:space="preserve"> </w:t>
      </w:r>
      <w:r w:rsidR="008E5666">
        <w:rPr>
          <w:rFonts w:ascii="Arial" w:hAnsi="Arial" w:cs="Arial"/>
        </w:rPr>
        <w:t xml:space="preserve">a) </w:t>
      </w:r>
      <w:r w:rsidR="00665F44">
        <w:rPr>
          <w:rFonts w:ascii="Arial" w:hAnsi="Arial" w:cs="Arial"/>
        </w:rPr>
        <w:t>M</w:t>
      </w:r>
      <w:r w:rsidR="008E5666">
        <w:rPr>
          <w:rFonts w:ascii="Arial" w:hAnsi="Arial" w:cs="Arial"/>
        </w:rPr>
        <w:t>ean surface air</w:t>
      </w:r>
      <w:r w:rsidR="00665F44">
        <w:rPr>
          <w:rFonts w:ascii="Arial" w:eastAsiaTheme="minorEastAsia" w:hAnsi="Arial" w:cs="Arial"/>
        </w:rPr>
        <w:t xml:space="preserve"> warming pattern at 1°C of global warming, derived from the 26 general circulation and Earth system simulations from the Coupled Model Intercomparison Project, Phase 6 (CMIP6), run under the SSP5-8.5 scenario. b) G</w:t>
      </w:r>
      <w:r w:rsidR="00665F44">
        <w:rPr>
          <w:rFonts w:ascii="Arial" w:eastAsiaTheme="minorEastAsia" w:hAnsi="Arial" w:cs="Arial"/>
          <w:vertAlign w:val="subscript"/>
        </w:rPr>
        <w:t>P</w:t>
      </w:r>
      <w:r w:rsidR="00665F44">
        <w:rPr>
          <w:rFonts w:ascii="Arial" w:eastAsiaTheme="minorEastAsia" w:hAnsi="Arial" w:cs="Arial"/>
        </w:rPr>
        <w:t xml:space="preserve"> changes for precipitation consolidation under warming from a), projected using a thermodynamic rainfall intensification model. c) TWS sensitivity to precipitation consolidation, conditioned on climatological precipitation, as estimated from the panel regression model (averaged across the three precipitation datasets)</w:t>
      </w:r>
    </w:p>
    <w:p w14:paraId="09158433" w14:textId="5EE829D1" w:rsidR="00A83DCE" w:rsidRPr="00A83DCE" w:rsidRDefault="00A83DCE" w:rsidP="00A83DCE">
      <w:pPr>
        <w:rPr>
          <w:rFonts w:ascii="Arial" w:hAnsi="Arial" w:cs="Arial"/>
          <w:lang w:val="en-CA"/>
        </w:rPr>
      </w:pPr>
      <w:r w:rsidRPr="00A83DCE">
        <w:rPr>
          <w:szCs w:val="24"/>
          <w:lang w:val="en-CA" w:eastAsia="en-CA"/>
        </w:rPr>
        <w:lastRenderedPageBreak/>
        <w:t xml:space="preserve"> </w:t>
      </w:r>
      <w:r w:rsidRPr="00A83DCE">
        <w:rPr>
          <w:rFonts w:ascii="Arial" w:hAnsi="Arial" w:cs="Arial"/>
          <w:noProof/>
          <w:lang w:val="en-CA"/>
        </w:rPr>
        <w:drawing>
          <wp:inline distT="0" distB="0" distL="0" distR="0" wp14:anchorId="343FA7CF" wp14:editId="7B64A3AD">
            <wp:extent cx="5943600" cy="4862830"/>
            <wp:effectExtent l="0" t="0" r="0" b="0"/>
            <wp:docPr id="1138138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62830"/>
                    </a:xfrm>
                    <a:prstGeom prst="rect">
                      <a:avLst/>
                    </a:prstGeom>
                    <a:noFill/>
                    <a:ln>
                      <a:noFill/>
                    </a:ln>
                  </pic:spPr>
                </pic:pic>
              </a:graphicData>
            </a:graphic>
          </wp:inline>
        </w:drawing>
      </w:r>
    </w:p>
    <w:p w14:paraId="5CF04433" w14:textId="197D3D65" w:rsidR="002A0C92" w:rsidRPr="00A83DCE" w:rsidRDefault="002A0C92" w:rsidP="002A0C92">
      <w:pPr>
        <w:rPr>
          <w:rFonts w:ascii="Arial" w:hAnsi="Arial" w:cs="Arial"/>
          <w:lang w:val="en-CA"/>
        </w:rPr>
      </w:pPr>
    </w:p>
    <w:p w14:paraId="08753511" w14:textId="4F4DED63" w:rsidR="002A0C92" w:rsidRPr="006138C6" w:rsidRDefault="00D970E5" w:rsidP="002A0C92">
      <w:pPr>
        <w:jc w:val="both"/>
        <w:rPr>
          <w:rFonts w:ascii="Arial" w:hAnsi="Arial" w:cs="Arial"/>
        </w:rPr>
      </w:pPr>
      <w:r>
        <w:rPr>
          <w:rFonts w:ascii="Arial" w:hAnsi="Arial" w:cs="Arial"/>
          <w:b/>
          <w:bCs/>
        </w:rPr>
        <w:t xml:space="preserve">Supplementary </w:t>
      </w:r>
      <w:r w:rsidR="002A0C92" w:rsidRPr="0020013A">
        <w:rPr>
          <w:rFonts w:ascii="Arial" w:hAnsi="Arial" w:cs="Arial"/>
          <w:b/>
          <w:bCs/>
        </w:rPr>
        <w:t xml:space="preserve">Figure </w:t>
      </w:r>
      <w:r w:rsidR="002A0C92">
        <w:rPr>
          <w:rFonts w:ascii="Arial" w:hAnsi="Arial" w:cs="Arial"/>
          <w:b/>
          <w:bCs/>
        </w:rPr>
        <w:t>10</w:t>
      </w:r>
      <w:r w:rsidR="002A0C92" w:rsidRPr="0020013A">
        <w:rPr>
          <w:rFonts w:ascii="Arial" w:hAnsi="Arial" w:cs="Arial"/>
          <w:b/>
          <w:bCs/>
        </w:rPr>
        <w:t>: Correlation among hydroclimate drivers of terrestrial water storage variability.</w:t>
      </w:r>
      <w:r w:rsidR="002A0C92">
        <w:rPr>
          <w:rFonts w:ascii="Arial" w:hAnsi="Arial" w:cs="Arial"/>
          <w:b/>
          <w:bCs/>
        </w:rPr>
        <w:t xml:space="preserve"> </w:t>
      </w:r>
      <w:r w:rsidR="002A0C92">
        <w:rPr>
          <w:rFonts w:ascii="Arial" w:hAnsi="Arial" w:cs="Arial"/>
        </w:rPr>
        <w:t xml:space="preserve">Pairwise Pearson correlation among the hydroclimate predictors </w:t>
      </w:r>
      <w:r w:rsidR="00A83DCE">
        <w:rPr>
          <w:rFonts w:ascii="Arial" w:hAnsi="Arial" w:cs="Arial"/>
        </w:rPr>
        <w:t>and TWS</w:t>
      </w:r>
      <w:r w:rsidR="002A0C92">
        <w:rPr>
          <w:rFonts w:ascii="Arial" w:hAnsi="Arial" w:cs="Arial"/>
        </w:rPr>
        <w:t>. All variables</w:t>
      </w:r>
      <w:r w:rsidR="00A83DCE">
        <w:rPr>
          <w:rFonts w:ascii="Arial" w:hAnsi="Arial" w:cs="Arial"/>
        </w:rPr>
        <w:t xml:space="preserve"> except absolute G</w:t>
      </w:r>
      <w:r w:rsidR="00A83DCE">
        <w:rPr>
          <w:rFonts w:ascii="Arial" w:hAnsi="Arial" w:cs="Arial"/>
          <w:vertAlign w:val="subscript"/>
        </w:rPr>
        <w:t>P</w:t>
      </w:r>
      <w:r w:rsidR="00A83DCE">
        <w:rPr>
          <w:rFonts w:ascii="Arial" w:hAnsi="Arial" w:cs="Arial"/>
        </w:rPr>
        <w:t xml:space="preserve"> and climatological mean precipitation (</w:t>
      </w:r>
      <w:r w:rsidR="00A83DCE" w:rsidRPr="00A83DCE">
        <w:rPr>
          <w:rFonts w:ascii="Arial" w:hAnsi="Arial" w:cs="Arial"/>
        </w:rPr>
        <w:t>P̄</w:t>
      </w:r>
      <w:r w:rsidR="00A83DCE">
        <w:rPr>
          <w:rFonts w:ascii="Arial" w:hAnsi="Arial" w:cs="Arial"/>
        </w:rPr>
        <w:t>)</w:t>
      </w:r>
      <w:r w:rsidR="002A0C92">
        <w:rPr>
          <w:rFonts w:ascii="Arial" w:hAnsi="Arial" w:cs="Arial"/>
        </w:rPr>
        <w:t xml:space="preserve"> are in terms of detrended anomalies, and the correlation is calculated for pooled grid points over space and time.</w:t>
      </w:r>
    </w:p>
    <w:p w14:paraId="2B293555" w14:textId="13818D2B" w:rsidR="003A6CE3" w:rsidRDefault="003A6CE3"/>
    <w:p w14:paraId="16006FE3" w14:textId="77777777" w:rsidR="00354875" w:rsidRDefault="00354875" w:rsidP="00B9440A">
      <w:pPr>
        <w:pStyle w:val="SMcaption"/>
      </w:pPr>
    </w:p>
    <w:p w14:paraId="2C5BB780" w14:textId="187CC972" w:rsidR="00214407" w:rsidRDefault="00214407" w:rsidP="00214407">
      <w:pPr>
        <w:pStyle w:val="SMcaption"/>
        <w:jc w:val="center"/>
        <w:rPr>
          <w:lang w:val="en-CA"/>
        </w:rPr>
      </w:pPr>
      <w:r w:rsidRPr="00214407">
        <w:rPr>
          <w:noProof/>
          <w:lang w:val="en-CA"/>
        </w:rPr>
        <w:lastRenderedPageBreak/>
        <w:drawing>
          <wp:inline distT="0" distB="0" distL="0" distR="0" wp14:anchorId="01A4DA6A" wp14:editId="0BC9EDF7">
            <wp:extent cx="4066185" cy="5556250"/>
            <wp:effectExtent l="0" t="0" r="0" b="6350"/>
            <wp:docPr id="1526589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6658" cy="5570560"/>
                    </a:xfrm>
                    <a:prstGeom prst="rect">
                      <a:avLst/>
                    </a:prstGeom>
                    <a:noFill/>
                    <a:ln>
                      <a:noFill/>
                    </a:ln>
                  </pic:spPr>
                </pic:pic>
              </a:graphicData>
            </a:graphic>
          </wp:inline>
        </w:drawing>
      </w:r>
    </w:p>
    <w:p w14:paraId="65B964DB" w14:textId="77777777" w:rsidR="00665F44" w:rsidRDefault="00665F44" w:rsidP="00214407">
      <w:pPr>
        <w:pStyle w:val="SMcaption"/>
        <w:jc w:val="center"/>
        <w:rPr>
          <w:lang w:val="en-CA"/>
        </w:rPr>
      </w:pPr>
    </w:p>
    <w:p w14:paraId="079F8BB1" w14:textId="78E35828" w:rsidR="00214407" w:rsidRPr="00214407" w:rsidRDefault="00D970E5" w:rsidP="00214407">
      <w:pPr>
        <w:pStyle w:val="SMcaption"/>
        <w:rPr>
          <w:rFonts w:ascii="Arial" w:hAnsi="Arial" w:cs="Arial"/>
          <w:lang w:val="en-CA"/>
        </w:rPr>
      </w:pPr>
      <w:r>
        <w:rPr>
          <w:rFonts w:ascii="Arial" w:hAnsi="Arial" w:cs="Arial"/>
          <w:b/>
          <w:bCs/>
        </w:rPr>
        <w:t xml:space="preserve">Supplementary </w:t>
      </w:r>
      <w:r w:rsidR="00214407">
        <w:rPr>
          <w:rFonts w:ascii="Arial" w:hAnsi="Arial" w:cs="Arial"/>
          <w:b/>
          <w:bCs/>
          <w:lang w:val="en-CA"/>
        </w:rPr>
        <w:t xml:space="preserve">Figure </w:t>
      </w:r>
      <w:r>
        <w:rPr>
          <w:rFonts w:ascii="Arial" w:hAnsi="Arial" w:cs="Arial"/>
          <w:b/>
          <w:bCs/>
        </w:rPr>
        <w:t xml:space="preserve">Supplementary </w:t>
      </w:r>
      <w:r w:rsidR="00214407">
        <w:rPr>
          <w:rFonts w:ascii="Arial" w:hAnsi="Arial" w:cs="Arial"/>
          <w:b/>
          <w:bCs/>
          <w:lang w:val="en-CA"/>
        </w:rPr>
        <w:t xml:space="preserve">11: </w:t>
      </w:r>
      <w:r w:rsidR="00214407">
        <w:rPr>
          <w:rFonts w:ascii="Helvetica" w:hAnsi="Helvetica"/>
          <w:b/>
          <w:bCs/>
        </w:rPr>
        <w:t xml:space="preserve">Idealized land-surface simulation of the consolidation effect on terrestrial water storage with bulk temperature homogenization. </w:t>
      </w:r>
      <w:r w:rsidR="00214407">
        <w:rPr>
          <w:rFonts w:ascii="Helvetica" w:hAnsi="Helvetica"/>
        </w:rPr>
        <w:t xml:space="preserve">Same as Figure 4, but for a </w:t>
      </w:r>
      <w:r w:rsidR="00AA1BE9">
        <w:rPr>
          <w:rFonts w:ascii="Helvetica" w:hAnsi="Helvetica"/>
        </w:rPr>
        <w:t>model</w:t>
      </w:r>
      <w:r w:rsidR="00214407">
        <w:rPr>
          <w:rFonts w:ascii="Helvetica" w:hAnsi="Helvetica"/>
        </w:rPr>
        <w:t xml:space="preserve"> in which evaporation from the surface water stock </w:t>
      </w:r>
      <w:r w:rsidR="00665F44">
        <w:rPr>
          <w:rFonts w:ascii="Helvetica" w:hAnsi="Helvetica"/>
        </w:rPr>
        <w:t>influences</w:t>
      </w:r>
      <w:r w:rsidR="00214407">
        <w:rPr>
          <w:rFonts w:ascii="Helvetica" w:hAnsi="Helvetica"/>
        </w:rPr>
        <w:t xml:space="preserve"> surface air temperatures</w:t>
      </w:r>
      <w:r w:rsidR="00665F44">
        <w:rPr>
          <w:rFonts w:ascii="Helvetica" w:hAnsi="Helvetica"/>
        </w:rPr>
        <w:t xml:space="preserve"> (i.e., temperatures are instantaneously homogenized across the model).</w:t>
      </w:r>
    </w:p>
    <w:p w14:paraId="548F065C" w14:textId="0E801E37" w:rsidR="00354875" w:rsidRDefault="00354875" w:rsidP="00B9440A">
      <w:pPr>
        <w:pStyle w:val="SMcaption"/>
      </w:pPr>
    </w:p>
    <w:p w14:paraId="6153D460" w14:textId="77777777" w:rsidR="000B72A1" w:rsidRDefault="000B72A1" w:rsidP="00B9440A">
      <w:pPr>
        <w:pStyle w:val="SMcaption"/>
      </w:pPr>
    </w:p>
    <w:p w14:paraId="7C107E35" w14:textId="77777777" w:rsidR="000B72A1" w:rsidRDefault="000B72A1" w:rsidP="00B9440A">
      <w:pPr>
        <w:pStyle w:val="SMcaption"/>
      </w:pPr>
    </w:p>
    <w:p w14:paraId="2256D943" w14:textId="77777777" w:rsidR="000B72A1" w:rsidRDefault="000B72A1" w:rsidP="00B9440A">
      <w:pPr>
        <w:pStyle w:val="SMcaption"/>
      </w:pPr>
    </w:p>
    <w:p w14:paraId="4DA5D050" w14:textId="77777777" w:rsidR="000B72A1" w:rsidRDefault="000B72A1" w:rsidP="00B9440A">
      <w:pPr>
        <w:pStyle w:val="SMcaption"/>
      </w:pPr>
    </w:p>
    <w:p w14:paraId="3623AD4C" w14:textId="77777777" w:rsidR="000B72A1" w:rsidRDefault="000B72A1" w:rsidP="00B9440A">
      <w:pPr>
        <w:pStyle w:val="SMcaption"/>
      </w:pPr>
    </w:p>
    <w:p w14:paraId="74912FA8" w14:textId="77777777" w:rsidR="000B72A1" w:rsidRDefault="000B72A1" w:rsidP="00B9440A">
      <w:pPr>
        <w:pStyle w:val="SMcaption"/>
      </w:pPr>
    </w:p>
    <w:p w14:paraId="69B4CB25" w14:textId="77777777" w:rsidR="000B72A1" w:rsidRDefault="000B72A1" w:rsidP="00B9440A">
      <w:pPr>
        <w:pStyle w:val="SMcaption"/>
      </w:pPr>
    </w:p>
    <w:p w14:paraId="1C907906" w14:textId="77777777" w:rsidR="000B72A1" w:rsidRDefault="000B72A1" w:rsidP="00B9440A">
      <w:pPr>
        <w:pStyle w:val="SMcaption"/>
      </w:pPr>
    </w:p>
    <w:p w14:paraId="535C8003" w14:textId="77777777" w:rsidR="000B72A1" w:rsidRDefault="000B72A1" w:rsidP="00B9440A">
      <w:pPr>
        <w:pStyle w:val="SMcaption"/>
      </w:pPr>
    </w:p>
    <w:p w14:paraId="254E2511" w14:textId="77777777" w:rsidR="000B72A1" w:rsidRDefault="000B72A1" w:rsidP="00B9440A">
      <w:pPr>
        <w:pStyle w:val="SMcaption"/>
      </w:pPr>
    </w:p>
    <w:p w14:paraId="4DE8D7F9" w14:textId="5D558B3E" w:rsidR="000B72A1" w:rsidRPr="005C33F6" w:rsidRDefault="00D970E5" w:rsidP="00B9440A">
      <w:pPr>
        <w:pStyle w:val="SMcaption"/>
        <w:rPr>
          <w:rFonts w:ascii="Arial" w:hAnsi="Arial" w:cs="Arial"/>
          <w:b/>
          <w:bCs/>
        </w:rPr>
      </w:pPr>
      <w:r>
        <w:rPr>
          <w:rFonts w:ascii="Arial" w:hAnsi="Arial" w:cs="Arial"/>
          <w:b/>
          <w:bCs/>
        </w:rPr>
        <w:t xml:space="preserve">Supplementary </w:t>
      </w:r>
      <w:r w:rsidR="000B72A1">
        <w:rPr>
          <w:rFonts w:ascii="Arial" w:hAnsi="Arial" w:cs="Arial"/>
          <w:b/>
          <w:bCs/>
        </w:rPr>
        <w:t xml:space="preserve">Table 1: Details </w:t>
      </w:r>
      <w:r w:rsidR="005C33F6">
        <w:rPr>
          <w:rFonts w:ascii="Arial" w:hAnsi="Arial" w:cs="Arial"/>
          <w:b/>
          <w:bCs/>
        </w:rPr>
        <w:t xml:space="preserve">of </w:t>
      </w:r>
      <w:r w:rsidR="000B72A1">
        <w:rPr>
          <w:rFonts w:ascii="Arial" w:hAnsi="Arial" w:cs="Arial"/>
          <w:b/>
          <w:bCs/>
        </w:rPr>
        <w:t>and access URLs for datasets used in the study.</w:t>
      </w:r>
    </w:p>
    <w:p w14:paraId="29148EFF" w14:textId="035366E7" w:rsidR="000B72A1" w:rsidRDefault="00B0280B">
      <w:r w:rsidRPr="00B0280B">
        <w:rPr>
          <w:noProof/>
        </w:rPr>
        <w:drawing>
          <wp:inline distT="0" distB="0" distL="0" distR="0" wp14:anchorId="76318601" wp14:editId="255D1873">
            <wp:extent cx="5943600" cy="3355340"/>
            <wp:effectExtent l="0" t="0" r="0" b="0"/>
            <wp:docPr id="1327350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55340"/>
                    </a:xfrm>
                    <a:prstGeom prst="rect">
                      <a:avLst/>
                    </a:prstGeom>
                    <a:noFill/>
                    <a:ln>
                      <a:noFill/>
                    </a:ln>
                  </pic:spPr>
                </pic:pic>
              </a:graphicData>
            </a:graphic>
          </wp:inline>
        </w:drawing>
      </w:r>
      <w:r w:rsidR="000B72A1">
        <w:br w:type="page"/>
      </w:r>
    </w:p>
    <w:p w14:paraId="5B1FC091" w14:textId="52477D6C" w:rsidR="000B72A1" w:rsidRPr="000B72A1" w:rsidRDefault="00D970E5" w:rsidP="00B9440A">
      <w:pPr>
        <w:pStyle w:val="SMcaption"/>
        <w:rPr>
          <w:rFonts w:ascii="Arial" w:hAnsi="Arial" w:cs="Arial"/>
          <w:b/>
          <w:bCs/>
        </w:rPr>
      </w:pPr>
      <w:r>
        <w:rPr>
          <w:rFonts w:ascii="Arial" w:hAnsi="Arial" w:cs="Arial"/>
          <w:b/>
          <w:bCs/>
        </w:rPr>
        <w:lastRenderedPageBreak/>
        <w:t xml:space="preserve">Supplementary </w:t>
      </w:r>
      <w:r>
        <w:rPr>
          <w:rFonts w:ascii="Arial" w:hAnsi="Arial" w:cs="Arial"/>
          <w:b/>
          <w:bCs/>
        </w:rPr>
        <w:t>Table 2</w:t>
      </w:r>
      <w:r w:rsidR="000B72A1">
        <w:rPr>
          <w:rFonts w:ascii="Arial" w:hAnsi="Arial" w:cs="Arial"/>
          <w:b/>
          <w:bCs/>
        </w:rPr>
        <w:t>: Regression coefficients relating TWS to its hydroclimate drivers.</w:t>
      </w:r>
    </w:p>
    <w:p w14:paraId="70EE6906" w14:textId="1B8F14DA" w:rsidR="000B72A1" w:rsidRDefault="000B72A1" w:rsidP="00B9440A">
      <w:pPr>
        <w:pStyle w:val="SMcaption"/>
      </w:pPr>
      <w:r w:rsidRPr="000B72A1">
        <w:rPr>
          <w:noProof/>
        </w:rPr>
        <w:drawing>
          <wp:inline distT="0" distB="0" distL="0" distR="0" wp14:anchorId="7BD187F5" wp14:editId="338F4D23">
            <wp:extent cx="5943600" cy="2503170"/>
            <wp:effectExtent l="0" t="0" r="0" b="0"/>
            <wp:docPr id="641577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20CC5333" w14:textId="59A087C5" w:rsidR="000B72A1" w:rsidRDefault="000B72A1">
      <w:r>
        <w:br w:type="page"/>
      </w:r>
    </w:p>
    <w:p w14:paraId="19548283" w14:textId="29745868" w:rsidR="00733820" w:rsidRPr="00733820" w:rsidRDefault="00D970E5">
      <w:r>
        <w:rPr>
          <w:rFonts w:ascii="Arial" w:hAnsi="Arial" w:cs="Arial"/>
          <w:b/>
          <w:bCs/>
        </w:rPr>
        <w:lastRenderedPageBreak/>
        <w:t xml:space="preserve">Supplementary </w:t>
      </w:r>
      <w:r w:rsidR="00733820">
        <w:rPr>
          <w:rFonts w:ascii="Arial" w:hAnsi="Arial" w:cs="Arial"/>
          <w:b/>
          <w:bCs/>
        </w:rPr>
        <w:t>Table 3: Parameters, geometry, and physical constants used in the Simple Energy-Moisture Balance Model with Hydrology, including sensitivity range for key free parameters.</w:t>
      </w:r>
    </w:p>
    <w:p w14:paraId="547614A5" w14:textId="1BD018CF" w:rsidR="000B72A1" w:rsidRDefault="00733820">
      <w:r w:rsidRPr="00733820">
        <w:rPr>
          <w:noProof/>
        </w:rPr>
        <w:drawing>
          <wp:inline distT="0" distB="0" distL="0" distR="0" wp14:anchorId="721869DF" wp14:editId="0E4220A3">
            <wp:extent cx="5648325" cy="4811395"/>
            <wp:effectExtent l="0" t="0" r="9525" b="8255"/>
            <wp:docPr id="1638240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4811395"/>
                    </a:xfrm>
                    <a:prstGeom prst="rect">
                      <a:avLst/>
                    </a:prstGeom>
                    <a:noFill/>
                    <a:ln>
                      <a:noFill/>
                    </a:ln>
                  </pic:spPr>
                </pic:pic>
              </a:graphicData>
            </a:graphic>
          </wp:inline>
        </w:drawing>
      </w:r>
      <w:r w:rsidR="000B72A1">
        <w:br w:type="page"/>
      </w:r>
    </w:p>
    <w:p w14:paraId="5B74EB21" w14:textId="4766F7CF" w:rsidR="000B72A1" w:rsidRPr="000B72A1" w:rsidRDefault="00D970E5" w:rsidP="00B9440A">
      <w:pPr>
        <w:pStyle w:val="SMcaption"/>
        <w:rPr>
          <w:rFonts w:ascii="Arial" w:hAnsi="Arial" w:cs="Arial"/>
          <w:b/>
          <w:bCs/>
        </w:rPr>
      </w:pPr>
      <w:r>
        <w:rPr>
          <w:rFonts w:ascii="Arial" w:hAnsi="Arial" w:cs="Arial"/>
          <w:b/>
          <w:bCs/>
        </w:rPr>
        <w:lastRenderedPageBreak/>
        <w:t xml:space="preserve">Supplementary </w:t>
      </w:r>
      <w:r w:rsidR="000B72A1">
        <w:rPr>
          <w:rFonts w:ascii="Arial" w:hAnsi="Arial" w:cs="Arial"/>
          <w:b/>
          <w:bCs/>
        </w:rPr>
        <w:t>Table 4: Models from the Coupled Model Intercomparison Project, Phase 6, used for warming pattern projections.</w:t>
      </w:r>
    </w:p>
    <w:p w14:paraId="7644F801" w14:textId="123D79C3" w:rsidR="000B72A1" w:rsidRDefault="000B72A1" w:rsidP="00B9440A">
      <w:pPr>
        <w:pStyle w:val="SMcaption"/>
      </w:pPr>
      <w:r w:rsidRPr="000B72A1">
        <w:rPr>
          <w:noProof/>
        </w:rPr>
        <w:drawing>
          <wp:inline distT="0" distB="0" distL="0" distR="0" wp14:anchorId="7A23B0E5" wp14:editId="4173CAF2">
            <wp:extent cx="5943600" cy="4656455"/>
            <wp:effectExtent l="0" t="0" r="0" b="0"/>
            <wp:docPr id="297217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656455"/>
                    </a:xfrm>
                    <a:prstGeom prst="rect">
                      <a:avLst/>
                    </a:prstGeom>
                    <a:noFill/>
                    <a:ln>
                      <a:noFill/>
                    </a:ln>
                  </pic:spPr>
                </pic:pic>
              </a:graphicData>
            </a:graphic>
          </wp:inline>
        </w:drawing>
      </w:r>
    </w:p>
    <w:p w14:paraId="1CFA66DD" w14:textId="77777777" w:rsidR="00665F44" w:rsidRDefault="00665F44" w:rsidP="00B9440A">
      <w:pPr>
        <w:pStyle w:val="SMcaption"/>
      </w:pPr>
    </w:p>
    <w:p w14:paraId="5193A8C5" w14:textId="543DA73A" w:rsidR="00665F44" w:rsidRPr="00015F74" w:rsidRDefault="00665F44" w:rsidP="00264DEC">
      <w:pPr>
        <w:pStyle w:val="SMcaption"/>
      </w:pPr>
    </w:p>
    <w:sectPr w:rsidR="00665F44" w:rsidRPr="00015F74" w:rsidSect="00E853D5">
      <w:headerReference w:type="default" r:id="rId24"/>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315D6" w14:textId="77777777" w:rsidR="00FF2AA2" w:rsidRDefault="00FF2AA2">
      <w:r>
        <w:separator/>
      </w:r>
    </w:p>
  </w:endnote>
  <w:endnote w:type="continuationSeparator" w:id="0">
    <w:p w14:paraId="5E2F8EEB" w14:textId="77777777" w:rsidR="00FF2AA2" w:rsidRDefault="00FF2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47104" w14:textId="77777777" w:rsidR="00FF2AA2" w:rsidRDefault="00FF2AA2">
      <w:r>
        <w:separator/>
      </w:r>
    </w:p>
  </w:footnote>
  <w:footnote w:type="continuationSeparator" w:id="0">
    <w:p w14:paraId="1F3BE2D6" w14:textId="77777777" w:rsidR="00FF2AA2" w:rsidRDefault="00FF2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D6828D3"/>
    <w:multiLevelType w:val="hybridMultilevel"/>
    <w:tmpl w:val="68BC7E42"/>
    <w:lvl w:ilvl="0" w:tplc="9208B788">
      <w:start w:val="3000"/>
      <w:numFmt w:val="bullet"/>
      <w:lvlText w:val="-"/>
      <w:lvlJc w:val="left"/>
      <w:pPr>
        <w:ind w:left="720" w:hanging="360"/>
      </w:pPr>
      <w:rPr>
        <w:rFonts w:ascii="Helvetica" w:eastAsiaTheme="minorHAnsi" w:hAnsi="Helvetic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00B4964"/>
    <w:multiLevelType w:val="multilevel"/>
    <w:tmpl w:val="8BB0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C928BC"/>
    <w:multiLevelType w:val="multilevel"/>
    <w:tmpl w:val="EC02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2796278">
    <w:abstractNumId w:val="9"/>
  </w:num>
  <w:num w:numId="2" w16cid:durableId="1388921362">
    <w:abstractNumId w:val="7"/>
  </w:num>
  <w:num w:numId="3" w16cid:durableId="552035742">
    <w:abstractNumId w:val="6"/>
  </w:num>
  <w:num w:numId="4" w16cid:durableId="748381877">
    <w:abstractNumId w:val="5"/>
  </w:num>
  <w:num w:numId="5" w16cid:durableId="1419597494">
    <w:abstractNumId w:val="4"/>
  </w:num>
  <w:num w:numId="6" w16cid:durableId="473108779">
    <w:abstractNumId w:val="8"/>
  </w:num>
  <w:num w:numId="7" w16cid:durableId="325476729">
    <w:abstractNumId w:val="3"/>
  </w:num>
  <w:num w:numId="8" w16cid:durableId="1775320888">
    <w:abstractNumId w:val="2"/>
  </w:num>
  <w:num w:numId="9" w16cid:durableId="1414008578">
    <w:abstractNumId w:val="1"/>
  </w:num>
  <w:num w:numId="10" w16cid:durableId="226041621">
    <w:abstractNumId w:val="0"/>
  </w:num>
  <w:num w:numId="11" w16cid:durableId="1885870293">
    <w:abstractNumId w:val="10"/>
  </w:num>
  <w:num w:numId="12" w16cid:durableId="632757486">
    <w:abstractNumId w:val="11"/>
  </w:num>
  <w:num w:numId="13" w16cid:durableId="12790689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31282"/>
    <w:rsid w:val="00032E91"/>
    <w:rsid w:val="00047E99"/>
    <w:rsid w:val="00054136"/>
    <w:rsid w:val="00065EBD"/>
    <w:rsid w:val="00073F85"/>
    <w:rsid w:val="000753D0"/>
    <w:rsid w:val="00083B44"/>
    <w:rsid w:val="000850DC"/>
    <w:rsid w:val="00093F90"/>
    <w:rsid w:val="000B72A1"/>
    <w:rsid w:val="000C2771"/>
    <w:rsid w:val="000C3789"/>
    <w:rsid w:val="000C6B60"/>
    <w:rsid w:val="000D45FC"/>
    <w:rsid w:val="000D46F4"/>
    <w:rsid w:val="000F0DCE"/>
    <w:rsid w:val="000F378C"/>
    <w:rsid w:val="000F569B"/>
    <w:rsid w:val="000F6BE3"/>
    <w:rsid w:val="00112C5B"/>
    <w:rsid w:val="00114193"/>
    <w:rsid w:val="001152BA"/>
    <w:rsid w:val="00115A38"/>
    <w:rsid w:val="0011687B"/>
    <w:rsid w:val="00124F82"/>
    <w:rsid w:val="001428A4"/>
    <w:rsid w:val="00161598"/>
    <w:rsid w:val="00162733"/>
    <w:rsid w:val="0016337A"/>
    <w:rsid w:val="00164269"/>
    <w:rsid w:val="0016563A"/>
    <w:rsid w:val="001853B7"/>
    <w:rsid w:val="001A1BDE"/>
    <w:rsid w:val="001A34C4"/>
    <w:rsid w:val="001B06DB"/>
    <w:rsid w:val="001B30E8"/>
    <w:rsid w:val="001C4403"/>
    <w:rsid w:val="001C6CFE"/>
    <w:rsid w:val="001C706C"/>
    <w:rsid w:val="001E08FB"/>
    <w:rsid w:val="001F0876"/>
    <w:rsid w:val="001F167C"/>
    <w:rsid w:val="001F5E91"/>
    <w:rsid w:val="002077B9"/>
    <w:rsid w:val="00214407"/>
    <w:rsid w:val="002149B0"/>
    <w:rsid w:val="00224C94"/>
    <w:rsid w:val="00243238"/>
    <w:rsid w:val="00254C5E"/>
    <w:rsid w:val="00262D72"/>
    <w:rsid w:val="00264DEC"/>
    <w:rsid w:val="00286B93"/>
    <w:rsid w:val="00290E43"/>
    <w:rsid w:val="00294FBB"/>
    <w:rsid w:val="002A0C92"/>
    <w:rsid w:val="002A34E6"/>
    <w:rsid w:val="002B336B"/>
    <w:rsid w:val="002B5804"/>
    <w:rsid w:val="002C030F"/>
    <w:rsid w:val="002D1D37"/>
    <w:rsid w:val="003058BF"/>
    <w:rsid w:val="0032051F"/>
    <w:rsid w:val="003227A1"/>
    <w:rsid w:val="00331D75"/>
    <w:rsid w:val="003475C6"/>
    <w:rsid w:val="00354875"/>
    <w:rsid w:val="00355362"/>
    <w:rsid w:val="00363E44"/>
    <w:rsid w:val="00367427"/>
    <w:rsid w:val="003745D2"/>
    <w:rsid w:val="00395E86"/>
    <w:rsid w:val="003A2FD8"/>
    <w:rsid w:val="003A5AB2"/>
    <w:rsid w:val="003A6CE3"/>
    <w:rsid w:val="003B40E6"/>
    <w:rsid w:val="003C208A"/>
    <w:rsid w:val="003C528D"/>
    <w:rsid w:val="003E74FB"/>
    <w:rsid w:val="003E7C31"/>
    <w:rsid w:val="003F4626"/>
    <w:rsid w:val="003F6E14"/>
    <w:rsid w:val="003F7348"/>
    <w:rsid w:val="00402F48"/>
    <w:rsid w:val="00403D2C"/>
    <w:rsid w:val="00405336"/>
    <w:rsid w:val="00446003"/>
    <w:rsid w:val="004571D5"/>
    <w:rsid w:val="0046155B"/>
    <w:rsid w:val="00461D81"/>
    <w:rsid w:val="0046356B"/>
    <w:rsid w:val="00477182"/>
    <w:rsid w:val="004779CB"/>
    <w:rsid w:val="00491E47"/>
    <w:rsid w:val="00494C9D"/>
    <w:rsid w:val="004A3224"/>
    <w:rsid w:val="004B6D76"/>
    <w:rsid w:val="004E3306"/>
    <w:rsid w:val="004E42D8"/>
    <w:rsid w:val="004E7BA2"/>
    <w:rsid w:val="004F7EDF"/>
    <w:rsid w:val="005001AC"/>
    <w:rsid w:val="00522A6C"/>
    <w:rsid w:val="00525289"/>
    <w:rsid w:val="00527D71"/>
    <w:rsid w:val="00537E92"/>
    <w:rsid w:val="005520A8"/>
    <w:rsid w:val="005607DD"/>
    <w:rsid w:val="00571610"/>
    <w:rsid w:val="005902AD"/>
    <w:rsid w:val="00597350"/>
    <w:rsid w:val="005A558C"/>
    <w:rsid w:val="005C0D00"/>
    <w:rsid w:val="005C1377"/>
    <w:rsid w:val="005C33F6"/>
    <w:rsid w:val="005E160C"/>
    <w:rsid w:val="005E28F8"/>
    <w:rsid w:val="005E43AA"/>
    <w:rsid w:val="005E6513"/>
    <w:rsid w:val="006138C6"/>
    <w:rsid w:val="00630499"/>
    <w:rsid w:val="006306BD"/>
    <w:rsid w:val="006357F6"/>
    <w:rsid w:val="006459C6"/>
    <w:rsid w:val="00651114"/>
    <w:rsid w:val="00664560"/>
    <w:rsid w:val="00665F44"/>
    <w:rsid w:val="00670299"/>
    <w:rsid w:val="006721CE"/>
    <w:rsid w:val="00672B91"/>
    <w:rsid w:val="00673097"/>
    <w:rsid w:val="00691985"/>
    <w:rsid w:val="006A16B6"/>
    <w:rsid w:val="006A1B64"/>
    <w:rsid w:val="006A4AE1"/>
    <w:rsid w:val="006B024D"/>
    <w:rsid w:val="006B268C"/>
    <w:rsid w:val="006D5652"/>
    <w:rsid w:val="006E3A09"/>
    <w:rsid w:val="006F452E"/>
    <w:rsid w:val="007108F5"/>
    <w:rsid w:val="007126EA"/>
    <w:rsid w:val="00713E5B"/>
    <w:rsid w:val="00733820"/>
    <w:rsid w:val="007402FC"/>
    <w:rsid w:val="007411A1"/>
    <w:rsid w:val="00784E98"/>
    <w:rsid w:val="007878EE"/>
    <w:rsid w:val="00793072"/>
    <w:rsid w:val="00795DCE"/>
    <w:rsid w:val="007C5F1F"/>
    <w:rsid w:val="007D522A"/>
    <w:rsid w:val="007E1511"/>
    <w:rsid w:val="007F33C1"/>
    <w:rsid w:val="007F78E6"/>
    <w:rsid w:val="00806EB8"/>
    <w:rsid w:val="00807D35"/>
    <w:rsid w:val="008218C4"/>
    <w:rsid w:val="008236AE"/>
    <w:rsid w:val="0083457E"/>
    <w:rsid w:val="00867A98"/>
    <w:rsid w:val="00870867"/>
    <w:rsid w:val="00877BF9"/>
    <w:rsid w:val="00885C9B"/>
    <w:rsid w:val="00895B51"/>
    <w:rsid w:val="008A0D83"/>
    <w:rsid w:val="008B5F70"/>
    <w:rsid w:val="008C0FF7"/>
    <w:rsid w:val="008C5438"/>
    <w:rsid w:val="008D0D35"/>
    <w:rsid w:val="008D5D2A"/>
    <w:rsid w:val="008E4635"/>
    <w:rsid w:val="008E5666"/>
    <w:rsid w:val="008E5A38"/>
    <w:rsid w:val="00914B63"/>
    <w:rsid w:val="0092651C"/>
    <w:rsid w:val="009354F3"/>
    <w:rsid w:val="009447DC"/>
    <w:rsid w:val="00961BA5"/>
    <w:rsid w:val="009743A9"/>
    <w:rsid w:val="009A5089"/>
    <w:rsid w:val="009A5287"/>
    <w:rsid w:val="009B200C"/>
    <w:rsid w:val="009B2AC5"/>
    <w:rsid w:val="009B66D0"/>
    <w:rsid w:val="009B7984"/>
    <w:rsid w:val="009F44E7"/>
    <w:rsid w:val="009F4BED"/>
    <w:rsid w:val="009F4FB1"/>
    <w:rsid w:val="009F7D93"/>
    <w:rsid w:val="00A12678"/>
    <w:rsid w:val="00A33126"/>
    <w:rsid w:val="00A3403B"/>
    <w:rsid w:val="00A47418"/>
    <w:rsid w:val="00A51A12"/>
    <w:rsid w:val="00A627D4"/>
    <w:rsid w:val="00A74DA2"/>
    <w:rsid w:val="00A83DCE"/>
    <w:rsid w:val="00AA1BE9"/>
    <w:rsid w:val="00AB399E"/>
    <w:rsid w:val="00AC59D0"/>
    <w:rsid w:val="00AD16B1"/>
    <w:rsid w:val="00AD499C"/>
    <w:rsid w:val="00AF1C25"/>
    <w:rsid w:val="00B0071D"/>
    <w:rsid w:val="00B0280B"/>
    <w:rsid w:val="00B11A4F"/>
    <w:rsid w:val="00B27BA9"/>
    <w:rsid w:val="00B3186E"/>
    <w:rsid w:val="00B33CC7"/>
    <w:rsid w:val="00B36869"/>
    <w:rsid w:val="00B43B31"/>
    <w:rsid w:val="00B47CFA"/>
    <w:rsid w:val="00B53A36"/>
    <w:rsid w:val="00B57F00"/>
    <w:rsid w:val="00B77B2A"/>
    <w:rsid w:val="00B77F73"/>
    <w:rsid w:val="00B82C22"/>
    <w:rsid w:val="00B90708"/>
    <w:rsid w:val="00B91C12"/>
    <w:rsid w:val="00B93DBA"/>
    <w:rsid w:val="00B9440A"/>
    <w:rsid w:val="00B95925"/>
    <w:rsid w:val="00BB2D2A"/>
    <w:rsid w:val="00BB4074"/>
    <w:rsid w:val="00BB62F8"/>
    <w:rsid w:val="00BC0349"/>
    <w:rsid w:val="00BC3E04"/>
    <w:rsid w:val="00BD58CF"/>
    <w:rsid w:val="00BF0C92"/>
    <w:rsid w:val="00C04CC1"/>
    <w:rsid w:val="00C07123"/>
    <w:rsid w:val="00C0766C"/>
    <w:rsid w:val="00C17018"/>
    <w:rsid w:val="00C3148E"/>
    <w:rsid w:val="00C4096C"/>
    <w:rsid w:val="00C50C6D"/>
    <w:rsid w:val="00C600D9"/>
    <w:rsid w:val="00C63E81"/>
    <w:rsid w:val="00C92B22"/>
    <w:rsid w:val="00CC1384"/>
    <w:rsid w:val="00CD02AA"/>
    <w:rsid w:val="00CD3720"/>
    <w:rsid w:val="00CD6C92"/>
    <w:rsid w:val="00CF1848"/>
    <w:rsid w:val="00CF5C2F"/>
    <w:rsid w:val="00D039FD"/>
    <w:rsid w:val="00D04BCF"/>
    <w:rsid w:val="00D11E7D"/>
    <w:rsid w:val="00D1385C"/>
    <w:rsid w:val="00D143D9"/>
    <w:rsid w:val="00D1544C"/>
    <w:rsid w:val="00D21058"/>
    <w:rsid w:val="00D32950"/>
    <w:rsid w:val="00D5511B"/>
    <w:rsid w:val="00D766F1"/>
    <w:rsid w:val="00D84A21"/>
    <w:rsid w:val="00D970E5"/>
    <w:rsid w:val="00DA7151"/>
    <w:rsid w:val="00DD43CC"/>
    <w:rsid w:val="00DF3808"/>
    <w:rsid w:val="00E10C96"/>
    <w:rsid w:val="00E12B6D"/>
    <w:rsid w:val="00E146A7"/>
    <w:rsid w:val="00E257C8"/>
    <w:rsid w:val="00E376F8"/>
    <w:rsid w:val="00E41512"/>
    <w:rsid w:val="00E4519A"/>
    <w:rsid w:val="00E62C34"/>
    <w:rsid w:val="00E85023"/>
    <w:rsid w:val="00E853D5"/>
    <w:rsid w:val="00E90341"/>
    <w:rsid w:val="00E97215"/>
    <w:rsid w:val="00E9773B"/>
    <w:rsid w:val="00EA1E20"/>
    <w:rsid w:val="00EA6F42"/>
    <w:rsid w:val="00EC13A3"/>
    <w:rsid w:val="00EC6E9D"/>
    <w:rsid w:val="00EC7C85"/>
    <w:rsid w:val="00ED2947"/>
    <w:rsid w:val="00EF7D0D"/>
    <w:rsid w:val="00F10B87"/>
    <w:rsid w:val="00F125EE"/>
    <w:rsid w:val="00F12E98"/>
    <w:rsid w:val="00F156A8"/>
    <w:rsid w:val="00F22029"/>
    <w:rsid w:val="00F4427B"/>
    <w:rsid w:val="00F515FB"/>
    <w:rsid w:val="00F6260D"/>
    <w:rsid w:val="00F630EA"/>
    <w:rsid w:val="00F7007E"/>
    <w:rsid w:val="00F73193"/>
    <w:rsid w:val="00F74F95"/>
    <w:rsid w:val="00F75253"/>
    <w:rsid w:val="00F80705"/>
    <w:rsid w:val="00F84AF7"/>
    <w:rsid w:val="00F84BD9"/>
    <w:rsid w:val="00FA1481"/>
    <w:rsid w:val="00FB2012"/>
    <w:rsid w:val="00FB6457"/>
    <w:rsid w:val="00FF04E3"/>
    <w:rsid w:val="00FF2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uiPriority w:val="9"/>
    <w:qFormat/>
    <w:rsid w:val="00B43B31"/>
    <w:pPr>
      <w:keepNext/>
      <w:spacing w:before="240" w:after="60"/>
      <w:outlineLvl w:val="0"/>
    </w:pPr>
    <w:rPr>
      <w:b/>
      <w:bCs/>
      <w:kern w:val="32"/>
      <w:szCs w:val="24"/>
    </w:rPr>
  </w:style>
  <w:style w:type="paragraph" w:styleId="Heading2">
    <w:name w:val="heading 2"/>
    <w:basedOn w:val="Normal"/>
    <w:next w:val="Normal"/>
    <w:link w:val="Heading2Char"/>
    <w:uiPriority w:val="9"/>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uiPriority w:val="9"/>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uiPriority w:val="9"/>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uiPriority w:val="9"/>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uiPriority w:val="9"/>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uiPriority w:val="9"/>
    <w:rsid w:val="00FF04E3"/>
    <w:rPr>
      <w:b/>
      <w:bCs/>
      <w:kern w:val="32"/>
      <w:sz w:val="24"/>
      <w:szCs w:val="24"/>
    </w:rPr>
  </w:style>
  <w:style w:type="character" w:customStyle="1" w:styleId="Heading2Char">
    <w:name w:val="Heading 2 Char"/>
    <w:link w:val="Heading2"/>
    <w:uiPriority w:val="9"/>
    <w:semiHidden/>
    <w:rsid w:val="00FF04E3"/>
    <w:rPr>
      <w:rFonts w:ascii="Cambria" w:hAnsi="Cambria"/>
      <w:b/>
      <w:bCs/>
      <w:i/>
      <w:iCs/>
      <w:sz w:val="28"/>
      <w:szCs w:val="28"/>
    </w:rPr>
  </w:style>
  <w:style w:type="character" w:customStyle="1" w:styleId="Heading5Char">
    <w:name w:val="Heading 5 Char"/>
    <w:link w:val="Heading5"/>
    <w:uiPriority w:val="9"/>
    <w:semiHidden/>
    <w:rsid w:val="00FF04E3"/>
    <w:rPr>
      <w:rFonts w:ascii="Calibri" w:hAnsi="Calibri"/>
      <w:b/>
      <w:bCs/>
      <w:i/>
      <w:iCs/>
      <w:sz w:val="26"/>
      <w:szCs w:val="26"/>
    </w:rPr>
  </w:style>
  <w:style w:type="character" w:customStyle="1" w:styleId="Heading6Char">
    <w:name w:val="Heading 6 Char"/>
    <w:link w:val="Heading6"/>
    <w:uiPriority w:val="9"/>
    <w:semiHidden/>
    <w:rsid w:val="00FF04E3"/>
    <w:rPr>
      <w:rFonts w:ascii="Calibri" w:hAnsi="Calibri"/>
      <w:b/>
      <w:bCs/>
      <w:sz w:val="22"/>
      <w:szCs w:val="22"/>
    </w:rPr>
  </w:style>
  <w:style w:type="character" w:customStyle="1" w:styleId="Heading7Char">
    <w:name w:val="Heading 7 Char"/>
    <w:link w:val="Heading7"/>
    <w:uiPriority w:val="9"/>
    <w:semiHidden/>
    <w:rsid w:val="00FF04E3"/>
    <w:rPr>
      <w:rFonts w:ascii="Calibri" w:hAnsi="Calibri"/>
      <w:sz w:val="24"/>
      <w:szCs w:val="24"/>
    </w:rPr>
  </w:style>
  <w:style w:type="character" w:customStyle="1" w:styleId="Heading8Char">
    <w:name w:val="Heading 8 Char"/>
    <w:link w:val="Heading8"/>
    <w:uiPriority w:val="9"/>
    <w:semiHidden/>
    <w:rsid w:val="00FF04E3"/>
    <w:rPr>
      <w:rFonts w:ascii="Calibri" w:hAnsi="Calibri"/>
      <w:i/>
      <w:iCs/>
      <w:sz w:val="24"/>
      <w:szCs w:val="24"/>
    </w:rPr>
  </w:style>
  <w:style w:type="character" w:customStyle="1" w:styleId="Heading9Char">
    <w:name w:val="Heading 9 Char"/>
    <w:link w:val="Heading9"/>
    <w:uiPriority w:val="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rsid w:val="00405336"/>
    <w:pPr>
      <w:tabs>
        <w:tab w:val="left" w:pos="504"/>
      </w:tabs>
      <w:spacing w:after="240"/>
      <w:ind w:left="504" w:hanging="504"/>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rsid w:val="00405336"/>
    <w:pPr>
      <w:tabs>
        <w:tab w:val="center" w:pos="4680"/>
        <w:tab w:val="right" w:pos="9360"/>
      </w:tabs>
    </w:pPr>
  </w:style>
  <w:style w:type="character" w:customStyle="1" w:styleId="FooterChar">
    <w:name w:val="Footer Char"/>
    <w:link w:val="Footer"/>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rsid w:val="00405336"/>
    <w:pPr>
      <w:tabs>
        <w:tab w:val="center" w:pos="4680"/>
        <w:tab w:val="right" w:pos="9360"/>
      </w:tabs>
    </w:pPr>
  </w:style>
  <w:style w:type="character" w:customStyle="1" w:styleId="HeaderChar">
    <w:name w:val="Header Char"/>
    <w:link w:val="Header"/>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uiPriority w:val="99"/>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qFormat/>
    <w:rsid w:val="00405336"/>
    <w:rPr>
      <w:i/>
      <w:iCs/>
      <w:color w:val="000000"/>
    </w:rPr>
  </w:style>
  <w:style w:type="character" w:customStyle="1" w:styleId="QuoteChar">
    <w:name w:val="Quote Char"/>
    <w:link w:val="Quote"/>
    <w:uiPriority w:val="29"/>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uiPriority w:val="11"/>
    <w:qFormat/>
    <w:rsid w:val="00405336"/>
    <w:pPr>
      <w:spacing w:after="60"/>
      <w:jc w:val="center"/>
      <w:outlineLvl w:val="1"/>
    </w:pPr>
    <w:rPr>
      <w:rFonts w:ascii="Cambria" w:hAnsi="Cambria"/>
      <w:szCs w:val="24"/>
    </w:rPr>
  </w:style>
  <w:style w:type="character" w:customStyle="1" w:styleId="SubtitleChar">
    <w:name w:val="Subtitle Char"/>
    <w:link w:val="Subtitle"/>
    <w:uiPriority w:val="11"/>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uiPriority w:val="99"/>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styleId="Revision">
    <w:name w:val="Revision"/>
    <w:hidden/>
    <w:uiPriority w:val="99"/>
    <w:semiHidden/>
    <w:rsid w:val="003227A1"/>
    <w:rPr>
      <w:sz w:val="24"/>
    </w:rPr>
  </w:style>
  <w:style w:type="character" w:customStyle="1" w:styleId="Heading3Char">
    <w:name w:val="Heading 3 Char"/>
    <w:basedOn w:val="DefaultParagraphFont"/>
    <w:link w:val="Heading3"/>
    <w:uiPriority w:val="9"/>
    <w:semiHidden/>
    <w:rsid w:val="00733820"/>
    <w:rPr>
      <w:rFonts w:ascii="Times" w:eastAsia="Times" w:hAnsi="Times"/>
      <w:b/>
      <w:sz w:val="24"/>
    </w:rPr>
  </w:style>
  <w:style w:type="character" w:customStyle="1" w:styleId="Heading4Char">
    <w:name w:val="Heading 4 Char"/>
    <w:basedOn w:val="DefaultParagraphFont"/>
    <w:link w:val="Heading4"/>
    <w:uiPriority w:val="9"/>
    <w:semiHidden/>
    <w:rsid w:val="00733820"/>
    <w:rPr>
      <w:rFonts w:ascii="Times" w:hAnsi="Times"/>
      <w:b/>
      <w:color w:val="0000FF"/>
      <w:sz w:val="44"/>
    </w:rPr>
  </w:style>
  <w:style w:type="character" w:styleId="IntenseEmphasis">
    <w:name w:val="Intense Emphasis"/>
    <w:basedOn w:val="DefaultParagraphFont"/>
    <w:uiPriority w:val="21"/>
    <w:qFormat/>
    <w:rsid w:val="00733820"/>
    <w:rPr>
      <w:i/>
      <w:iCs/>
      <w:color w:val="365F91" w:themeColor="accent1" w:themeShade="BF"/>
    </w:rPr>
  </w:style>
  <w:style w:type="character" w:styleId="IntenseReference">
    <w:name w:val="Intense Reference"/>
    <w:basedOn w:val="DefaultParagraphFont"/>
    <w:uiPriority w:val="32"/>
    <w:qFormat/>
    <w:rsid w:val="00733820"/>
    <w:rPr>
      <w:b/>
      <w:bCs/>
      <w:smallCaps/>
      <w:color w:val="365F91" w:themeColor="accent1" w:themeShade="BF"/>
      <w:spacing w:val="5"/>
    </w:rPr>
  </w:style>
  <w:style w:type="character" w:styleId="PlaceholderText">
    <w:name w:val="Placeholder Text"/>
    <w:basedOn w:val="DefaultParagraphFont"/>
    <w:uiPriority w:val="99"/>
    <w:semiHidden/>
    <w:rsid w:val="0073382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265601">
      <w:bodyDiv w:val="1"/>
      <w:marLeft w:val="0"/>
      <w:marRight w:val="0"/>
      <w:marTop w:val="0"/>
      <w:marBottom w:val="0"/>
      <w:divBdr>
        <w:top w:val="none" w:sz="0" w:space="0" w:color="auto"/>
        <w:left w:val="none" w:sz="0" w:space="0" w:color="auto"/>
        <w:bottom w:val="none" w:sz="0" w:space="0" w:color="auto"/>
        <w:right w:val="none" w:sz="0" w:space="0" w:color="auto"/>
      </w:divBdr>
      <w:divsChild>
        <w:div w:id="322974280">
          <w:marLeft w:val="0"/>
          <w:marRight w:val="0"/>
          <w:marTop w:val="0"/>
          <w:marBottom w:val="0"/>
          <w:divBdr>
            <w:top w:val="none" w:sz="0" w:space="0" w:color="auto"/>
            <w:left w:val="none" w:sz="0" w:space="0" w:color="auto"/>
            <w:bottom w:val="none" w:sz="0" w:space="0" w:color="auto"/>
            <w:right w:val="none" w:sz="0" w:space="0" w:color="auto"/>
          </w:divBdr>
        </w:div>
      </w:divsChild>
    </w:div>
    <w:div w:id="539974955">
      <w:bodyDiv w:val="1"/>
      <w:marLeft w:val="0"/>
      <w:marRight w:val="0"/>
      <w:marTop w:val="0"/>
      <w:marBottom w:val="0"/>
      <w:divBdr>
        <w:top w:val="none" w:sz="0" w:space="0" w:color="auto"/>
        <w:left w:val="none" w:sz="0" w:space="0" w:color="auto"/>
        <w:bottom w:val="none" w:sz="0" w:space="0" w:color="auto"/>
        <w:right w:val="none" w:sz="0" w:space="0" w:color="auto"/>
      </w:divBdr>
      <w:divsChild>
        <w:div w:id="997074757">
          <w:marLeft w:val="0"/>
          <w:marRight w:val="0"/>
          <w:marTop w:val="0"/>
          <w:marBottom w:val="0"/>
          <w:divBdr>
            <w:top w:val="none" w:sz="0" w:space="0" w:color="auto"/>
            <w:left w:val="none" w:sz="0" w:space="0" w:color="auto"/>
            <w:bottom w:val="none" w:sz="0" w:space="0" w:color="auto"/>
            <w:right w:val="none" w:sz="0" w:space="0" w:color="auto"/>
          </w:divBdr>
        </w:div>
      </w:divsChild>
    </w:div>
    <w:div w:id="1212617057">
      <w:bodyDiv w:val="1"/>
      <w:marLeft w:val="0"/>
      <w:marRight w:val="0"/>
      <w:marTop w:val="0"/>
      <w:marBottom w:val="0"/>
      <w:divBdr>
        <w:top w:val="none" w:sz="0" w:space="0" w:color="auto"/>
        <w:left w:val="none" w:sz="0" w:space="0" w:color="auto"/>
        <w:bottom w:val="none" w:sz="0" w:space="0" w:color="auto"/>
        <w:right w:val="none" w:sz="0" w:space="0" w:color="auto"/>
      </w:divBdr>
      <w:divsChild>
        <w:div w:id="123351872">
          <w:marLeft w:val="0"/>
          <w:marRight w:val="0"/>
          <w:marTop w:val="0"/>
          <w:marBottom w:val="0"/>
          <w:divBdr>
            <w:top w:val="none" w:sz="0" w:space="0" w:color="auto"/>
            <w:left w:val="none" w:sz="0" w:space="0" w:color="auto"/>
            <w:bottom w:val="none" w:sz="0" w:space="0" w:color="auto"/>
            <w:right w:val="none" w:sz="0" w:space="0" w:color="auto"/>
          </w:divBdr>
        </w:div>
      </w:divsChild>
    </w:div>
    <w:div w:id="1420828459">
      <w:bodyDiv w:val="1"/>
      <w:marLeft w:val="0"/>
      <w:marRight w:val="0"/>
      <w:marTop w:val="0"/>
      <w:marBottom w:val="0"/>
      <w:divBdr>
        <w:top w:val="none" w:sz="0" w:space="0" w:color="auto"/>
        <w:left w:val="none" w:sz="0" w:space="0" w:color="auto"/>
        <w:bottom w:val="none" w:sz="0" w:space="0" w:color="auto"/>
        <w:right w:val="none" w:sz="0" w:space="0" w:color="auto"/>
      </w:divBdr>
      <w:divsChild>
        <w:div w:id="379280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rey.s.lesk@dartmouth.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A6030-7669-438C-B499-1D823FB1A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1092</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7306</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Corey Lesk</cp:lastModifiedBy>
  <cp:revision>4</cp:revision>
  <cp:lastPrinted>2018-01-11T19:53:00Z</cp:lastPrinted>
  <dcterms:created xsi:type="dcterms:W3CDTF">2025-06-01T02:10:00Z</dcterms:created>
  <dcterms:modified xsi:type="dcterms:W3CDTF">2025-06-01T02:25:00Z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id="chHZRjK3"/&gt;&lt;style id="http://www.zotero.org/styles/science" hasBibliography="1" bibliographyStyleHasBeenSet="1"/&gt;&lt;prefs&gt;&lt;pref name="fieldType" value="Field"/&gt;&lt;/prefs&gt;&lt;/data&gt;</vt:lpwstr>
  </property>
</Properties>
</file>