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1EFE2" w14:textId="77777777" w:rsidR="003C3AB1" w:rsidRPr="003C3AB1" w:rsidRDefault="003C3AB1" w:rsidP="003C3AB1">
      <w:pPr>
        <w:spacing w:line="360" w:lineRule="auto"/>
        <w:jc w:val="center"/>
        <w:rPr>
          <w:b/>
          <w:sz w:val="36"/>
          <w:szCs w:val="36"/>
          <w:u w:val="single"/>
        </w:rPr>
      </w:pPr>
      <w:r w:rsidRPr="003C3AB1">
        <w:rPr>
          <w:b/>
          <w:sz w:val="36"/>
          <w:szCs w:val="36"/>
          <w:u w:val="single"/>
        </w:rPr>
        <w:t>Supporting information</w:t>
      </w:r>
    </w:p>
    <w:p w14:paraId="766F322B" w14:textId="77777777" w:rsidR="00E226F1" w:rsidRPr="00E226F1" w:rsidRDefault="00E226F1" w:rsidP="00E226F1">
      <w:pPr>
        <w:rPr>
          <w:rFonts w:ascii="Times New Roman" w:hAnsi="Times New Roman" w:cs="Times New Roman"/>
          <w:b/>
          <w:bCs/>
          <w:sz w:val="36"/>
          <w:szCs w:val="36"/>
        </w:rPr>
      </w:pPr>
      <w:r w:rsidRPr="00E226F1">
        <w:rPr>
          <w:rFonts w:ascii="Times New Roman" w:hAnsi="Times New Roman" w:cs="Times New Roman"/>
          <w:b/>
          <w:bCs/>
          <w:sz w:val="36"/>
          <w:szCs w:val="36"/>
        </w:rPr>
        <w:t>A High-Thermal-Insulation and Portable Microreactor for Integrating Widely Used Planar-Type SOFC and Enabling Handheld Power Generation</w:t>
      </w:r>
    </w:p>
    <w:p w14:paraId="2919A4EB" w14:textId="0F588682" w:rsidR="005E37C9" w:rsidRPr="006C2EBE" w:rsidRDefault="005E37C9" w:rsidP="005E37C9">
      <w:pPr>
        <w:pStyle w:val="Caption"/>
        <w:rPr>
          <w:b w:val="0"/>
          <w:bCs/>
          <w:vertAlign w:val="superscript"/>
        </w:rPr>
      </w:pPr>
      <w:r w:rsidRPr="006C2EBE">
        <w:rPr>
          <w:rFonts w:hint="eastAsia"/>
          <w:b w:val="0"/>
          <w:bCs/>
          <w:sz w:val="22"/>
          <w:szCs w:val="22"/>
        </w:rPr>
        <w:t>Bishnu Choudhary</w:t>
      </w:r>
      <w:r w:rsidRPr="006C2EBE">
        <w:rPr>
          <w:rFonts w:hint="eastAsia"/>
          <w:b w:val="0"/>
          <w:bCs/>
        </w:rPr>
        <w:t xml:space="preserve"> </w:t>
      </w:r>
      <w:r w:rsidRPr="006C2EBE">
        <w:rPr>
          <w:rFonts w:hint="eastAsia"/>
          <w:b w:val="0"/>
          <w:bCs/>
          <w:vertAlign w:val="superscript"/>
        </w:rPr>
        <w:t>1</w:t>
      </w:r>
      <w:r w:rsidRPr="006C2EBE">
        <w:rPr>
          <w:rFonts w:hint="eastAsia"/>
          <w:b w:val="0"/>
          <w:bCs/>
          <w:sz w:val="22"/>
          <w:szCs w:val="22"/>
        </w:rPr>
        <w:t xml:space="preserve">, </w:t>
      </w:r>
      <w:r w:rsidRPr="006C2EBE">
        <w:rPr>
          <w:rFonts w:hint="eastAsia"/>
          <w:b w:val="0"/>
          <w:bCs/>
        </w:rPr>
        <w:t>Gia Ginell</w:t>
      </w:r>
      <w:r w:rsidR="00621670">
        <w:rPr>
          <w:rFonts w:hint="eastAsia"/>
          <w:b w:val="0"/>
          <w:bCs/>
          <w:lang w:eastAsia="ja-JP"/>
        </w:rPr>
        <w:t>e</w:t>
      </w:r>
      <w:r w:rsidRPr="006C2EBE">
        <w:rPr>
          <w:rFonts w:hint="eastAsia"/>
          <w:b w:val="0"/>
          <w:bCs/>
        </w:rPr>
        <w:t xml:space="preserve"> Carandang</w:t>
      </w:r>
      <w:r w:rsidRPr="006C2EBE">
        <w:rPr>
          <w:rFonts w:hint="eastAsia"/>
          <w:b w:val="0"/>
          <w:bCs/>
          <w:vertAlign w:val="superscript"/>
        </w:rPr>
        <w:t>1</w:t>
      </w:r>
      <w:r w:rsidRPr="006C2EBE">
        <w:rPr>
          <w:rFonts w:hint="eastAsia"/>
          <w:b w:val="0"/>
          <w:bCs/>
        </w:rPr>
        <w:t xml:space="preserve">, Shinichi Yamagishi </w:t>
      </w:r>
      <w:r w:rsidRPr="006C2EBE">
        <w:rPr>
          <w:b w:val="0"/>
          <w:bCs/>
          <w:vertAlign w:val="superscript"/>
        </w:rPr>
        <w:t>2</w:t>
      </w:r>
      <w:r w:rsidRPr="006C2EBE">
        <w:rPr>
          <w:b w:val="0"/>
          <w:bCs/>
        </w:rPr>
        <w:t>,</w:t>
      </w:r>
      <w:r w:rsidRPr="006C2EBE">
        <w:rPr>
          <w:b w:val="0"/>
          <w:bCs/>
          <w:vertAlign w:val="superscript"/>
        </w:rPr>
        <w:t xml:space="preserve"> </w:t>
      </w:r>
      <w:r w:rsidRPr="006C2EBE">
        <w:rPr>
          <w:rFonts w:hint="eastAsia"/>
          <w:b w:val="0"/>
          <w:bCs/>
        </w:rPr>
        <w:t xml:space="preserve">Saki Tada </w:t>
      </w:r>
      <w:r w:rsidRPr="006C2EBE">
        <w:rPr>
          <w:rFonts w:hint="eastAsia"/>
          <w:b w:val="0"/>
          <w:bCs/>
          <w:vertAlign w:val="superscript"/>
        </w:rPr>
        <w:t>2</w:t>
      </w:r>
      <w:r w:rsidRPr="006C2EBE">
        <w:rPr>
          <w:rFonts w:hint="eastAsia"/>
          <w:b w:val="0"/>
          <w:bCs/>
        </w:rPr>
        <w:t xml:space="preserve">, </w:t>
      </w:r>
      <w:r w:rsidRPr="006C2EBE">
        <w:rPr>
          <w:b w:val="0"/>
          <w:bCs/>
        </w:rPr>
        <w:t>Chie</w:t>
      </w:r>
      <w:r w:rsidRPr="006C2EBE">
        <w:rPr>
          <w:rFonts w:hint="eastAsia"/>
          <w:b w:val="0"/>
          <w:bCs/>
        </w:rPr>
        <w:t xml:space="preserve"> Kawamura </w:t>
      </w:r>
      <w:r w:rsidRPr="006C2EBE">
        <w:rPr>
          <w:rFonts w:hint="eastAsia"/>
          <w:b w:val="0"/>
          <w:bCs/>
          <w:vertAlign w:val="superscript"/>
        </w:rPr>
        <w:t>2</w:t>
      </w:r>
      <w:r w:rsidRPr="006C2EBE">
        <w:rPr>
          <w:rFonts w:hint="eastAsia"/>
          <w:b w:val="0"/>
          <w:bCs/>
        </w:rPr>
        <w:t>,</w:t>
      </w:r>
      <w:r>
        <w:rPr>
          <w:rFonts w:hint="eastAsia"/>
          <w:b w:val="0"/>
          <w:bCs/>
          <w:lang w:eastAsia="ja-JP"/>
        </w:rPr>
        <w:t xml:space="preserve"> </w:t>
      </w:r>
      <w:r w:rsidR="00CB245B">
        <w:rPr>
          <w:rFonts w:eastAsia="Times" w:cs="Times"/>
          <w:b w:val="0"/>
          <w:color w:val="000000"/>
          <w:szCs w:val="24"/>
        </w:rPr>
        <w:t>Yasuko Yanagida</w:t>
      </w:r>
      <w:r w:rsidR="00CB245B">
        <w:rPr>
          <w:rFonts w:eastAsia="Times" w:cs="Times"/>
          <w:szCs w:val="24"/>
          <w:vertAlign w:val="superscript"/>
        </w:rPr>
        <w:t>1</w:t>
      </w:r>
      <w:r w:rsidR="00CB245B">
        <w:rPr>
          <w:rFonts w:eastAsia="Times" w:cs="Times"/>
          <w:b w:val="0"/>
          <w:color w:val="000000"/>
          <w:szCs w:val="24"/>
        </w:rPr>
        <w:t xml:space="preserve">, </w:t>
      </w:r>
      <w:r w:rsidRPr="006C2EBE">
        <w:rPr>
          <w:rFonts w:hint="eastAsia"/>
          <w:b w:val="0"/>
          <w:bCs/>
        </w:rPr>
        <w:t xml:space="preserve">Tetsuya Yamada </w:t>
      </w:r>
      <w:r>
        <w:rPr>
          <w:rFonts w:hint="eastAsia"/>
          <w:b w:val="0"/>
          <w:bCs/>
          <w:lang w:eastAsia="ja-JP"/>
        </w:rPr>
        <w:t>*</w:t>
      </w:r>
      <w:r w:rsidRPr="00933C50">
        <w:rPr>
          <w:rFonts w:hint="eastAsia"/>
          <w:b w:val="0"/>
          <w:bCs/>
          <w:vertAlign w:val="superscript"/>
          <w:lang w:eastAsia="ja-JP"/>
        </w:rPr>
        <w:t>,</w:t>
      </w:r>
      <w:r w:rsidRPr="006C2EBE">
        <w:rPr>
          <w:rFonts w:hint="eastAsia"/>
          <w:b w:val="0"/>
          <w:bCs/>
          <w:vertAlign w:val="superscript"/>
        </w:rPr>
        <w:t>1</w:t>
      </w:r>
    </w:p>
    <w:p w14:paraId="57D883CA" w14:textId="452D40B7" w:rsidR="005E37C9" w:rsidRDefault="005E37C9" w:rsidP="005E37C9">
      <w:pPr>
        <w:pStyle w:val="Caption"/>
        <w:jc w:val="both"/>
        <w:rPr>
          <w:b w:val="0"/>
          <w:bCs/>
        </w:rPr>
      </w:pPr>
      <w:r w:rsidRPr="006C2EBE">
        <w:rPr>
          <w:rFonts w:hint="eastAsia"/>
          <w:b w:val="0"/>
          <w:bCs/>
          <w:vertAlign w:val="superscript"/>
        </w:rPr>
        <w:t>1</w:t>
      </w:r>
      <w:r w:rsidRPr="006C2EBE">
        <w:rPr>
          <w:rFonts w:hint="eastAsia"/>
          <w:b w:val="0"/>
          <w:bCs/>
        </w:rPr>
        <w:t xml:space="preserve"> Laboratory for Future Interdisciplinary Research of Science and Technology,</w:t>
      </w:r>
      <w:r w:rsidRPr="00815C47">
        <w:rPr>
          <w:rFonts w:hint="eastAsia"/>
          <w:b w:val="0"/>
          <w:bCs/>
        </w:rPr>
        <w:t xml:space="preserve"> </w:t>
      </w:r>
      <w:r w:rsidRPr="006C2EBE">
        <w:rPr>
          <w:rFonts w:hint="eastAsia"/>
          <w:b w:val="0"/>
          <w:bCs/>
        </w:rPr>
        <w:t>Institute of I</w:t>
      </w:r>
      <w:r>
        <w:rPr>
          <w:rFonts w:hint="eastAsia"/>
          <w:b w:val="0"/>
          <w:bCs/>
          <w:lang w:eastAsia="ja-JP"/>
        </w:rPr>
        <w:t>ntegrated</w:t>
      </w:r>
      <w:r w:rsidRPr="006C2EBE">
        <w:rPr>
          <w:rFonts w:hint="eastAsia"/>
          <w:b w:val="0"/>
          <w:bCs/>
        </w:rPr>
        <w:t xml:space="preserve"> research,</w:t>
      </w:r>
      <w:r>
        <w:rPr>
          <w:rFonts w:hint="eastAsia"/>
          <w:b w:val="0"/>
          <w:bCs/>
          <w:lang w:eastAsia="ja-JP"/>
        </w:rPr>
        <w:t xml:space="preserve"> </w:t>
      </w:r>
      <w:r w:rsidRPr="009D17AF">
        <w:rPr>
          <w:rFonts w:hint="eastAsia"/>
          <w:b w:val="0"/>
          <w:bCs/>
        </w:rPr>
        <w:t xml:space="preserve">Institute of </w:t>
      </w:r>
      <w:r>
        <w:rPr>
          <w:rFonts w:hint="eastAsia"/>
          <w:b w:val="0"/>
          <w:bCs/>
          <w:lang w:eastAsia="ja-JP"/>
        </w:rPr>
        <w:t>Science Tokyo</w:t>
      </w:r>
      <w:r w:rsidRPr="006C2EBE">
        <w:rPr>
          <w:rFonts w:hint="eastAsia"/>
          <w:b w:val="0"/>
          <w:bCs/>
        </w:rPr>
        <w:t xml:space="preserve">, </w:t>
      </w:r>
      <w:r w:rsidRPr="006C2EBE">
        <w:rPr>
          <w:b w:val="0"/>
          <w:bCs/>
        </w:rPr>
        <w:t xml:space="preserve">4259 </w:t>
      </w:r>
      <w:proofErr w:type="spellStart"/>
      <w:r w:rsidRPr="006C2EBE">
        <w:rPr>
          <w:b w:val="0"/>
          <w:bCs/>
        </w:rPr>
        <w:t>Nagatsuta</w:t>
      </w:r>
      <w:proofErr w:type="spellEnd"/>
      <w:r w:rsidRPr="006C2EBE">
        <w:rPr>
          <w:b w:val="0"/>
          <w:bCs/>
        </w:rPr>
        <w:t>, Midori, Yokohama, Kanagawa 226-8503, Japan</w:t>
      </w:r>
    </w:p>
    <w:p w14:paraId="2844D3F8" w14:textId="77777777" w:rsidR="005E37C9" w:rsidRDefault="005E37C9" w:rsidP="005E37C9">
      <w:pPr>
        <w:jc w:val="both"/>
      </w:pPr>
      <w:r w:rsidRPr="006C2EBE">
        <w:rPr>
          <w:rFonts w:hint="eastAsia"/>
          <w:vertAlign w:val="superscript"/>
        </w:rPr>
        <w:t xml:space="preserve">2 </w:t>
      </w:r>
      <w:r w:rsidRPr="006C2EBE">
        <w:rPr>
          <w:rFonts w:ascii="Times" w:eastAsia="ＭＳ 明朝" w:hAnsi="Times" w:cs="Times New Roman" w:hint="eastAsia"/>
          <w:bCs/>
          <w:kern w:val="2"/>
          <w:sz w:val="24"/>
          <w:szCs w:val="20"/>
          <w:lang w:eastAsia="en-US"/>
          <w14:ligatures w14:val="standardContextual"/>
        </w:rPr>
        <w:t xml:space="preserve">Materials Research and Development </w:t>
      </w:r>
      <w:r>
        <w:rPr>
          <w:rFonts w:ascii="Times" w:eastAsia="ＭＳ 明朝" w:hAnsi="Times" w:cs="Times New Roman" w:hint="eastAsia"/>
          <w:bCs/>
          <w:kern w:val="2"/>
          <w:sz w:val="24"/>
          <w:szCs w:val="20"/>
          <w14:ligatures w14:val="standardContextual"/>
        </w:rPr>
        <w:t>D</w:t>
      </w:r>
      <w:r w:rsidRPr="006C2EBE">
        <w:rPr>
          <w:rFonts w:ascii="Times" w:eastAsia="ＭＳ 明朝" w:hAnsi="Times" w:cs="Times New Roman" w:hint="eastAsia"/>
          <w:bCs/>
          <w:kern w:val="2"/>
          <w:sz w:val="24"/>
          <w:szCs w:val="20"/>
          <w:lang w:eastAsia="en-US"/>
          <w14:ligatures w14:val="standardContextual"/>
        </w:rPr>
        <w:t>epartment, Research and Development laboratory, T</w:t>
      </w:r>
      <w:r>
        <w:rPr>
          <w:rFonts w:ascii="Times" w:eastAsia="ＭＳ 明朝" w:hAnsi="Times" w:cs="Times New Roman" w:hint="eastAsia"/>
          <w:bCs/>
          <w:kern w:val="2"/>
          <w:sz w:val="24"/>
          <w:szCs w:val="20"/>
          <w14:ligatures w14:val="standardContextual"/>
        </w:rPr>
        <w:t>AIYO YUDEN</w:t>
      </w:r>
      <w:r w:rsidRPr="006C2EBE">
        <w:rPr>
          <w:rFonts w:ascii="Times" w:eastAsia="ＭＳ 明朝" w:hAnsi="Times" w:cs="Times New Roman" w:hint="eastAsia"/>
          <w:bCs/>
          <w:kern w:val="2"/>
          <w:sz w:val="24"/>
          <w:szCs w:val="20"/>
          <w:lang w:eastAsia="en-US"/>
          <w14:ligatures w14:val="standardContextual"/>
        </w:rPr>
        <w:t xml:space="preserve"> </w:t>
      </w:r>
      <w:r>
        <w:rPr>
          <w:rFonts w:ascii="Times" w:eastAsia="ＭＳ 明朝" w:hAnsi="Times" w:cs="Times New Roman" w:hint="eastAsia"/>
          <w:bCs/>
          <w:kern w:val="2"/>
          <w:sz w:val="24"/>
          <w:szCs w:val="20"/>
          <w14:ligatures w14:val="standardContextual"/>
        </w:rPr>
        <w:t xml:space="preserve">CO., </w:t>
      </w:r>
      <w:r w:rsidRPr="006C2EBE">
        <w:rPr>
          <w:rFonts w:ascii="Times" w:eastAsia="ＭＳ 明朝" w:hAnsi="Times" w:cs="Times New Roman" w:hint="eastAsia"/>
          <w:bCs/>
          <w:kern w:val="2"/>
          <w:sz w:val="24"/>
          <w:szCs w:val="20"/>
          <w:lang w:eastAsia="en-US"/>
          <w14:ligatures w14:val="standardContextual"/>
        </w:rPr>
        <w:t>L</w:t>
      </w:r>
      <w:r>
        <w:rPr>
          <w:rFonts w:ascii="Times" w:eastAsia="ＭＳ 明朝" w:hAnsi="Times" w:cs="Times New Roman" w:hint="eastAsia"/>
          <w:bCs/>
          <w:kern w:val="2"/>
          <w:sz w:val="24"/>
          <w:szCs w:val="20"/>
          <w14:ligatures w14:val="standardContextual"/>
        </w:rPr>
        <w:t>TD.</w:t>
      </w:r>
      <w:r w:rsidRPr="006C2EBE">
        <w:rPr>
          <w:rFonts w:ascii="Times" w:eastAsia="ＭＳ 明朝" w:hAnsi="Times" w:cs="Times New Roman" w:hint="eastAsia"/>
          <w:bCs/>
          <w:kern w:val="2"/>
          <w:sz w:val="24"/>
          <w:szCs w:val="20"/>
          <w:lang w:eastAsia="en-US"/>
          <w14:ligatures w14:val="standardContextual"/>
        </w:rPr>
        <w:t xml:space="preserve">, 5607-2, </w:t>
      </w:r>
      <w:proofErr w:type="spellStart"/>
      <w:r w:rsidRPr="006C2EBE">
        <w:rPr>
          <w:rFonts w:ascii="Times" w:eastAsia="ＭＳ 明朝" w:hAnsi="Times" w:cs="Times New Roman" w:hint="eastAsia"/>
          <w:bCs/>
          <w:kern w:val="2"/>
          <w:sz w:val="24"/>
          <w:szCs w:val="20"/>
          <w:lang w:eastAsia="en-US"/>
          <w14:ligatures w14:val="standardContextual"/>
        </w:rPr>
        <w:t>Nakamuroda</w:t>
      </w:r>
      <w:proofErr w:type="spellEnd"/>
      <w:r w:rsidRPr="006C2EBE">
        <w:rPr>
          <w:rFonts w:ascii="Times" w:eastAsia="ＭＳ 明朝" w:hAnsi="Times" w:cs="Times New Roman" w:hint="eastAsia"/>
          <w:bCs/>
          <w:kern w:val="2"/>
          <w:sz w:val="24"/>
          <w:szCs w:val="20"/>
          <w:lang w:eastAsia="en-US"/>
          <w14:ligatures w14:val="standardContextual"/>
        </w:rPr>
        <w:t>-machi, Takasaki-</w:t>
      </w:r>
      <w:proofErr w:type="spellStart"/>
      <w:r w:rsidRPr="006C2EBE">
        <w:rPr>
          <w:rFonts w:ascii="Times" w:eastAsia="ＭＳ 明朝" w:hAnsi="Times" w:cs="Times New Roman" w:hint="eastAsia"/>
          <w:bCs/>
          <w:kern w:val="2"/>
          <w:sz w:val="24"/>
          <w:szCs w:val="20"/>
          <w:lang w:eastAsia="en-US"/>
          <w14:ligatures w14:val="standardContextual"/>
        </w:rPr>
        <w:t>shi</w:t>
      </w:r>
      <w:proofErr w:type="spellEnd"/>
      <w:r w:rsidRPr="006C2EBE">
        <w:rPr>
          <w:rFonts w:ascii="Times" w:eastAsia="ＭＳ 明朝" w:hAnsi="Times" w:cs="Times New Roman" w:hint="eastAsia"/>
          <w:bCs/>
          <w:kern w:val="2"/>
          <w:sz w:val="24"/>
          <w:szCs w:val="20"/>
          <w:lang w:eastAsia="en-US"/>
          <w14:ligatures w14:val="standardContextual"/>
        </w:rPr>
        <w:t>, Gunma 370-3347, Japan</w:t>
      </w:r>
    </w:p>
    <w:p w14:paraId="7384A709" w14:textId="77777777" w:rsidR="005E37C9" w:rsidRPr="00B77091" w:rsidRDefault="005E37C9" w:rsidP="005E37C9">
      <w:pPr>
        <w:rPr>
          <w:rFonts w:ascii="Times" w:eastAsia="ＭＳ 明朝" w:hAnsi="Times" w:cs="Times New Roman"/>
          <w:bCs/>
          <w:kern w:val="2"/>
          <w:sz w:val="24"/>
          <w:szCs w:val="20"/>
          <w:lang w:eastAsia="en-US"/>
          <w14:ligatures w14:val="standardContextual"/>
        </w:rPr>
      </w:pPr>
      <w:r w:rsidRPr="009618C6">
        <w:rPr>
          <w:rFonts w:ascii="Times" w:eastAsia="ＭＳ 明朝" w:hAnsi="Times" w:cs="Times New Roman" w:hint="eastAsia"/>
          <w:bCs/>
          <w:kern w:val="2"/>
          <w:sz w:val="36"/>
          <w:szCs w:val="24"/>
          <w:vertAlign w:val="superscript"/>
          <w:lang w:eastAsia="en-US"/>
          <w14:ligatures w14:val="standardContextual"/>
        </w:rPr>
        <w:t>*</w:t>
      </w:r>
      <w:r>
        <w:rPr>
          <w:rFonts w:ascii="Times" w:eastAsia="ＭＳ 明朝" w:hAnsi="Times" w:cs="Times New Roman" w:hint="eastAsia"/>
          <w:bCs/>
          <w:kern w:val="2"/>
          <w:sz w:val="24"/>
          <w:szCs w:val="20"/>
          <w14:ligatures w14:val="standardContextual"/>
        </w:rPr>
        <w:t xml:space="preserve"> </w:t>
      </w:r>
      <w:r w:rsidRPr="00B77091">
        <w:rPr>
          <w:rFonts w:ascii="Times" w:eastAsia="ＭＳ 明朝" w:hAnsi="Times" w:cs="Times New Roman" w:hint="eastAsia"/>
          <w:bCs/>
          <w:kern w:val="2"/>
          <w:sz w:val="24"/>
          <w:szCs w:val="20"/>
          <w:lang w:eastAsia="en-US"/>
          <w14:ligatures w14:val="standardContextual"/>
        </w:rPr>
        <w:t xml:space="preserve">Corresponding </w:t>
      </w:r>
      <w:r w:rsidRPr="00B77091">
        <w:rPr>
          <w:rFonts w:ascii="Times" w:eastAsia="ＭＳ 明朝" w:hAnsi="Times" w:cs="Times New Roman"/>
          <w:bCs/>
          <w:kern w:val="2"/>
          <w:sz w:val="24"/>
          <w:szCs w:val="20"/>
          <w:lang w:eastAsia="en-US"/>
          <w14:ligatures w14:val="standardContextual"/>
        </w:rPr>
        <w:t>Author</w:t>
      </w:r>
      <w:r>
        <w:rPr>
          <w:rFonts w:ascii="Times" w:eastAsia="ＭＳ 明朝" w:hAnsi="Times" w:cs="Times New Roman" w:hint="eastAsia"/>
          <w:bCs/>
          <w:kern w:val="2"/>
          <w:sz w:val="24"/>
          <w:szCs w:val="20"/>
          <w14:ligatures w14:val="standardContextual"/>
        </w:rPr>
        <w:t>:</w:t>
      </w:r>
      <w:r w:rsidRPr="00B77091">
        <w:rPr>
          <w:rFonts w:ascii="Times" w:eastAsia="ＭＳ 明朝" w:hAnsi="Times" w:cs="Times New Roman" w:hint="eastAsia"/>
          <w:bCs/>
          <w:kern w:val="2"/>
          <w:sz w:val="24"/>
          <w:szCs w:val="20"/>
          <w:lang w:eastAsia="en-US"/>
          <w14:ligatures w14:val="standardContextual"/>
        </w:rPr>
        <w:t xml:space="preserve"> </w:t>
      </w:r>
      <w:r>
        <w:rPr>
          <w:rFonts w:ascii="Times" w:eastAsia="ＭＳ 明朝" w:hAnsi="Times" w:cs="Times New Roman" w:hint="eastAsia"/>
          <w:bCs/>
          <w:kern w:val="2"/>
          <w:sz w:val="24"/>
          <w:szCs w:val="20"/>
          <w14:ligatures w14:val="standardContextual"/>
        </w:rPr>
        <w:t xml:space="preserve">Dr. </w:t>
      </w:r>
      <w:r w:rsidRPr="00B77091">
        <w:rPr>
          <w:rFonts w:ascii="Times" w:eastAsia="ＭＳ 明朝" w:hAnsi="Times" w:cs="Times New Roman"/>
          <w:bCs/>
          <w:kern w:val="2"/>
          <w:sz w:val="24"/>
          <w:szCs w:val="20"/>
          <w:lang w:eastAsia="en-US"/>
          <w14:ligatures w14:val="standardContextual"/>
        </w:rPr>
        <w:t>Tetsuya</w:t>
      </w:r>
      <w:r w:rsidRPr="00B77091">
        <w:rPr>
          <w:rFonts w:ascii="Times" w:eastAsia="ＭＳ 明朝" w:hAnsi="Times" w:cs="Times New Roman" w:hint="eastAsia"/>
          <w:bCs/>
          <w:kern w:val="2"/>
          <w:sz w:val="24"/>
          <w:szCs w:val="20"/>
          <w:lang w:eastAsia="en-US"/>
          <w14:ligatures w14:val="standardContextual"/>
        </w:rPr>
        <w:t xml:space="preserve"> Yamada (</w:t>
      </w:r>
      <w:r>
        <w:rPr>
          <w:rFonts w:ascii="Times" w:eastAsia="ＭＳ 明朝" w:hAnsi="Times" w:cs="Times New Roman" w:hint="eastAsia"/>
          <w:bCs/>
          <w:kern w:val="2"/>
          <w:sz w:val="24"/>
          <w:szCs w:val="20"/>
          <w14:ligatures w14:val="standardContextual"/>
        </w:rPr>
        <w:t xml:space="preserve">Email: </w:t>
      </w:r>
      <w:r w:rsidRPr="00B77091">
        <w:rPr>
          <w:rFonts w:ascii="Times" w:eastAsia="ＭＳ 明朝" w:hAnsi="Times" w:cs="Times New Roman"/>
          <w:bCs/>
          <w:kern w:val="2"/>
          <w:sz w:val="24"/>
          <w:szCs w:val="20"/>
          <w:lang w:eastAsia="en-US"/>
          <w14:ligatures w14:val="standardContextual"/>
        </w:rPr>
        <w:t>yamada.t.ap@m.titech.ac.jp</w:t>
      </w:r>
      <w:r w:rsidRPr="00B77091">
        <w:rPr>
          <w:rFonts w:ascii="Times" w:eastAsia="ＭＳ 明朝" w:hAnsi="Times" w:cs="Times New Roman" w:hint="eastAsia"/>
          <w:bCs/>
          <w:kern w:val="2"/>
          <w:sz w:val="24"/>
          <w:szCs w:val="20"/>
          <w:lang w:eastAsia="en-US"/>
          <w14:ligatures w14:val="standardContextual"/>
        </w:rPr>
        <w:t xml:space="preserve">) </w:t>
      </w:r>
    </w:p>
    <w:p w14:paraId="32B72BC6" w14:textId="77777777" w:rsidR="007F77B6" w:rsidRDefault="00621670">
      <w:pPr>
        <w:rPr>
          <w:b/>
          <w:sz w:val="36"/>
          <w:szCs w:val="36"/>
        </w:rPr>
      </w:pPr>
      <w:r>
        <w:br w:type="page"/>
      </w:r>
    </w:p>
    <w:p w14:paraId="38171868" w14:textId="5AF07182" w:rsidR="007F77B6" w:rsidRDefault="00B82744">
      <w:pPr>
        <w:spacing w:line="360" w:lineRule="auto"/>
        <w:jc w:val="center"/>
        <w:rPr>
          <w:b/>
          <w:sz w:val="36"/>
          <w:szCs w:val="36"/>
        </w:rPr>
      </w:pPr>
      <w:r>
        <w:rPr>
          <w:b/>
          <w:noProof/>
        </w:rPr>
        <w:lastRenderedPageBreak/>
        <mc:AlternateContent>
          <mc:Choice Requires="wps">
            <w:drawing>
              <wp:anchor distT="0" distB="0" distL="114300" distR="114300" simplePos="0" relativeHeight="251663360" behindDoc="0" locked="0" layoutInCell="1" allowOverlap="1" wp14:anchorId="553F81FC" wp14:editId="006A80C2">
                <wp:simplePos x="0" y="0"/>
                <wp:positionH relativeFrom="column">
                  <wp:posOffset>0</wp:posOffset>
                </wp:positionH>
                <wp:positionV relativeFrom="paragraph">
                  <wp:posOffset>-635</wp:posOffset>
                </wp:positionV>
                <wp:extent cx="5435912" cy="2614174"/>
                <wp:effectExtent l="0" t="0" r="12700" b="15240"/>
                <wp:wrapNone/>
                <wp:docPr id="1" name="テキスト ボックス 1"/>
                <wp:cNvGraphicFramePr/>
                <a:graphic xmlns:a="http://schemas.openxmlformats.org/drawingml/2006/main">
                  <a:graphicData uri="http://schemas.microsoft.com/office/word/2010/wordprocessingShape">
                    <wps:wsp>
                      <wps:cNvSpPr txBox="1"/>
                      <wps:spPr>
                        <a:xfrm>
                          <a:off x="0" y="0"/>
                          <a:ext cx="5435912" cy="2614174"/>
                        </a:xfrm>
                        <a:prstGeom prst="rect">
                          <a:avLst/>
                        </a:prstGeom>
                        <a:solidFill>
                          <a:schemeClr val="lt1"/>
                        </a:solidFill>
                        <a:ln w="6350">
                          <a:solidFill>
                            <a:prstClr val="black"/>
                          </a:solidFill>
                        </a:ln>
                      </wps:spPr>
                      <wps:txbx>
                        <w:txbxContent>
                          <w:p w14:paraId="70AD8D0A" w14:textId="77777777" w:rsidR="00B82744" w:rsidRDefault="00B82744" w:rsidP="00B82744">
                            <w:pPr>
                              <w:jc w:val="center"/>
                            </w:pPr>
                            <w:r w:rsidRPr="002C4BAF">
                              <w:rPr>
                                <w:noProof/>
                              </w:rPr>
                              <w:drawing>
                                <wp:inline distT="0" distB="0" distL="0" distR="0" wp14:anchorId="215875EA" wp14:editId="59B04914">
                                  <wp:extent cx="3121660" cy="2078990"/>
                                  <wp:effectExtent l="0" t="0" r="2540" b="0"/>
                                  <wp:docPr id="2" name="図 1">
                                    <a:extLst xmlns:a="http://schemas.openxmlformats.org/drawingml/2006/main">
                                      <a:ext uri="{FF2B5EF4-FFF2-40B4-BE49-F238E27FC236}">
                                        <a16:creationId xmlns:a16="http://schemas.microsoft.com/office/drawing/2014/main" id="{49EAE465-32F7-42AE-9E6D-0F1B0856CF78}"/>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49EAE465-32F7-42AE-9E6D-0F1B0856CF78}"/>
                                              </a:ext>
                                            </a:extLst>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1660" cy="2078990"/>
                                          </a:xfrm>
                                          <a:prstGeom prst="rect">
                                            <a:avLst/>
                                          </a:prstGeom>
                                          <a:noFill/>
                                          <a:ln>
                                            <a:noFill/>
                                          </a:ln>
                                        </pic:spPr>
                                      </pic:pic>
                                    </a:graphicData>
                                  </a:graphic>
                                </wp:inline>
                              </w:drawing>
                            </w:r>
                          </w:p>
                          <w:p w14:paraId="4D089E03" w14:textId="77777777" w:rsidR="00B82744" w:rsidRDefault="00B82744" w:rsidP="00B82744">
                            <w:pPr>
                              <w:jc w:val="center"/>
                            </w:pPr>
                            <w:r>
                              <w:rPr>
                                <w:rFonts w:ascii="Times New Roman" w:hAnsi="Times New Roman" w:cs="Times New Roman" w:hint="eastAsia"/>
                              </w:rPr>
                              <w:t>Fig. S1</w:t>
                            </w:r>
                            <w:r w:rsidRPr="002C4BAF">
                              <w:t xml:space="preserve">. </w:t>
                            </w:r>
                            <w:r w:rsidRPr="005A01C1">
                              <w:rPr>
                                <w:rFonts w:ascii="Times New Roman" w:hAnsi="Times New Roman" w:cs="Times New Roman"/>
                              </w:rPr>
                              <w:t>Schematic diagram of boundary conditions in a heat exchange simulation.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3F81FC" id="_x0000_t202" coordsize="21600,21600" o:spt="202" path="m,l,21600r21600,l21600,xe">
                <v:stroke joinstyle="miter"/>
                <v:path gradientshapeok="t" o:connecttype="rect"/>
              </v:shapetype>
              <v:shape id="テキスト ボックス 1" o:spid="_x0000_s1026" type="#_x0000_t202" style="position:absolute;left:0;text-align:left;margin-left:0;margin-top:-.05pt;width:428pt;height:205.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" fillcolor="white [3201]" strokeweight=".5pt">
                <v:textbox>
                  <w:txbxContent>
                    <w:p w14:paraId="70AD8D0A" w14:textId="77777777" w:rsidR="00B82744" w:rsidRDefault="00B82744" w:rsidP="00B82744">
                      <w:pPr>
                        <w:jc w:val="center"/>
                      </w:pPr>
                      <w:r w:rsidRPr="002C4BAF">
                        <w:rPr>
                          <w:noProof/>
                        </w:rPr>
                        <w:drawing>
                          <wp:inline distT="0" distB="0" distL="0" distR="0" wp14:anchorId="215875EA" wp14:editId="59B04914">
                            <wp:extent cx="3121660" cy="2078990"/>
                            <wp:effectExtent l="0" t="0" r="2540" b="0"/>
                            <wp:docPr id="2" name="図 1">
                              <a:extLst xmlns:a="http://schemas.openxmlformats.org/drawingml/2006/main">
                                <a:ext uri="{FF2B5EF4-FFF2-40B4-BE49-F238E27FC236}">
                                  <a16:creationId xmlns:a16="http://schemas.microsoft.com/office/drawing/2014/main" id="{49EAE465-32F7-42AE-9E6D-0F1B0856CF78}"/>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49EAE465-32F7-42AE-9E6D-0F1B0856CF78}"/>
                                        </a:ext>
                                      </a:extLst>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1660" cy="2078990"/>
                                    </a:xfrm>
                                    <a:prstGeom prst="rect">
                                      <a:avLst/>
                                    </a:prstGeom>
                                    <a:noFill/>
                                    <a:ln>
                                      <a:noFill/>
                                    </a:ln>
                                  </pic:spPr>
                                </pic:pic>
                              </a:graphicData>
                            </a:graphic>
                          </wp:inline>
                        </w:drawing>
                      </w:r>
                    </w:p>
                    <w:p w14:paraId="4D089E03" w14:textId="77777777" w:rsidR="00B82744" w:rsidRDefault="00B82744" w:rsidP="00B82744">
                      <w:pPr>
                        <w:jc w:val="center"/>
                      </w:pPr>
                      <w:r>
                        <w:rPr>
                          <w:rFonts w:ascii="Times New Roman" w:hAnsi="Times New Roman" w:cs="Times New Roman" w:hint="eastAsia"/>
                        </w:rPr>
                        <w:t>Fig. S1</w:t>
                      </w:r>
                      <w:r w:rsidRPr="002C4BAF">
                        <w:t xml:space="preserve">. </w:t>
                      </w:r>
                      <w:r w:rsidRPr="005A01C1">
                        <w:rPr>
                          <w:rFonts w:ascii="Times New Roman" w:hAnsi="Times New Roman" w:cs="Times New Roman"/>
                        </w:rPr>
                        <w:t>Schematic diagram of boundary conditions in a heat exchange simulation.</w:t>
                      </w:r>
                    </w:p>
                  </w:txbxContent>
                </v:textbox>
              </v:shape>
            </w:pict>
          </mc:Fallback>
        </mc:AlternateContent>
      </w:r>
    </w:p>
    <w:p w14:paraId="69102093" w14:textId="4902A454" w:rsidR="00B82744" w:rsidRDefault="00B82744">
      <w:pPr>
        <w:rPr>
          <w:b/>
          <w:sz w:val="36"/>
          <w:szCs w:val="36"/>
        </w:rPr>
      </w:pPr>
      <w:r>
        <w:rPr>
          <w:b/>
          <w:sz w:val="36"/>
          <w:szCs w:val="36"/>
        </w:rPr>
        <w:br w:type="page"/>
      </w:r>
    </w:p>
    <w:p w14:paraId="0566F705" w14:textId="77777777" w:rsidR="007F77B6" w:rsidRDefault="007F77B6">
      <w:pPr>
        <w:spacing w:line="360" w:lineRule="auto"/>
        <w:jc w:val="center"/>
        <w:rPr>
          <w:b/>
          <w:sz w:val="36"/>
          <w:szCs w:val="36"/>
        </w:rPr>
      </w:pPr>
    </w:p>
    <w:p w14:paraId="2ABE9C98" w14:textId="77777777" w:rsidR="007F77B6" w:rsidRDefault="00621670">
      <w:pPr>
        <w:spacing w:line="320" w:lineRule="auto"/>
        <w:jc w:val="center"/>
        <w:rPr>
          <w:b/>
          <w:sz w:val="36"/>
          <w:szCs w:val="36"/>
        </w:rPr>
      </w:pPr>
      <w:r>
        <w:rPr>
          <w:rFonts w:ascii="Times New Roman" w:eastAsia="Times New Roman" w:hAnsi="Times New Roman" w:cs="Times New Roman"/>
        </w:rPr>
        <w:t>Table T1. Heat exchange simulation conditions.</w:t>
      </w:r>
    </w:p>
    <w:tbl>
      <w:tblPr>
        <w:tblStyle w:val="a"/>
        <w:tblpPr w:leftFromText="180" w:rightFromText="180" w:vertAnchor="page" w:horzAnchor="margin" w:tblpY="3821"/>
        <w:tblW w:w="8500" w:type="dxa"/>
        <w:tblLayout w:type="fixed"/>
        <w:tblLook w:val="0400" w:firstRow="0" w:lastRow="0" w:firstColumn="0" w:lastColumn="0" w:noHBand="0" w:noVBand="1"/>
      </w:tblPr>
      <w:tblGrid>
        <w:gridCol w:w="4250"/>
        <w:gridCol w:w="4250"/>
      </w:tblGrid>
      <w:tr w:rsidR="00B82744" w14:paraId="507446AB" w14:textId="77777777" w:rsidTr="00B82744">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55AA93" w14:textId="77777777" w:rsidR="00B82744" w:rsidRDefault="00B82744" w:rsidP="00B82744">
            <w:pPr>
              <w:spacing w:after="0" w:line="240" w:lineRule="auto"/>
            </w:pPr>
            <w:r>
              <w:t>Density</w:t>
            </w:r>
          </w:p>
        </w:tc>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E7D856C" w14:textId="77777777" w:rsidR="00B82744" w:rsidRDefault="00B82744" w:rsidP="00B82744">
            <w:pPr>
              <w:spacing w:after="0" w:line="240" w:lineRule="auto"/>
            </w:pPr>
            <w:r>
              <w:t>2.520e</w:t>
            </w:r>
            <w:r w:rsidRPr="00AB5E46">
              <w:rPr>
                <w:vertAlign w:val="superscript"/>
              </w:rPr>
              <w:t>-6</w:t>
            </w:r>
            <w:r>
              <w:t xml:space="preserve"> </w:t>
            </w:r>
            <m:oMath>
              <m:r>
                <w:rPr>
                  <w:rFonts w:ascii="Cambria Math" w:hAnsi="Cambria Math"/>
                </w:rPr>
                <m:t>kg/</m:t>
              </m:r>
              <m:sSup>
                <m:sSupPr>
                  <m:ctrlPr>
                    <w:rPr>
                      <w:rFonts w:ascii="Cambria Math" w:hAnsi="Cambria Math"/>
                    </w:rPr>
                  </m:ctrlPr>
                </m:sSupPr>
                <m:e>
                  <m:r>
                    <w:rPr>
                      <w:rFonts w:ascii="Cambria Math" w:hAnsi="Cambria Math"/>
                    </w:rPr>
                    <m:t>mm</m:t>
                  </m:r>
                </m:e>
                <m:sup>
                  <m:r>
                    <w:rPr>
                      <w:rFonts w:ascii="Cambria Math" w:hAnsi="Cambria Math"/>
                    </w:rPr>
                    <m:t>3</m:t>
                  </m:r>
                </m:sup>
              </m:sSup>
            </m:oMath>
          </w:p>
        </w:tc>
      </w:tr>
      <w:tr w:rsidR="00B82744" w14:paraId="1A45B175" w14:textId="77777777" w:rsidTr="00B82744">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7C7DE13" w14:textId="77777777" w:rsidR="00B82744" w:rsidRDefault="00B82744" w:rsidP="00B82744">
            <w:pPr>
              <w:spacing w:after="0" w:line="240" w:lineRule="auto"/>
            </w:pPr>
            <w:r>
              <w:t>Young’s module</w:t>
            </w:r>
          </w:p>
        </w:tc>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9F2B1C" w14:textId="77777777" w:rsidR="00B82744" w:rsidRDefault="00B82744" w:rsidP="00B82744">
            <w:pPr>
              <w:spacing w:after="0" w:line="240" w:lineRule="auto"/>
            </w:pPr>
            <w:r>
              <w:t xml:space="preserve">66.90 </w:t>
            </w:r>
            <w:proofErr w:type="spellStart"/>
            <w:r>
              <w:t>GPa</w:t>
            </w:r>
            <w:proofErr w:type="spellEnd"/>
          </w:p>
        </w:tc>
      </w:tr>
      <w:tr w:rsidR="00B82744" w14:paraId="7A3FDC2B" w14:textId="77777777" w:rsidTr="00B82744">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B598A3" w14:textId="77777777" w:rsidR="00B82744" w:rsidRDefault="00B82744" w:rsidP="00B82744">
            <w:pPr>
              <w:spacing w:after="0" w:line="240" w:lineRule="auto"/>
            </w:pPr>
            <w:r>
              <w:t>Poisson’s ratio</w:t>
            </w:r>
          </w:p>
        </w:tc>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7AD9BD4" w14:textId="77777777" w:rsidR="00B82744" w:rsidRDefault="00B82744" w:rsidP="00B82744">
            <w:pPr>
              <w:spacing w:after="0" w:line="240" w:lineRule="auto"/>
            </w:pPr>
            <w:r>
              <w:t>0.29</w:t>
            </w:r>
          </w:p>
        </w:tc>
      </w:tr>
      <w:tr w:rsidR="00B82744" w14:paraId="706CC8D7" w14:textId="77777777" w:rsidTr="00B82744">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EE5ABF" w14:textId="77777777" w:rsidR="00B82744" w:rsidRDefault="00B82744" w:rsidP="00B82744">
            <w:pPr>
              <w:spacing w:after="0" w:line="240" w:lineRule="auto"/>
            </w:pPr>
            <w:r>
              <w:t>Yield strength</w:t>
            </w:r>
          </w:p>
        </w:tc>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1C5EC7" w14:textId="77777777" w:rsidR="00B82744" w:rsidRDefault="00B82744" w:rsidP="00B82744">
            <w:pPr>
              <w:spacing w:after="0" w:line="240" w:lineRule="auto"/>
            </w:pPr>
            <w:r>
              <w:t>94 MPa</w:t>
            </w:r>
          </w:p>
        </w:tc>
      </w:tr>
      <w:tr w:rsidR="00B82744" w14:paraId="3D8CCCDD" w14:textId="77777777" w:rsidTr="00B82744">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61C410" w14:textId="77777777" w:rsidR="00B82744" w:rsidRDefault="00B82744" w:rsidP="00B82744">
            <w:pPr>
              <w:spacing w:after="0" w:line="240" w:lineRule="auto"/>
            </w:pPr>
            <w:r>
              <w:t>Maximum tensile stress</w:t>
            </w:r>
          </w:p>
        </w:tc>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AB5946" w14:textId="77777777" w:rsidR="00B82744" w:rsidRDefault="00B82744" w:rsidP="00B82744">
            <w:pPr>
              <w:spacing w:after="0" w:line="240" w:lineRule="auto"/>
            </w:pPr>
            <w:r>
              <w:t>345.00 MPa</w:t>
            </w:r>
          </w:p>
        </w:tc>
      </w:tr>
      <w:tr w:rsidR="00B82744" w14:paraId="209A9CEF" w14:textId="77777777" w:rsidTr="00B82744">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D9C0CA1" w14:textId="77777777" w:rsidR="00B82744" w:rsidRDefault="00B82744" w:rsidP="00B82744">
            <w:pPr>
              <w:spacing w:after="0" w:line="240" w:lineRule="auto"/>
            </w:pPr>
            <w:r>
              <w:t>Thermal conductivity</w:t>
            </w:r>
          </w:p>
        </w:tc>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9D6E3B" w14:textId="77777777" w:rsidR="00B82744" w:rsidRDefault="00B82744" w:rsidP="00B82744">
            <w:pPr>
              <w:spacing w:after="0" w:line="240" w:lineRule="auto"/>
            </w:pPr>
            <w:r>
              <w:t xml:space="preserve">1.46 </w:t>
            </w:r>
            <m:oMath>
              <m:r>
                <w:rPr>
                  <w:rFonts w:ascii="Cambria Math" w:hAnsi="Cambria Math"/>
                </w:rPr>
                <m:t>W/m℃</m:t>
              </m:r>
            </m:oMath>
            <w:r>
              <w:t xml:space="preserve"> </w:t>
            </w:r>
          </w:p>
        </w:tc>
      </w:tr>
      <w:tr w:rsidR="00B82744" w14:paraId="2B6FF3FD" w14:textId="77777777" w:rsidTr="00B82744">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834BF2" w14:textId="77777777" w:rsidR="00B82744" w:rsidRDefault="00B82744" w:rsidP="00B82744">
            <w:pPr>
              <w:spacing w:after="0" w:line="240" w:lineRule="auto"/>
            </w:pPr>
            <w:r>
              <w:t>Coefficient of linier expansion</w:t>
            </w:r>
          </w:p>
        </w:tc>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057BEC" w14:textId="77777777" w:rsidR="00B82744" w:rsidRDefault="00B82744" w:rsidP="00B82744">
            <w:pPr>
              <w:spacing w:after="0" w:line="240" w:lineRule="auto"/>
            </w:pPr>
            <w:r>
              <w:t xml:space="preserve">1.23e-5 </w:t>
            </w:r>
            <m:oMath>
              <m:r>
                <w:rPr>
                  <w:rFonts w:ascii="Cambria Math" w:hAnsi="Cambria Math"/>
                </w:rPr>
                <m:t>/℃</m:t>
              </m:r>
            </m:oMath>
          </w:p>
        </w:tc>
      </w:tr>
      <w:tr w:rsidR="00B82744" w14:paraId="5904A8C4" w14:textId="77777777" w:rsidTr="00B82744">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EFEFEE" w14:textId="77777777" w:rsidR="00B82744" w:rsidRDefault="00B82744" w:rsidP="00B82744">
            <w:pPr>
              <w:spacing w:after="0" w:line="240" w:lineRule="auto"/>
            </w:pPr>
            <w:r>
              <w:t>Specific heat</w:t>
            </w:r>
          </w:p>
        </w:tc>
        <w:tc>
          <w:tcPr>
            <w:tcW w:w="4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D427B9" w14:textId="77777777" w:rsidR="00B82744" w:rsidRDefault="00B82744" w:rsidP="00B82744">
            <w:pPr>
              <w:spacing w:after="0" w:line="240" w:lineRule="auto"/>
            </w:pPr>
            <w:r>
              <w:t>0.79 kJ</w:t>
            </w:r>
            <m:oMath>
              <m:r>
                <w:rPr>
                  <w:rFonts w:ascii="Cambria Math" w:hAnsi="Cambria Math"/>
                </w:rPr>
                <m:t>/kg℃</m:t>
              </m:r>
            </m:oMath>
          </w:p>
        </w:tc>
      </w:tr>
    </w:tbl>
    <w:p w14:paraId="0C8EAF0E" w14:textId="77777777" w:rsidR="007F77B6" w:rsidRDefault="007F77B6">
      <w:pPr>
        <w:spacing w:line="360" w:lineRule="auto"/>
        <w:jc w:val="both"/>
      </w:pPr>
    </w:p>
    <w:p w14:paraId="58DE5811" w14:textId="77777777" w:rsidR="007F77B6" w:rsidRDefault="007F77B6">
      <w:pPr>
        <w:spacing w:line="360" w:lineRule="auto"/>
        <w:jc w:val="both"/>
      </w:pPr>
    </w:p>
    <w:p w14:paraId="64E575EA" w14:textId="77777777" w:rsidR="007F77B6" w:rsidRDefault="007F77B6">
      <w:pPr>
        <w:spacing w:line="360" w:lineRule="auto"/>
        <w:jc w:val="both"/>
      </w:pPr>
    </w:p>
    <w:p w14:paraId="51E987DF" w14:textId="77777777" w:rsidR="007F77B6" w:rsidRDefault="007F77B6">
      <w:pPr>
        <w:spacing w:line="360" w:lineRule="auto"/>
        <w:jc w:val="both"/>
      </w:pPr>
    </w:p>
    <w:p w14:paraId="070E4524" w14:textId="77777777" w:rsidR="007F77B6" w:rsidRDefault="00621670">
      <w:r>
        <w:br w:type="page"/>
      </w:r>
    </w:p>
    <w:p w14:paraId="497F225C" w14:textId="77777777" w:rsidR="007F77B6" w:rsidRDefault="007F77B6">
      <w:pPr>
        <w:spacing w:line="360" w:lineRule="auto"/>
        <w:jc w:val="both"/>
      </w:pPr>
    </w:p>
    <w:p w14:paraId="2D560AAD" w14:textId="77777777" w:rsidR="007F77B6" w:rsidRDefault="00621670">
      <w:pPr>
        <w:spacing w:line="320" w:lineRule="auto"/>
        <w:jc w:val="center"/>
        <w:rPr>
          <w:rFonts w:ascii="Times New Roman" w:eastAsia="Times New Roman" w:hAnsi="Times New Roman" w:cs="Times New Roman"/>
        </w:rPr>
      </w:pPr>
      <w:r>
        <w:rPr>
          <w:rFonts w:ascii="Times New Roman" w:eastAsia="Times New Roman" w:hAnsi="Times New Roman" w:cs="Times New Roman"/>
        </w:rPr>
        <w:t>Table T2. Heat exchange simulation conditions.</w:t>
      </w:r>
    </w:p>
    <w:tbl>
      <w:tblPr>
        <w:tblStyle w:val="a0"/>
        <w:tblW w:w="8440" w:type="dxa"/>
        <w:tblLayout w:type="fixed"/>
        <w:tblLook w:val="0400" w:firstRow="0" w:lastRow="0" w:firstColumn="0" w:lastColumn="0" w:noHBand="0" w:noVBand="1"/>
      </w:tblPr>
      <w:tblGrid>
        <w:gridCol w:w="4220"/>
        <w:gridCol w:w="4220"/>
      </w:tblGrid>
      <w:tr w:rsidR="007F77B6" w14:paraId="174C9A35"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E44DDC" w14:textId="77777777" w:rsidR="007F77B6" w:rsidRDefault="00621670">
            <w:pPr>
              <w:spacing w:line="240" w:lineRule="auto"/>
              <w:jc w:val="center"/>
            </w:pPr>
            <w:r>
              <w:rPr>
                <w:b/>
              </w:rPr>
              <w:t>Materials</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8BE7E8" w14:textId="77777777" w:rsidR="007F77B6" w:rsidRDefault="007F77B6">
            <w:pPr>
              <w:spacing w:line="240" w:lineRule="auto"/>
              <w:jc w:val="center"/>
            </w:pPr>
          </w:p>
        </w:tc>
      </w:tr>
      <w:tr w:rsidR="007F77B6" w14:paraId="7E508F82"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C49E72" w14:textId="77777777" w:rsidR="007F77B6" w:rsidRDefault="00621670">
            <w:pPr>
              <w:spacing w:line="240" w:lineRule="auto"/>
              <w:jc w:val="center"/>
            </w:pPr>
            <w:r>
              <w:t>Simple fuel cell</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FF6849" w14:textId="77777777" w:rsidR="007F77B6" w:rsidRDefault="00621670">
            <w:pPr>
              <w:spacing w:line="240" w:lineRule="auto"/>
              <w:jc w:val="center"/>
            </w:pPr>
            <w:r>
              <w:t>Alumina</w:t>
            </w:r>
          </w:p>
        </w:tc>
      </w:tr>
      <w:tr w:rsidR="007F77B6" w14:paraId="34980FC5"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9E6A01" w14:textId="77777777" w:rsidR="007F77B6" w:rsidRDefault="00621670">
            <w:pPr>
              <w:spacing w:line="240" w:lineRule="auto"/>
              <w:jc w:val="center"/>
            </w:pPr>
            <w:r>
              <w:t>Fluid</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55AB44" w14:textId="77777777" w:rsidR="007F77B6" w:rsidRDefault="00621670">
            <w:pPr>
              <w:spacing w:line="240" w:lineRule="auto"/>
              <w:jc w:val="center"/>
            </w:pPr>
            <w:r>
              <w:t>Hydrogen</w:t>
            </w:r>
          </w:p>
        </w:tc>
      </w:tr>
      <w:tr w:rsidR="007F77B6" w14:paraId="109FDD91"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A1B7A8" w14:textId="77777777" w:rsidR="007F77B6" w:rsidRDefault="00621670">
            <w:pPr>
              <w:spacing w:line="240" w:lineRule="auto"/>
              <w:jc w:val="center"/>
            </w:pPr>
            <w:r>
              <w:rPr>
                <w:b/>
              </w:rPr>
              <w:t>Boundary conditions</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F0F7F9E" w14:textId="77777777" w:rsidR="007F77B6" w:rsidRDefault="007F77B6">
            <w:pPr>
              <w:spacing w:line="240" w:lineRule="auto"/>
              <w:jc w:val="center"/>
            </w:pPr>
          </w:p>
        </w:tc>
      </w:tr>
      <w:tr w:rsidR="007F77B6" w14:paraId="65C4D1AF"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03BF3E" w14:textId="77777777" w:rsidR="007F77B6" w:rsidRDefault="00621670">
            <w:pPr>
              <w:spacing w:line="240" w:lineRule="auto"/>
              <w:jc w:val="center"/>
            </w:pPr>
            <w:r>
              <w:t>Simplified fuel cell surface temperature</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CC96E0" w14:textId="77777777" w:rsidR="007F77B6" w:rsidRDefault="00621670">
            <w:pPr>
              <w:spacing w:line="240" w:lineRule="auto"/>
              <w:jc w:val="center"/>
            </w:pPr>
            <w:r>
              <w:t>800℃</w:t>
            </w:r>
          </w:p>
        </w:tc>
      </w:tr>
      <w:tr w:rsidR="007F77B6" w14:paraId="69F36201"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AD1D43" w14:textId="77777777" w:rsidR="007F77B6" w:rsidRDefault="00621670">
            <w:pPr>
              <w:spacing w:line="240" w:lineRule="auto"/>
              <w:jc w:val="center"/>
            </w:pPr>
            <w:r>
              <w:t>Supply and exhaust port temperature</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E486263" w14:textId="77777777" w:rsidR="007F77B6" w:rsidRDefault="00621670">
            <w:pPr>
              <w:spacing w:line="240" w:lineRule="auto"/>
              <w:jc w:val="center"/>
            </w:pPr>
            <w:r>
              <w:t>20℃</w:t>
            </w:r>
          </w:p>
        </w:tc>
      </w:tr>
      <w:tr w:rsidR="007F77B6" w14:paraId="7C36A1E5"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903ABE3" w14:textId="77777777" w:rsidR="007F77B6" w:rsidRDefault="00621670">
            <w:pPr>
              <w:spacing w:line="240" w:lineRule="auto"/>
              <w:jc w:val="center"/>
            </w:pPr>
            <w:r>
              <w:t>Supply flow velocity</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E5F00A" w14:textId="77777777" w:rsidR="007F77B6" w:rsidRDefault="00621670">
            <w:pPr>
              <w:spacing w:line="240" w:lineRule="auto"/>
              <w:jc w:val="center"/>
            </w:pPr>
            <w:r>
              <w:t>5m/s</w:t>
            </w:r>
          </w:p>
        </w:tc>
      </w:tr>
      <w:tr w:rsidR="007F77B6" w14:paraId="0C8D9512"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EDCE78" w14:textId="77777777" w:rsidR="007F77B6" w:rsidRDefault="00621670">
            <w:pPr>
              <w:spacing w:line="240" w:lineRule="auto"/>
              <w:jc w:val="center"/>
            </w:pPr>
            <w:r>
              <w:t>Exhaust port pressure</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16AA3B" w14:textId="77777777" w:rsidR="007F77B6" w:rsidRDefault="00621670">
            <w:pPr>
              <w:spacing w:line="240" w:lineRule="auto"/>
              <w:jc w:val="center"/>
            </w:pPr>
            <w:r>
              <w:t>Atmospheric pressure</w:t>
            </w:r>
          </w:p>
        </w:tc>
      </w:tr>
      <w:tr w:rsidR="007F77B6" w14:paraId="0DAF4B33"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9C7BED" w14:textId="77777777" w:rsidR="007F77B6" w:rsidRDefault="00621670">
            <w:pPr>
              <w:spacing w:line="240" w:lineRule="auto"/>
              <w:jc w:val="center"/>
            </w:pPr>
            <w:r>
              <w:rPr>
                <w:b/>
              </w:rPr>
              <w:t>Convergence condition</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4B0944" w14:textId="77777777" w:rsidR="007F77B6" w:rsidRDefault="007F77B6">
            <w:pPr>
              <w:spacing w:line="240" w:lineRule="auto"/>
              <w:jc w:val="center"/>
            </w:pPr>
          </w:p>
        </w:tc>
      </w:tr>
      <w:tr w:rsidR="007F77B6" w14:paraId="6505358D"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E4A0AC" w14:textId="77777777" w:rsidR="007F77B6" w:rsidRDefault="00621670">
            <w:pPr>
              <w:spacing w:line="240" w:lineRule="auto"/>
              <w:jc w:val="center"/>
            </w:pPr>
            <w:r>
              <w:t xml:space="preserve">Instantaneous </w:t>
            </w:r>
            <w:r>
              <w:t>convergence curve slope</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5F4A25B" w14:textId="77777777" w:rsidR="007F77B6" w:rsidRDefault="00621670">
            <w:pPr>
              <w:spacing w:line="240" w:lineRule="auto"/>
              <w:jc w:val="center"/>
            </w:pPr>
            <w:r>
              <w:t>0.0001</w:t>
            </w:r>
          </w:p>
        </w:tc>
      </w:tr>
      <w:tr w:rsidR="007F77B6" w14:paraId="271633DD"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E460C8" w14:textId="77777777" w:rsidR="007F77B6" w:rsidRDefault="00621670">
            <w:pPr>
              <w:spacing w:line="240" w:lineRule="auto"/>
              <w:jc w:val="center"/>
            </w:pPr>
            <w:r>
              <w:t>Time-averaged convergence rate of change</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61841E" w14:textId="77777777" w:rsidR="007F77B6" w:rsidRDefault="00621670">
            <w:pPr>
              <w:spacing w:line="240" w:lineRule="auto"/>
              <w:jc w:val="center"/>
            </w:pPr>
            <w:r>
              <w:t>0.01</w:t>
            </w:r>
          </w:p>
        </w:tc>
      </w:tr>
      <w:tr w:rsidR="007F77B6" w14:paraId="5A5F5FF9"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D06B45" w14:textId="77777777" w:rsidR="007F77B6" w:rsidRDefault="00621670">
            <w:pPr>
              <w:spacing w:line="240" w:lineRule="auto"/>
              <w:jc w:val="center"/>
            </w:pPr>
            <w:r>
              <w:t>Time-averaged rise curve</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B00291" w14:textId="77777777" w:rsidR="007F77B6" w:rsidRDefault="00621670">
            <w:pPr>
              <w:spacing w:line="240" w:lineRule="auto"/>
              <w:jc w:val="center"/>
            </w:pPr>
            <w:r>
              <w:t>0.01</w:t>
            </w:r>
          </w:p>
        </w:tc>
      </w:tr>
      <w:tr w:rsidR="007F77B6" w14:paraId="76A1E36B" w14:textId="77777777">
        <w:trPr>
          <w:trHeight w:val="227"/>
        </w:trPr>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F1B17F" w14:textId="77777777" w:rsidR="007F77B6" w:rsidRDefault="00621670">
            <w:pPr>
              <w:spacing w:line="240" w:lineRule="auto"/>
              <w:jc w:val="center"/>
            </w:pPr>
            <w:r>
              <w:t>Variation of analysis value</w:t>
            </w:r>
          </w:p>
        </w:tc>
        <w:tc>
          <w:tcPr>
            <w:tcW w:w="4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33070A" w14:textId="77777777" w:rsidR="007F77B6" w:rsidRDefault="00621670">
            <w:pPr>
              <w:spacing w:line="240" w:lineRule="auto"/>
              <w:jc w:val="center"/>
            </w:pPr>
            <w:r>
              <w:t>1e-5</w:t>
            </w:r>
          </w:p>
        </w:tc>
      </w:tr>
    </w:tbl>
    <w:p w14:paraId="3B9E8971" w14:textId="77777777" w:rsidR="007F77B6" w:rsidRDefault="007F77B6">
      <w:pPr>
        <w:spacing w:line="360" w:lineRule="auto"/>
        <w:jc w:val="both"/>
      </w:pPr>
    </w:p>
    <w:p w14:paraId="4C0B7A68" w14:textId="77777777" w:rsidR="007F77B6" w:rsidRDefault="007F77B6">
      <w:pPr>
        <w:spacing w:line="360" w:lineRule="auto"/>
        <w:jc w:val="both"/>
      </w:pPr>
    </w:p>
    <w:p w14:paraId="6F63D71F" w14:textId="77777777" w:rsidR="007F77B6" w:rsidRDefault="007F77B6">
      <w:pPr>
        <w:spacing w:line="360" w:lineRule="auto"/>
        <w:jc w:val="both"/>
      </w:pPr>
    </w:p>
    <w:p w14:paraId="6440BD51" w14:textId="77777777" w:rsidR="007F77B6" w:rsidRDefault="007F77B6">
      <w:pPr>
        <w:spacing w:line="360" w:lineRule="auto"/>
        <w:jc w:val="both"/>
      </w:pPr>
    </w:p>
    <w:p w14:paraId="22ABAC69" w14:textId="77777777" w:rsidR="007F77B6" w:rsidRDefault="007F77B6">
      <w:pPr>
        <w:spacing w:line="360" w:lineRule="auto"/>
        <w:jc w:val="both"/>
      </w:pPr>
    </w:p>
    <w:p w14:paraId="2F0205C6" w14:textId="77777777" w:rsidR="007F77B6" w:rsidRDefault="007F77B6">
      <w:pPr>
        <w:spacing w:line="360" w:lineRule="auto"/>
        <w:jc w:val="both"/>
      </w:pPr>
    </w:p>
    <w:p w14:paraId="7BA4374C" w14:textId="77777777" w:rsidR="007F77B6" w:rsidRDefault="007F77B6">
      <w:pPr>
        <w:spacing w:line="360" w:lineRule="auto"/>
        <w:jc w:val="both"/>
      </w:pPr>
    </w:p>
    <w:p w14:paraId="65EA4B8E" w14:textId="77777777" w:rsidR="007F77B6" w:rsidRDefault="007F77B6">
      <w:pPr>
        <w:spacing w:line="360" w:lineRule="auto"/>
        <w:jc w:val="both"/>
      </w:pPr>
    </w:p>
    <w:p w14:paraId="6861649E" w14:textId="77777777" w:rsidR="007F77B6" w:rsidRDefault="007F77B6">
      <w:pPr>
        <w:spacing w:line="360" w:lineRule="auto"/>
        <w:jc w:val="both"/>
      </w:pPr>
    </w:p>
    <w:p w14:paraId="7B5E0006" w14:textId="77777777" w:rsidR="007F77B6" w:rsidRDefault="00621670">
      <w:pPr>
        <w:spacing w:line="360" w:lineRule="auto"/>
        <w:jc w:val="both"/>
      </w:pPr>
      <w:r>
        <w:rPr>
          <w:noProof/>
        </w:rPr>
        <mc:AlternateContent>
          <mc:Choice Requires="wps">
            <w:drawing>
              <wp:anchor distT="0" distB="0" distL="114300" distR="114300" simplePos="0" relativeHeight="251659264" behindDoc="0" locked="0" layoutInCell="1" hidden="0" allowOverlap="1" wp14:anchorId="17E8B71A" wp14:editId="55C51904">
                <wp:simplePos x="0" y="0"/>
                <wp:positionH relativeFrom="column">
                  <wp:posOffset>1</wp:posOffset>
                </wp:positionH>
                <wp:positionV relativeFrom="paragraph">
                  <wp:posOffset>444500</wp:posOffset>
                </wp:positionV>
                <wp:extent cx="5419725" cy="4765675"/>
                <wp:effectExtent l="0" t="0" r="0" b="0"/>
                <wp:wrapSquare wrapText="bothSides" distT="0" distB="0" distL="114300" distR="114300"/>
                <wp:docPr id="1899651967" name="Rectangle 1899651967"/>
                <wp:cNvGraphicFramePr/>
                <a:graphic xmlns:a="http://schemas.openxmlformats.org/drawingml/2006/main">
                  <a:graphicData uri="http://schemas.microsoft.com/office/word/2010/wordprocessingShape">
                    <wps:wsp>
                      <wps:cNvSpPr/>
                      <wps:spPr>
                        <a:xfrm>
                          <a:off x="2640900" y="1401925"/>
                          <a:ext cx="5410200" cy="4756150"/>
                        </a:xfrm>
                        <a:prstGeom prst="rect">
                          <a:avLst/>
                        </a:prstGeom>
                        <a:solidFill>
                          <a:schemeClr val="lt1"/>
                        </a:solidFill>
                        <a:ln w="9525" cap="flat" cmpd="sng">
                          <a:solidFill>
                            <a:srgbClr val="000000"/>
                          </a:solidFill>
                          <a:prstDash val="solid"/>
                          <a:round/>
                          <a:headEnd type="none" w="sm" len="sm"/>
                          <a:tailEnd type="none" w="sm" len="sm"/>
                        </a:ln>
                      </wps:spPr>
                      <wps:txbx>
                        <w:txbxContent>
                          <w:p w14:paraId="54358DCE" w14:textId="2F248C7F" w:rsidR="007F77B6" w:rsidRDefault="00B82744">
                            <w:pPr>
                              <w:spacing w:line="258" w:lineRule="auto"/>
                              <w:jc w:val="center"/>
                              <w:textDirection w:val="btLr"/>
                            </w:pPr>
                            <w:r w:rsidRPr="000D412B">
                              <w:rPr>
                                <w:noProof/>
                              </w:rPr>
                              <w:drawing>
                                <wp:inline distT="0" distB="0" distL="0" distR="0" wp14:anchorId="282EADCB" wp14:editId="21CE0D6E">
                                  <wp:extent cx="5193030" cy="3234690"/>
                                  <wp:effectExtent l="0" t="0" r="7620" b="0"/>
                                  <wp:docPr id="2107863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3030" cy="3234690"/>
                                          </a:xfrm>
                                          <a:prstGeom prst="rect">
                                            <a:avLst/>
                                          </a:prstGeom>
                                          <a:noFill/>
                                          <a:ln>
                                            <a:noFill/>
                                          </a:ln>
                                        </pic:spPr>
                                      </pic:pic>
                                    </a:graphicData>
                                  </a:graphic>
                                </wp:inline>
                              </w:drawing>
                            </w:r>
                          </w:p>
                          <w:p w14:paraId="258E0023" w14:textId="77777777" w:rsidR="007F77B6" w:rsidRDefault="00621670">
                            <w:pPr>
                              <w:spacing w:line="360" w:lineRule="auto"/>
                              <w:jc w:val="both"/>
                              <w:textDirection w:val="btLr"/>
                            </w:pPr>
                            <w:r>
                              <w:rPr>
                                <w:rFonts w:ascii="Times New Roman" w:eastAsia="Times New Roman" w:hAnsi="Times New Roman" w:cs="Times New Roman"/>
                                <w:color w:val="000000"/>
                              </w:rPr>
                              <w:t xml:space="preserve">Fig. S2. Results of heat exchange simulation. (a) One bridge structure with the 0.5 mm </w:t>
                            </w:r>
                            <w:r>
                              <w:rPr>
                                <w:rFonts w:ascii="Times New Roman" w:eastAsia="Times New Roman" w:hAnsi="Times New Roman" w:cs="Times New Roman"/>
                                <w:color w:val="000000"/>
                              </w:rPr>
                              <w:t>distance between the supply port and exhaust port. (b) Ends supported beam structure. The supply and exhaust ports are independent and are part of both ends supported beam. (c) When supply and exhaust ports are independent. Black arrows indicate inlet flow. Red arrows indicate outlet flow.</w:t>
                            </w:r>
                          </w:p>
                        </w:txbxContent>
                      </wps:txbx>
                      <wps:bodyPr spcFirstLastPara="1" wrap="square" lIns="91425" tIns="45700" rIns="91425" bIns="45700" anchor="t" anchorCtr="0">
                        <a:noAutofit/>
                      </wps:bodyPr>
                    </wps:wsp>
                  </a:graphicData>
                </a:graphic>
              </wp:anchor>
            </w:drawing>
          </mc:Choice>
          <mc:Fallback>
            <w:pict>
              <v:rect w14:anchorId="17E8B71A" id="Rectangle 1899651967" o:spid="_x0000_s1027" style="position:absolute;left:0;text-align:left;margin-left:0;margin-top:35pt;width:426.75pt;height:37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" fillcolor="white [3201]">
                <v:stroke startarrowwidth="narrow" startarrowlength="short" endarrowwidth="narrow" endarrowlength="short" joinstyle="round"/>
                <v:textbox inset="2.53958mm,1.2694mm,2.53958mm,1.2694mm">
                  <w:txbxContent>
                    <w:p w14:paraId="54358DCE" w14:textId="2F248C7F" w:rsidR="007F77B6" w:rsidRDefault="00B82744">
                      <w:pPr>
                        <w:spacing w:line="258" w:lineRule="auto"/>
                        <w:jc w:val="center"/>
                        <w:textDirection w:val="btLr"/>
                      </w:pPr>
                      <w:r w:rsidRPr="000D412B">
                        <w:rPr>
                          <w:noProof/>
                        </w:rPr>
                        <w:drawing>
                          <wp:inline distT="0" distB="0" distL="0" distR="0" wp14:anchorId="282EADCB" wp14:editId="21CE0D6E">
                            <wp:extent cx="5193030" cy="3234690"/>
                            <wp:effectExtent l="0" t="0" r="7620" b="0"/>
                            <wp:docPr id="2107863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3030" cy="3234690"/>
                                    </a:xfrm>
                                    <a:prstGeom prst="rect">
                                      <a:avLst/>
                                    </a:prstGeom>
                                    <a:noFill/>
                                    <a:ln>
                                      <a:noFill/>
                                    </a:ln>
                                  </pic:spPr>
                                </pic:pic>
                              </a:graphicData>
                            </a:graphic>
                          </wp:inline>
                        </w:drawing>
                      </w:r>
                    </w:p>
                    <w:p w14:paraId="258E0023" w14:textId="77777777" w:rsidR="007F77B6" w:rsidRDefault="00621670">
                      <w:pPr>
                        <w:spacing w:line="360" w:lineRule="auto"/>
                        <w:jc w:val="both"/>
                        <w:textDirection w:val="btLr"/>
                      </w:pPr>
                      <w:r>
                        <w:rPr>
                          <w:rFonts w:ascii="Times New Roman" w:eastAsia="Times New Roman" w:hAnsi="Times New Roman" w:cs="Times New Roman"/>
                          <w:color w:val="000000"/>
                        </w:rPr>
                        <w:t xml:space="preserve">Fig. S2. Results of heat exchange simulation. (a) One bridge structure with the 0.5 mm </w:t>
                      </w:r>
                      <w:r>
                        <w:rPr>
                          <w:rFonts w:ascii="Times New Roman" w:eastAsia="Times New Roman" w:hAnsi="Times New Roman" w:cs="Times New Roman"/>
                          <w:color w:val="000000"/>
                        </w:rPr>
                        <w:t>distance between the supply port and exhaust port. (b) Ends supported beam structure. The supply and exhaust ports are independent and are part of both ends supported beam. (c) When supply and exhaust ports are independent. Black arrows indicate inlet flow. Red arrows indicate outlet flow.</w:t>
                      </w:r>
                    </w:p>
                  </w:txbxContent>
                </v:textbox>
                <w10:wrap type="square"/>
              </v:rect>
            </w:pict>
          </mc:Fallback>
        </mc:AlternateContent>
      </w:r>
    </w:p>
    <w:p w14:paraId="6033E555" w14:textId="77777777" w:rsidR="007F77B6" w:rsidRDefault="007F77B6">
      <w:pPr>
        <w:spacing w:line="360" w:lineRule="auto"/>
        <w:jc w:val="both"/>
      </w:pPr>
    </w:p>
    <w:p w14:paraId="41F1D129" w14:textId="77777777" w:rsidR="007F77B6" w:rsidRDefault="007F77B6">
      <w:pPr>
        <w:spacing w:line="360" w:lineRule="auto"/>
        <w:jc w:val="both"/>
      </w:pPr>
    </w:p>
    <w:p w14:paraId="74F1DF38" w14:textId="77777777" w:rsidR="007F77B6" w:rsidRDefault="00621670">
      <w:pPr>
        <w:spacing w:line="360" w:lineRule="auto"/>
        <w:jc w:val="both"/>
      </w:pPr>
      <w:r>
        <w:rPr>
          <w:noProof/>
        </w:rPr>
        <w:lastRenderedPageBreak/>
        <mc:AlternateContent>
          <mc:Choice Requires="wps">
            <w:drawing>
              <wp:anchor distT="45720" distB="45720" distL="114300" distR="114300" simplePos="0" relativeHeight="251660288" behindDoc="0" locked="0" layoutInCell="1" hidden="0" allowOverlap="1" wp14:anchorId="055D8D9E" wp14:editId="78C23C04">
                <wp:simplePos x="0" y="0"/>
                <wp:positionH relativeFrom="column">
                  <wp:posOffset>12065</wp:posOffset>
                </wp:positionH>
                <wp:positionV relativeFrom="paragraph">
                  <wp:posOffset>479425</wp:posOffset>
                </wp:positionV>
                <wp:extent cx="5429250" cy="4140200"/>
                <wp:effectExtent l="0" t="0" r="19050" b="12700"/>
                <wp:wrapSquare wrapText="bothSides" distT="45720" distB="45720" distL="114300" distR="114300"/>
                <wp:docPr id="1899651969" name="Rectangle 1899651969"/>
                <wp:cNvGraphicFramePr/>
                <a:graphic xmlns:a="http://schemas.openxmlformats.org/drawingml/2006/main">
                  <a:graphicData uri="http://schemas.microsoft.com/office/word/2010/wordprocessingShape">
                    <wps:wsp>
                      <wps:cNvSpPr/>
                      <wps:spPr>
                        <a:xfrm>
                          <a:off x="0" y="0"/>
                          <a:ext cx="5429250" cy="4140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1DCDB9A" w14:textId="77777777" w:rsidR="007F77B6" w:rsidRDefault="007F77B6">
                            <w:pPr>
                              <w:spacing w:before="120" w:after="120" w:line="240" w:lineRule="auto"/>
                              <w:textDirection w:val="btLr"/>
                            </w:pPr>
                          </w:p>
                          <w:p w14:paraId="1B87010F" w14:textId="2EA9520A" w:rsidR="00B82744" w:rsidRDefault="00B82744">
                            <w:pPr>
                              <w:spacing w:before="120" w:after="120" w:line="360" w:lineRule="auto"/>
                              <w:textDirection w:val="btLr"/>
                              <w:rPr>
                                <w:rFonts w:ascii="Times New Roman" w:eastAsiaTheme="minorEastAsia" w:hAnsi="Times New Roman" w:cs="Times New Roman"/>
                                <w:color w:val="000000"/>
                              </w:rPr>
                            </w:pPr>
                            <w:r w:rsidRPr="00DB4773">
                              <w:rPr>
                                <w:noProof/>
                                <w:szCs w:val="18"/>
                              </w:rPr>
                              <w:drawing>
                                <wp:inline distT="0" distB="0" distL="0" distR="0" wp14:anchorId="30BD111E" wp14:editId="60466A50">
                                  <wp:extent cx="5146675" cy="2682875"/>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6675" cy="2682875"/>
                                          </a:xfrm>
                                          <a:prstGeom prst="rect">
                                            <a:avLst/>
                                          </a:prstGeom>
                                          <a:noFill/>
                                          <a:ln>
                                            <a:noFill/>
                                          </a:ln>
                                        </pic:spPr>
                                      </pic:pic>
                                    </a:graphicData>
                                  </a:graphic>
                                </wp:inline>
                              </w:drawing>
                            </w:r>
                          </w:p>
                          <w:p w14:paraId="40E1931D" w14:textId="67434A51" w:rsidR="007F77B6" w:rsidRDefault="00621670">
                            <w:pPr>
                              <w:spacing w:before="120" w:after="120" w:line="360" w:lineRule="auto"/>
                              <w:textDirection w:val="btLr"/>
                            </w:pPr>
                            <w:r>
                              <w:rPr>
                                <w:rFonts w:ascii="Times New Roman" w:eastAsia="Times New Roman" w:hAnsi="Times New Roman" w:cs="Times New Roman"/>
                                <w:color w:val="000000"/>
                              </w:rPr>
                              <w:t>Fig. S3.  Results of exhaust temperature at different fuel supply and exhaust outlets. The distance between supply and exhaust port are change using one bridge structure. End supported beam structure and independent structure are corresponding to Fig. S2(b) and (c).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5D8D9E" id="Rectangle 1899651969" o:spid="_x0000_s1028" style="position:absolute;left:0;text-align:left;margin-left:.95pt;margin-top:37.75pt;width:427.5pt;height:3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" fillcolor="white [3201]">
                <v:stroke startarrowwidth="narrow" startarrowlength="short" endarrowwidth="narrow" endarrowlength="short" joinstyle="round"/>
                <v:textbox inset="2.53958mm,1.2694mm,2.53958mm,1.2694mm">
                  <w:txbxContent>
                    <w:p w14:paraId="71DCDB9A" w14:textId="77777777" w:rsidR="007F77B6" w:rsidRDefault="007F77B6">
                      <w:pPr>
                        <w:spacing w:before="120" w:after="120" w:line="240" w:lineRule="auto"/>
                        <w:textDirection w:val="btLr"/>
                      </w:pPr>
                    </w:p>
                    <w:p w14:paraId="1B87010F" w14:textId="2EA9520A" w:rsidR="00B82744" w:rsidRDefault="00B82744">
                      <w:pPr>
                        <w:spacing w:before="120" w:after="120" w:line="360" w:lineRule="auto"/>
                        <w:textDirection w:val="btLr"/>
                        <w:rPr>
                          <w:rFonts w:ascii="Times New Roman" w:eastAsiaTheme="minorEastAsia" w:hAnsi="Times New Roman" w:cs="Times New Roman"/>
                          <w:color w:val="000000"/>
                        </w:rPr>
                      </w:pPr>
                      <w:r w:rsidRPr="00DB4773">
                        <w:rPr>
                          <w:noProof/>
                          <w:szCs w:val="18"/>
                        </w:rPr>
                        <w:drawing>
                          <wp:inline distT="0" distB="0" distL="0" distR="0" wp14:anchorId="30BD111E" wp14:editId="60466A50">
                            <wp:extent cx="5146675" cy="2682875"/>
                            <wp:effectExtent l="0" t="0" r="0" b="31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6675" cy="2682875"/>
                                    </a:xfrm>
                                    <a:prstGeom prst="rect">
                                      <a:avLst/>
                                    </a:prstGeom>
                                    <a:noFill/>
                                    <a:ln>
                                      <a:noFill/>
                                    </a:ln>
                                  </pic:spPr>
                                </pic:pic>
                              </a:graphicData>
                            </a:graphic>
                          </wp:inline>
                        </w:drawing>
                      </w:r>
                    </w:p>
                    <w:p w14:paraId="40E1931D" w14:textId="67434A51" w:rsidR="007F77B6" w:rsidRDefault="00621670">
                      <w:pPr>
                        <w:spacing w:before="120" w:after="120" w:line="360" w:lineRule="auto"/>
                        <w:textDirection w:val="btLr"/>
                      </w:pPr>
                      <w:r>
                        <w:rPr>
                          <w:rFonts w:ascii="Times New Roman" w:eastAsia="Times New Roman" w:hAnsi="Times New Roman" w:cs="Times New Roman"/>
                          <w:color w:val="000000"/>
                        </w:rPr>
                        <w:t>Fig. S3.  Results of exhaust temperature at different fuel supply and exhaust outlets. The distance between supply and exhaust port are change using one bridge structure. End supported beam structure and independent structure are corresponding to Fig. S2(b) and (c).</w:t>
                      </w:r>
                    </w:p>
                  </w:txbxContent>
                </v:textbox>
                <w10:wrap type="square"/>
              </v:rect>
            </w:pict>
          </mc:Fallback>
        </mc:AlternateContent>
      </w:r>
    </w:p>
    <w:p w14:paraId="7E0D5290" w14:textId="77777777" w:rsidR="007F77B6" w:rsidRDefault="007F77B6">
      <w:pPr>
        <w:spacing w:line="360" w:lineRule="auto"/>
        <w:jc w:val="both"/>
      </w:pPr>
    </w:p>
    <w:p w14:paraId="60255BD1" w14:textId="77777777" w:rsidR="007F77B6" w:rsidRDefault="007F77B6">
      <w:pPr>
        <w:spacing w:line="360" w:lineRule="auto"/>
        <w:jc w:val="both"/>
      </w:pPr>
    </w:p>
    <w:p w14:paraId="1440445C" w14:textId="77777777" w:rsidR="007F77B6" w:rsidRDefault="007F77B6">
      <w:pPr>
        <w:spacing w:line="360" w:lineRule="auto"/>
        <w:jc w:val="both"/>
      </w:pPr>
    </w:p>
    <w:p w14:paraId="008B3253" w14:textId="77777777" w:rsidR="007F77B6" w:rsidRDefault="007F77B6">
      <w:pPr>
        <w:spacing w:line="360" w:lineRule="auto"/>
        <w:jc w:val="both"/>
      </w:pPr>
    </w:p>
    <w:p w14:paraId="771656C4" w14:textId="77777777" w:rsidR="007F77B6" w:rsidRDefault="007F77B6">
      <w:pPr>
        <w:spacing w:line="360" w:lineRule="auto"/>
        <w:jc w:val="both"/>
      </w:pPr>
    </w:p>
    <w:p w14:paraId="2F0B9B63" w14:textId="77777777" w:rsidR="007F77B6" w:rsidRDefault="007F77B6">
      <w:pPr>
        <w:spacing w:line="360" w:lineRule="auto"/>
        <w:jc w:val="both"/>
        <w:rPr>
          <w:color w:val="980000"/>
        </w:rPr>
      </w:pPr>
    </w:p>
    <w:p w14:paraId="6B54DF7B" w14:textId="77777777" w:rsidR="007F77B6" w:rsidRDefault="007F77B6">
      <w:pPr>
        <w:spacing w:line="360" w:lineRule="auto"/>
        <w:jc w:val="both"/>
        <w:rPr>
          <w:b/>
          <w:color w:val="980000"/>
        </w:rPr>
      </w:pPr>
    </w:p>
    <w:p w14:paraId="320E6C91" w14:textId="77777777" w:rsidR="007F77B6" w:rsidRDefault="00621670">
      <w:pPr>
        <w:jc w:val="center"/>
      </w:pPr>
      <w:r>
        <w:rPr>
          <w:noProof/>
        </w:rPr>
        <w:lastRenderedPageBreak/>
        <w:drawing>
          <wp:inline distT="0" distB="0" distL="0" distR="0" wp14:anchorId="56604CFF" wp14:editId="4776BB76">
            <wp:extent cx="3670611" cy="2665760"/>
            <wp:effectExtent l="0" t="0" r="0" b="0"/>
            <wp:docPr id="18996519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70611" cy="2665760"/>
                    </a:xfrm>
                    <a:prstGeom prst="rect">
                      <a:avLst/>
                    </a:prstGeom>
                    <a:ln/>
                  </pic:spPr>
                </pic:pic>
              </a:graphicData>
            </a:graphic>
          </wp:inline>
        </w:drawing>
      </w:r>
    </w:p>
    <w:p w14:paraId="6E67CC51" w14:textId="77777777" w:rsidR="007F77B6" w:rsidRDefault="00621670">
      <w:pPr>
        <w:spacing w:line="320" w:lineRule="auto"/>
        <w:jc w:val="center"/>
        <w:rPr>
          <w:rFonts w:ascii="Times New Roman" w:eastAsia="Times New Roman" w:hAnsi="Times New Roman" w:cs="Times New Roman"/>
        </w:rPr>
      </w:pPr>
      <w:r>
        <w:rPr>
          <w:rFonts w:ascii="Times New Roman" w:eastAsia="Times New Roman" w:hAnsi="Times New Roman" w:cs="Times New Roman"/>
        </w:rPr>
        <w:t>Fig. S4. Experimental setup to measure OCV using glass ceramic reactor.</w:t>
      </w:r>
    </w:p>
    <w:p w14:paraId="1F1630DF" w14:textId="77777777" w:rsidR="007F77B6" w:rsidRDefault="007F77B6">
      <w:pPr>
        <w:spacing w:line="360" w:lineRule="auto"/>
        <w:jc w:val="both"/>
        <w:rPr>
          <w:color w:val="980000"/>
        </w:rPr>
      </w:pPr>
    </w:p>
    <w:p w14:paraId="315D8ECA" w14:textId="77777777" w:rsidR="007F77B6" w:rsidRDefault="007F77B6">
      <w:pPr>
        <w:spacing w:line="360" w:lineRule="auto"/>
        <w:jc w:val="both"/>
        <w:rPr>
          <w:color w:val="980000"/>
        </w:rPr>
      </w:pPr>
    </w:p>
    <w:p w14:paraId="6D3BA290" w14:textId="77777777" w:rsidR="007F77B6" w:rsidRDefault="00621670">
      <w:pPr>
        <w:rPr>
          <w:color w:val="980000"/>
        </w:rPr>
      </w:pPr>
      <w:r>
        <w:br w:type="page"/>
      </w:r>
    </w:p>
    <w:p w14:paraId="23D85D95" w14:textId="77777777" w:rsidR="007F77B6" w:rsidRDefault="00621670">
      <w:pPr>
        <w:spacing w:after="0" w:line="30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simulation is a steady-state model, enabling gravity and energy-based for conjugate conduction, </w:t>
      </w:r>
      <w:r>
        <w:rPr>
          <w:rFonts w:ascii="Times New Roman" w:eastAsia="Times New Roman" w:hAnsi="Times New Roman" w:cs="Times New Roman"/>
        </w:rPr>
        <w:t>convection, and radiation comprising fluid (air or Krypton gas) and wall materials. The parametric and experimental design of the thermal insulation box was conducted and investigated through the main modes of heat transfer:</w:t>
      </w:r>
      <w:r>
        <w:rPr>
          <w:noProof/>
        </w:rPr>
        <mc:AlternateContent>
          <mc:Choice Requires="wps">
            <w:drawing>
              <wp:anchor distT="45720" distB="45720" distL="114300" distR="114300" simplePos="0" relativeHeight="251661312" behindDoc="0" locked="0" layoutInCell="1" hidden="0" allowOverlap="1" wp14:anchorId="31027C21" wp14:editId="4760C4CC">
                <wp:simplePos x="0" y="0"/>
                <wp:positionH relativeFrom="column">
                  <wp:posOffset>1</wp:posOffset>
                </wp:positionH>
                <wp:positionV relativeFrom="paragraph">
                  <wp:posOffset>45720</wp:posOffset>
                </wp:positionV>
                <wp:extent cx="5318125" cy="3851275"/>
                <wp:effectExtent l="0" t="0" r="0" b="0"/>
                <wp:wrapSquare wrapText="bothSides" distT="45720" distB="45720" distL="114300" distR="114300"/>
                <wp:docPr id="1899651968" name="Rectangle 1899651968"/>
                <wp:cNvGraphicFramePr/>
                <a:graphic xmlns:a="http://schemas.openxmlformats.org/drawingml/2006/main">
                  <a:graphicData uri="http://schemas.microsoft.com/office/word/2010/wordprocessingShape">
                    <wps:wsp>
                      <wps:cNvSpPr/>
                      <wps:spPr>
                        <a:xfrm>
                          <a:off x="2691511" y="1859078"/>
                          <a:ext cx="5308979" cy="3841845"/>
                        </a:xfrm>
                        <a:prstGeom prst="rect">
                          <a:avLst/>
                        </a:prstGeom>
                        <a:solidFill>
                          <a:schemeClr val="lt1"/>
                        </a:solidFill>
                        <a:ln w="9525" cap="flat" cmpd="sng">
                          <a:solidFill>
                            <a:srgbClr val="000000"/>
                          </a:solidFill>
                          <a:prstDash val="solid"/>
                          <a:round/>
                          <a:headEnd type="none" w="sm" len="sm"/>
                          <a:tailEnd type="none" w="sm" len="sm"/>
                        </a:ln>
                      </wps:spPr>
                      <wps:txbx>
                        <w:txbxContent>
                          <w:p w14:paraId="24F10EFB" w14:textId="77777777" w:rsidR="007F77B6" w:rsidRDefault="007F77B6">
                            <w:pPr>
                              <w:spacing w:before="120" w:after="120" w:line="240" w:lineRule="auto"/>
                              <w:textDirection w:val="btLr"/>
                            </w:pPr>
                          </w:p>
                          <w:p w14:paraId="6EFB6B61" w14:textId="4728FCFA" w:rsidR="00B82744" w:rsidRDefault="00B82744">
                            <w:pPr>
                              <w:spacing w:before="120" w:after="120" w:line="360" w:lineRule="auto"/>
                              <w:textDirection w:val="btLr"/>
                              <w:rPr>
                                <w:rFonts w:ascii="Times New Roman" w:eastAsiaTheme="minorEastAsia" w:hAnsi="Times New Roman" w:cs="Times New Roman"/>
                                <w:color w:val="000000"/>
                              </w:rPr>
                            </w:pPr>
                            <w:r>
                              <w:rPr>
                                <w:noProof/>
                                <w:color w:val="980000"/>
                              </w:rPr>
                              <w:drawing>
                                <wp:inline distT="0" distB="0" distL="0" distR="0" wp14:anchorId="0A7DE7E7" wp14:editId="1B363DAC">
                                  <wp:extent cx="4933666" cy="2384507"/>
                                  <wp:effectExtent l="0" t="0" r="635" b="0"/>
                                  <wp:docPr id="923270781" name="Picture 1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70781" name="Picture 10" descr="A screenshot of a 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5867" cy="2390404"/>
                                          </a:xfrm>
                                          <a:prstGeom prst="rect">
                                            <a:avLst/>
                                          </a:prstGeom>
                                          <a:noFill/>
                                        </pic:spPr>
                                      </pic:pic>
                                    </a:graphicData>
                                  </a:graphic>
                                </wp:inline>
                              </w:drawing>
                            </w:r>
                          </w:p>
                          <w:p w14:paraId="4ED879D7" w14:textId="4E856834" w:rsidR="007F77B6" w:rsidRDefault="00621670">
                            <w:pPr>
                              <w:spacing w:before="120" w:after="120" w:line="360" w:lineRule="auto"/>
                              <w:textDirection w:val="btLr"/>
                            </w:pPr>
                            <w:r>
                              <w:rPr>
                                <w:rFonts w:ascii="Times New Roman" w:eastAsia="Times New Roman" w:hAnsi="Times New Roman" w:cs="Times New Roman"/>
                                <w:color w:val="000000"/>
                              </w:rPr>
                              <w:t>Fig. S5.  (a) Schematic of Multilayer insulation (MLI)</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systems along with heater and ceramic reactor and, (b) database of materials properties for simulation. </w:t>
                            </w:r>
                          </w:p>
                          <w:p w14:paraId="61C711F5" w14:textId="77777777" w:rsidR="007F77B6" w:rsidRDefault="00621670">
                            <w:pPr>
                              <w:spacing w:before="120" w:after="120" w:line="360" w:lineRule="auto"/>
                              <w:textDirection w:val="btLr"/>
                            </w:pPr>
                            <w:r>
                              <w:rPr>
                                <w:rFonts w:ascii="Times New Roman" w:eastAsia="Times New Roman" w:hAnsi="Times New Roman" w:cs="Times New Roman"/>
                                <w:color w:val="000000"/>
                              </w:rPr>
                              <w:t xml:space="preserve">YSZ is the ceramic reactor, steel is heater, polyimide was utilized as organic multilayer mirrors, polycarbonate materials were used to print the 3D printed box, and air/krypton gas as fluid was used.   </w:t>
                            </w:r>
                          </w:p>
                        </w:txbxContent>
                      </wps:txbx>
                      <wps:bodyPr spcFirstLastPara="1" wrap="square" lIns="91425" tIns="45700" rIns="91425" bIns="45700" anchor="t" anchorCtr="0">
                        <a:noAutofit/>
                      </wps:bodyPr>
                    </wps:wsp>
                  </a:graphicData>
                </a:graphic>
              </wp:anchor>
            </w:drawing>
          </mc:Choice>
          <mc:Fallback>
            <w:pict>
              <v:rect w14:anchorId="31027C21" id="Rectangle 1899651968" o:spid="_x0000_s1029" style="position:absolute;left:0;text-align:left;margin-left:0;margin-top:3.6pt;width:418.75pt;height:303.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" fillcolor="white [3201]">
                <v:stroke startarrowwidth="narrow" startarrowlength="short" endarrowwidth="narrow" endarrowlength="short" joinstyle="round"/>
                <v:textbox inset="2.53958mm,1.2694mm,2.53958mm,1.2694mm">
                  <w:txbxContent>
                    <w:p w14:paraId="24F10EFB" w14:textId="77777777" w:rsidR="007F77B6" w:rsidRDefault="007F77B6">
                      <w:pPr>
                        <w:spacing w:before="120" w:after="120" w:line="240" w:lineRule="auto"/>
                        <w:textDirection w:val="btLr"/>
                      </w:pPr>
                    </w:p>
                    <w:p w14:paraId="6EFB6B61" w14:textId="4728FCFA" w:rsidR="00B82744" w:rsidRDefault="00B82744">
                      <w:pPr>
                        <w:spacing w:before="120" w:after="120" w:line="360" w:lineRule="auto"/>
                        <w:textDirection w:val="btLr"/>
                        <w:rPr>
                          <w:rFonts w:ascii="Times New Roman" w:eastAsiaTheme="minorEastAsia" w:hAnsi="Times New Roman" w:cs="Times New Roman"/>
                          <w:color w:val="000000"/>
                        </w:rPr>
                      </w:pPr>
                      <w:r>
                        <w:rPr>
                          <w:noProof/>
                          <w:color w:val="980000"/>
                        </w:rPr>
                        <w:drawing>
                          <wp:inline distT="0" distB="0" distL="0" distR="0" wp14:anchorId="0A7DE7E7" wp14:editId="1B363DAC">
                            <wp:extent cx="4933666" cy="2384507"/>
                            <wp:effectExtent l="0" t="0" r="635" b="0"/>
                            <wp:docPr id="923270781" name="Picture 1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70781" name="Picture 10" descr="A screenshot of a 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5867" cy="2390404"/>
                                    </a:xfrm>
                                    <a:prstGeom prst="rect">
                                      <a:avLst/>
                                    </a:prstGeom>
                                    <a:noFill/>
                                  </pic:spPr>
                                </pic:pic>
                              </a:graphicData>
                            </a:graphic>
                          </wp:inline>
                        </w:drawing>
                      </w:r>
                    </w:p>
                    <w:p w14:paraId="4ED879D7" w14:textId="4E856834" w:rsidR="007F77B6" w:rsidRDefault="00621670">
                      <w:pPr>
                        <w:spacing w:before="120" w:after="120" w:line="360" w:lineRule="auto"/>
                        <w:textDirection w:val="btLr"/>
                      </w:pPr>
                      <w:r>
                        <w:rPr>
                          <w:rFonts w:ascii="Times New Roman" w:eastAsia="Times New Roman" w:hAnsi="Times New Roman" w:cs="Times New Roman"/>
                          <w:color w:val="000000"/>
                        </w:rPr>
                        <w:t>Fig. S5.  (a) Schematic of Multilayer insulation (MLI)</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systems along with heater and ceramic reactor and, (b) database of materials properties for simulation. </w:t>
                      </w:r>
                    </w:p>
                    <w:p w14:paraId="61C711F5" w14:textId="77777777" w:rsidR="007F77B6" w:rsidRDefault="00621670">
                      <w:pPr>
                        <w:spacing w:before="120" w:after="120" w:line="360" w:lineRule="auto"/>
                        <w:textDirection w:val="btLr"/>
                      </w:pPr>
                      <w:r>
                        <w:rPr>
                          <w:rFonts w:ascii="Times New Roman" w:eastAsia="Times New Roman" w:hAnsi="Times New Roman" w:cs="Times New Roman"/>
                          <w:color w:val="000000"/>
                        </w:rPr>
                        <w:t xml:space="preserve">YSZ is the ceramic reactor, steel is heater, polyimide was utilized as organic multilayer mirrors, polycarbonate materials were used to print the 3D printed box, and air/krypton gas as fluid was used.   </w:t>
                      </w:r>
                    </w:p>
                  </w:txbxContent>
                </v:textbox>
                <w10:wrap type="square"/>
              </v:rect>
            </w:pict>
          </mc:Fallback>
        </mc:AlternateContent>
      </w:r>
    </w:p>
    <w:p w14:paraId="3E8AECEE" w14:textId="77777777" w:rsidR="007F77B6" w:rsidRDefault="00621670">
      <w:pPr>
        <w:widowControl/>
        <w:numPr>
          <w:ilvl w:val="0"/>
          <w:numId w:val="1"/>
        </w:numPr>
        <w:pBdr>
          <w:top w:val="nil"/>
          <w:left w:val="nil"/>
          <w:bottom w:val="nil"/>
          <w:right w:val="nil"/>
          <w:between w:val="nil"/>
        </w:pBdr>
        <w:shd w:val="clear" w:color="auto" w:fill="FFFFFF"/>
        <w:spacing w:after="0"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Conduction: designing heater location and size, ceramics thickness</w:t>
      </w:r>
    </w:p>
    <w:p w14:paraId="72B02B18" w14:textId="77777777" w:rsidR="007F77B6" w:rsidRDefault="00621670">
      <w:pPr>
        <w:widowControl/>
        <w:numPr>
          <w:ilvl w:val="0"/>
          <w:numId w:val="1"/>
        </w:numPr>
        <w:pBdr>
          <w:top w:val="nil"/>
          <w:left w:val="nil"/>
          <w:bottom w:val="nil"/>
          <w:right w:val="nil"/>
          <w:between w:val="nil"/>
        </w:pBdr>
        <w:shd w:val="clear" w:color="auto" w:fill="FFFFFF"/>
        <w:spacing w:after="0"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Convection: supplying of inside gas (air and Krypton)</w:t>
      </w:r>
    </w:p>
    <w:p w14:paraId="6B72203E" w14:textId="77777777" w:rsidR="007F77B6" w:rsidRDefault="00621670">
      <w:pPr>
        <w:widowControl/>
        <w:numPr>
          <w:ilvl w:val="0"/>
          <w:numId w:val="1"/>
        </w:numPr>
        <w:pBdr>
          <w:top w:val="nil"/>
          <w:left w:val="nil"/>
          <w:bottom w:val="nil"/>
          <w:right w:val="nil"/>
          <w:between w:val="nil"/>
        </w:pBdr>
        <w:shd w:val="clear" w:color="auto" w:fill="FFFFFF"/>
        <w:spacing w:after="0" w:line="30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Radiation: multilayer mirror insulations and </w:t>
      </w:r>
      <w:r>
        <w:rPr>
          <w:rFonts w:ascii="Times New Roman" w:eastAsia="Times New Roman" w:hAnsi="Times New Roman" w:cs="Times New Roman"/>
          <w:color w:val="000000"/>
        </w:rPr>
        <w:t>mirror supports</w:t>
      </w:r>
    </w:p>
    <w:p w14:paraId="144BD35A" w14:textId="77777777" w:rsidR="007F77B6" w:rsidRDefault="00621670">
      <w:pPr>
        <w:shd w:val="clear" w:color="auto" w:fill="FFFFFF"/>
        <w:spacing w:after="0" w:line="300" w:lineRule="auto"/>
        <w:jc w:val="both"/>
        <w:rPr>
          <w:rFonts w:ascii="Times New Roman" w:eastAsia="Times New Roman" w:hAnsi="Times New Roman" w:cs="Times New Roman"/>
        </w:rPr>
      </w:pPr>
      <w:r>
        <w:rPr>
          <w:rFonts w:ascii="Times New Roman" w:eastAsia="Times New Roman" w:hAnsi="Times New Roman" w:cs="Times New Roman"/>
        </w:rPr>
        <w:t>The heater power was set using heat flux conditions dependent on the heater area. As for the radiation, surface-to-surface radiation was used for assumption and mirror modeling. The solution model uses a SIMPLE scheme, second-order upwind, and default values of solution controls with hybrid initialization. Furthermore, the improvement in the accuracy of the simulation model could be verified through the mesh dependency/sensitivity method along with the comparison of the experimental results.</w:t>
      </w:r>
    </w:p>
    <w:p w14:paraId="3BF7DBAB" w14:textId="77777777" w:rsidR="007F77B6" w:rsidRDefault="00621670">
      <w:pPr>
        <w:shd w:val="clear" w:color="auto" w:fill="FFFFFF"/>
        <w:spacing w:after="0" w:line="300" w:lineRule="auto"/>
        <w:jc w:val="both"/>
        <w:rPr>
          <w:rFonts w:ascii="Times New Roman" w:eastAsia="Times New Roman" w:hAnsi="Times New Roman" w:cs="Times New Roman"/>
        </w:rPr>
      </w:pPr>
      <w:r>
        <w:rPr>
          <w:rFonts w:ascii="Times New Roman" w:eastAsia="Times New Roman" w:hAnsi="Times New Roman" w:cs="Times New Roman"/>
        </w:rPr>
        <w:t>The proposed SOFC insulation thermal box design [dimension of about 25mm (w) x 30mm (l) x 20mm (h)] comprises (a) upper and bottom cover box lids and inside the box components were (b) multilayer mirrors, (c) mirror supports, (d) 0.3 mm thick YSZ ceramics, and (e) steel heater has been so far established achieving up to 650C (inside box temperature) at set 10W heater power. The thermal insulation testing was conducted using inside and outside box components (a-e), (f) DC power source (g) thermocouple and (h</w:t>
      </w:r>
      <w:r>
        <w:rPr>
          <w:rFonts w:ascii="Times New Roman" w:eastAsia="Times New Roman" w:hAnsi="Times New Roman" w:cs="Times New Roman"/>
        </w:rPr>
        <w:t>) IR thermal camera.</w:t>
      </w:r>
    </w:p>
    <w:p w14:paraId="2EB2FCE6" w14:textId="77777777" w:rsidR="007F77B6" w:rsidRDefault="00621670">
      <w:pPr>
        <w:shd w:val="clear" w:color="auto" w:fill="FFFFFF"/>
        <w:spacing w:after="0" w:line="300" w:lineRule="auto"/>
        <w:jc w:val="both"/>
        <w:rPr>
          <w:rFonts w:ascii="Times New Roman" w:eastAsia="Times New Roman" w:hAnsi="Times New Roman" w:cs="Times New Roman"/>
        </w:rPr>
      </w:pPr>
      <w:r>
        <w:rPr>
          <w:rFonts w:ascii="Times New Roman" w:eastAsia="Times New Roman" w:hAnsi="Times New Roman" w:cs="Times New Roman"/>
        </w:rPr>
        <w:t xml:space="preserve">During experimental box testing, the DC power source attached to the steel heater placed in YSZ ceramics was increased automatically through the ramp feature of the power source recorded along with the inside temperature of the insulation box through the attached thermocouple logger. </w:t>
      </w:r>
    </w:p>
    <w:p w14:paraId="239CCBDD" w14:textId="77777777" w:rsidR="007F77B6" w:rsidRDefault="00621670">
      <w:pPr>
        <w:spacing w:line="360" w:lineRule="auto"/>
        <w:jc w:val="center"/>
      </w:pPr>
      <w:r>
        <w:rPr>
          <w:noProof/>
        </w:rPr>
        <w:lastRenderedPageBreak/>
        <w:drawing>
          <wp:inline distT="0" distB="0" distL="0" distR="0" wp14:anchorId="666A9289" wp14:editId="2184761A">
            <wp:extent cx="3785338" cy="2461737"/>
            <wp:effectExtent l="0" t="0" r="0" b="0"/>
            <wp:docPr id="1899651971" name="image1.png" descr="A diagram of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different colored lines&#10;&#10;Description automatically generated"/>
                    <pic:cNvPicPr preferRelativeResize="0"/>
                  </pic:nvPicPr>
                  <pic:blipFill>
                    <a:blip r:embed="rId11"/>
                    <a:srcRect/>
                    <a:stretch>
                      <a:fillRect/>
                    </a:stretch>
                  </pic:blipFill>
                  <pic:spPr>
                    <a:xfrm>
                      <a:off x="0" y="0"/>
                      <a:ext cx="3785338" cy="2461737"/>
                    </a:xfrm>
                    <a:prstGeom prst="rect">
                      <a:avLst/>
                    </a:prstGeom>
                    <a:ln/>
                  </pic:spPr>
                </pic:pic>
              </a:graphicData>
            </a:graphic>
          </wp:inline>
        </w:drawing>
      </w:r>
    </w:p>
    <w:p w14:paraId="51459BA0" w14:textId="46FDC5B8" w:rsidR="007F77B6" w:rsidRDefault="00621670">
      <w:pPr>
        <w:keepNext/>
        <w:widowControl/>
        <w:pBdr>
          <w:top w:val="nil"/>
          <w:left w:val="nil"/>
          <w:bottom w:val="nil"/>
          <w:right w:val="nil"/>
          <w:between w:val="nil"/>
        </w:pBdr>
        <w:spacing w:before="120" w:after="12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Fig. S6.  I-V-P curve of </w:t>
      </w:r>
      <w:r w:rsidR="000A471C">
        <w:rPr>
          <w:rFonts w:ascii="Times New Roman" w:eastAsiaTheme="minorEastAsia" w:hAnsi="Times New Roman" w:cs="Times New Roman" w:hint="eastAsia"/>
          <w:color w:val="000000"/>
        </w:rPr>
        <w:t>TAIYO YUDEN</w:t>
      </w:r>
      <w:r>
        <w:rPr>
          <w:rFonts w:ascii="Times New Roman" w:eastAsia="Times New Roman" w:hAnsi="Times New Roman" w:cs="Times New Roman"/>
          <w:color w:val="000000"/>
        </w:rPr>
        <w:t xml:space="preserve"> metal supported SOFC tested in conventional test setup</w:t>
      </w:r>
    </w:p>
    <w:p w14:paraId="791E0718" w14:textId="77777777" w:rsidR="00B82744" w:rsidRDefault="00B82744">
      <w:r>
        <w:br w:type="page"/>
      </w:r>
    </w:p>
    <w:p w14:paraId="47B22720" w14:textId="7245C185" w:rsidR="007F77B6" w:rsidRDefault="00621670">
      <w:pPr>
        <w:spacing w:line="360" w:lineRule="auto"/>
        <w:jc w:val="center"/>
        <w:rPr>
          <w:color w:val="980000"/>
        </w:rPr>
      </w:pPr>
      <w:r>
        <w:lastRenderedPageBreak/>
        <w:t xml:space="preserve"> </w:t>
      </w:r>
    </w:p>
    <w:p w14:paraId="1893D4F6" w14:textId="77777777" w:rsidR="007F77B6" w:rsidRDefault="00621670">
      <w:pPr>
        <w:spacing w:line="360" w:lineRule="auto"/>
        <w:jc w:val="both"/>
        <w:rPr>
          <w:color w:val="980000"/>
        </w:rPr>
      </w:pPr>
      <w:r>
        <w:rPr>
          <w:noProof/>
          <w:color w:val="980000"/>
        </w:rPr>
        <w:drawing>
          <wp:inline distT="114300" distB="114300" distL="114300" distR="114300" wp14:anchorId="71B37F3C" wp14:editId="0E251F0E">
            <wp:extent cx="5399730" cy="3289300"/>
            <wp:effectExtent l="0" t="0" r="0" b="0"/>
            <wp:docPr id="18996519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399730" cy="3289300"/>
                    </a:xfrm>
                    <a:prstGeom prst="rect">
                      <a:avLst/>
                    </a:prstGeom>
                    <a:ln/>
                  </pic:spPr>
                </pic:pic>
              </a:graphicData>
            </a:graphic>
          </wp:inline>
        </w:drawing>
      </w:r>
    </w:p>
    <w:p w14:paraId="7A5DAF24" w14:textId="77777777" w:rsidR="007F77B6" w:rsidRDefault="00621670">
      <w:pPr>
        <w:spacing w:line="360" w:lineRule="auto"/>
        <w:jc w:val="center"/>
      </w:pPr>
      <w:r>
        <w:rPr>
          <w:rFonts w:ascii="Times New Roman" w:eastAsia="Times New Roman" w:hAnsi="Times New Roman" w:cs="Times New Roman"/>
        </w:rPr>
        <w:t>Fig. S7. Temperature profile of the SOFC assembly during the event of drilling</w:t>
      </w:r>
    </w:p>
    <w:p w14:paraId="7714E6BF" w14:textId="77777777" w:rsidR="007F77B6" w:rsidRDefault="007F77B6">
      <w:pPr>
        <w:spacing w:line="360" w:lineRule="auto"/>
        <w:jc w:val="both"/>
        <w:rPr>
          <w:color w:val="980000"/>
        </w:rPr>
      </w:pPr>
    </w:p>
    <w:p w14:paraId="77E5122A" w14:textId="77777777" w:rsidR="007F77B6" w:rsidRDefault="007F77B6">
      <w:pPr>
        <w:spacing w:line="360" w:lineRule="auto"/>
        <w:jc w:val="both"/>
      </w:pPr>
    </w:p>
    <w:sectPr w:rsidR="007F77B6">
      <w:pgSz w:w="11906" w:h="16838"/>
      <w:pgMar w:top="1985"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59951D0-7A49-42B0-B7D2-C681C2C098C2}"/>
  </w:font>
  <w:font w:name="游明朝">
    <w:panose1 w:val="02020400000000000000"/>
    <w:charset w:val="80"/>
    <w:family w:val="roman"/>
    <w:pitch w:val="variable"/>
    <w:sig w:usb0="800002E7" w:usb1="2AC7FCFF" w:usb2="00000012" w:usb3="00000000" w:csb0="0002009F" w:csb1="00000000"/>
    <w:embedRegular r:id="rId2" w:subsetted="1" w:fontKey="{4E75BEA8-8CAD-4E6F-B6D1-AFEBEB9508EE}"/>
    <w:embedBold r:id="rId3" w:subsetted="1" w:fontKey="{02589E56-9F22-4ACF-9985-22D16D3A6FF6}"/>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4" w:fontKey="{7A402467-F366-4433-BF10-4F1F4843EADD}"/>
    <w:embedBold r:id="rId5" w:fontKey="{6051D641-28D0-40F0-94CF-CAA5D489C7DD}"/>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B539D16B-25E1-4EE3-8FF8-CC10D076A49B}"/>
    <w:embedItalic r:id="rId7" w:fontKey="{EBC9C4CE-10A3-4588-B6F8-A793BFB7DA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26F2E"/>
    <w:multiLevelType w:val="multilevel"/>
    <w:tmpl w:val="F68A9774"/>
    <w:lvl w:ilvl="0">
      <w:start w:val="1"/>
      <w:numFmt w:val="upperRoman"/>
      <w:lvlText w:val="%1."/>
      <w:lvlJc w:val="right"/>
      <w:pPr>
        <w:ind w:left="927"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976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7B6"/>
    <w:rsid w:val="00025B87"/>
    <w:rsid w:val="000A471C"/>
    <w:rsid w:val="00294452"/>
    <w:rsid w:val="002E630A"/>
    <w:rsid w:val="00312E47"/>
    <w:rsid w:val="003C294F"/>
    <w:rsid w:val="003C3AB1"/>
    <w:rsid w:val="003D3AEA"/>
    <w:rsid w:val="0046781C"/>
    <w:rsid w:val="00490F56"/>
    <w:rsid w:val="004D39B6"/>
    <w:rsid w:val="00522060"/>
    <w:rsid w:val="00583E0C"/>
    <w:rsid w:val="005E37C9"/>
    <w:rsid w:val="00621670"/>
    <w:rsid w:val="00632F77"/>
    <w:rsid w:val="006F3B56"/>
    <w:rsid w:val="00740294"/>
    <w:rsid w:val="007C1FB8"/>
    <w:rsid w:val="007F77B6"/>
    <w:rsid w:val="008E026B"/>
    <w:rsid w:val="00933C50"/>
    <w:rsid w:val="00AB5E46"/>
    <w:rsid w:val="00B82744"/>
    <w:rsid w:val="00C06D27"/>
    <w:rsid w:val="00CB245B"/>
    <w:rsid w:val="00D238F5"/>
    <w:rsid w:val="00D36D13"/>
    <w:rsid w:val="00D673FB"/>
    <w:rsid w:val="00E226F1"/>
    <w:rsid w:val="00E27663"/>
    <w:rsid w:val="00E74564"/>
    <w:rsid w:val="00E846D5"/>
    <w:rsid w:val="00E970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380382"/>
  <w15:docId w15:val="{848D4403-A903-4EFB-9FEE-C01B4C3E6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D3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620D3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semiHidden/>
    <w:unhideWhenUsed/>
    <w:qFormat/>
    <w:rsid w:val="00620D31"/>
    <w:pPr>
      <w:keepNext/>
      <w:keepLines/>
      <w:spacing w:before="160" w:after="80"/>
      <w:outlineLvl w:val="2"/>
    </w:pPr>
    <w:rPr>
      <w:rFonts w:asciiTheme="majorHAnsi" w:eastAsiaTheme="majorEastAsia" w:hAnsiTheme="majorHAnsi" w:cstheme="majorBidi"/>
      <w:color w:val="000000" w:themeColor="text1"/>
      <w:sz w:val="24"/>
    </w:rPr>
  </w:style>
  <w:style w:type="paragraph" w:styleId="Heading4">
    <w:name w:val="heading 4"/>
    <w:basedOn w:val="Normal"/>
    <w:next w:val="Normal"/>
    <w:link w:val="Heading4Char"/>
    <w:uiPriority w:val="9"/>
    <w:semiHidden/>
    <w:unhideWhenUsed/>
    <w:qFormat/>
    <w:rsid w:val="00620D31"/>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620D3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620D3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620D3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620D3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620D3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D31"/>
    <w:pPr>
      <w:spacing w:after="80" w:line="240" w:lineRule="auto"/>
      <w:contextualSpacing/>
      <w:jc w:val="center"/>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0D31"/>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620D31"/>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semiHidden/>
    <w:rsid w:val="00620D31"/>
    <w:rPr>
      <w:rFonts w:asciiTheme="majorHAnsi" w:eastAsiaTheme="majorEastAsia" w:hAnsiTheme="majorHAnsi" w:cstheme="majorBidi"/>
      <w:color w:val="000000" w:themeColor="text1"/>
      <w:sz w:val="24"/>
    </w:rPr>
  </w:style>
  <w:style w:type="character" w:customStyle="1" w:styleId="Heading4Char">
    <w:name w:val="Heading 4 Char"/>
    <w:basedOn w:val="DefaultParagraphFont"/>
    <w:link w:val="Heading4"/>
    <w:uiPriority w:val="9"/>
    <w:semiHidden/>
    <w:rsid w:val="00620D31"/>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620D31"/>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620D31"/>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620D31"/>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620D31"/>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620D31"/>
    <w:rPr>
      <w:rFonts w:asciiTheme="majorHAnsi" w:eastAsiaTheme="majorEastAsia" w:hAnsiTheme="majorHAnsi" w:cstheme="majorBidi"/>
      <w:color w:val="000000" w:themeColor="text1"/>
    </w:rPr>
  </w:style>
  <w:style w:type="character" w:customStyle="1" w:styleId="TitleChar">
    <w:name w:val="Title Char"/>
    <w:basedOn w:val="DefaultParagraphFont"/>
    <w:link w:val="Title"/>
    <w:uiPriority w:val="10"/>
    <w:rsid w:val="00620D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jc w:val="center"/>
    </w:pPr>
    <w:rPr>
      <w:rFonts w:ascii="游ゴシック Light" w:eastAsia="游ゴシック Light" w:hAnsi="游ゴシック Light" w:cs="游ゴシック Light"/>
      <w:color w:val="595959"/>
      <w:sz w:val="28"/>
      <w:szCs w:val="28"/>
    </w:rPr>
  </w:style>
  <w:style w:type="character" w:customStyle="1" w:styleId="SubtitleChar">
    <w:name w:val="Subtitle Char"/>
    <w:basedOn w:val="DefaultParagraphFont"/>
    <w:link w:val="Subtitle"/>
    <w:uiPriority w:val="11"/>
    <w:rsid w:val="00620D31"/>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620D31"/>
    <w:pPr>
      <w:spacing w:before="160"/>
      <w:jc w:val="center"/>
    </w:pPr>
    <w:rPr>
      <w:i/>
      <w:iCs/>
      <w:color w:val="404040" w:themeColor="text1" w:themeTint="BF"/>
    </w:rPr>
  </w:style>
  <w:style w:type="character" w:customStyle="1" w:styleId="QuoteChar">
    <w:name w:val="Quote Char"/>
    <w:basedOn w:val="DefaultParagraphFont"/>
    <w:link w:val="Quote"/>
    <w:uiPriority w:val="29"/>
    <w:rsid w:val="00620D31"/>
    <w:rPr>
      <w:i/>
      <w:iCs/>
      <w:color w:val="404040" w:themeColor="text1" w:themeTint="BF"/>
    </w:rPr>
  </w:style>
  <w:style w:type="paragraph" w:styleId="ListParagraph">
    <w:name w:val="List Paragraph"/>
    <w:basedOn w:val="Normal"/>
    <w:uiPriority w:val="34"/>
    <w:qFormat/>
    <w:rsid w:val="00620D31"/>
    <w:pPr>
      <w:ind w:left="720"/>
      <w:contextualSpacing/>
    </w:pPr>
  </w:style>
  <w:style w:type="character" w:styleId="IntenseEmphasis">
    <w:name w:val="Intense Emphasis"/>
    <w:basedOn w:val="DefaultParagraphFont"/>
    <w:uiPriority w:val="21"/>
    <w:qFormat/>
    <w:rsid w:val="00620D31"/>
    <w:rPr>
      <w:i/>
      <w:iCs/>
      <w:color w:val="0F4761" w:themeColor="accent1" w:themeShade="BF"/>
    </w:rPr>
  </w:style>
  <w:style w:type="paragraph" w:styleId="IntenseQuote">
    <w:name w:val="Intense Quote"/>
    <w:basedOn w:val="Normal"/>
    <w:next w:val="Normal"/>
    <w:link w:val="IntenseQuoteChar"/>
    <w:uiPriority w:val="30"/>
    <w:qFormat/>
    <w:rsid w:val="00620D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0D31"/>
    <w:rPr>
      <w:i/>
      <w:iCs/>
      <w:color w:val="0F4761" w:themeColor="accent1" w:themeShade="BF"/>
    </w:rPr>
  </w:style>
  <w:style w:type="character" w:styleId="IntenseReference">
    <w:name w:val="Intense Reference"/>
    <w:basedOn w:val="DefaultParagraphFont"/>
    <w:uiPriority w:val="32"/>
    <w:qFormat/>
    <w:rsid w:val="00620D31"/>
    <w:rPr>
      <w:b/>
      <w:bCs/>
      <w:smallCaps/>
      <w:color w:val="0F4761" w:themeColor="accent1" w:themeShade="BF"/>
      <w:spacing w:val="5"/>
    </w:rPr>
  </w:style>
  <w:style w:type="character" w:styleId="Hyperlink">
    <w:name w:val="Hyperlink"/>
    <w:basedOn w:val="DefaultParagraphFont"/>
    <w:uiPriority w:val="99"/>
    <w:unhideWhenUsed/>
    <w:rsid w:val="00B96587"/>
    <w:rPr>
      <w:color w:val="467886" w:themeColor="hyperlink"/>
      <w:u w:val="single"/>
    </w:rPr>
  </w:style>
  <w:style w:type="character" w:styleId="UnresolvedMention">
    <w:name w:val="Unresolved Mention"/>
    <w:basedOn w:val="DefaultParagraphFont"/>
    <w:uiPriority w:val="99"/>
    <w:semiHidden/>
    <w:unhideWhenUsed/>
    <w:rsid w:val="00B96587"/>
    <w:rPr>
      <w:color w:val="605E5C"/>
      <w:shd w:val="clear" w:color="auto" w:fill="E1DFDD"/>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9538D4"/>
    <w:pPr>
      <w:widowControl/>
      <w:spacing w:after="0" w:line="240" w:lineRule="auto"/>
    </w:pPr>
  </w:style>
  <w:style w:type="paragraph" w:styleId="Caption">
    <w:name w:val="caption"/>
    <w:basedOn w:val="Normal"/>
    <w:next w:val="Normal"/>
    <w:qFormat/>
    <w:rsid w:val="004B2F57"/>
    <w:pPr>
      <w:widowControl/>
      <w:spacing w:before="120" w:after="120" w:line="240" w:lineRule="auto"/>
    </w:pPr>
    <w:rPr>
      <w:rFonts w:ascii="Times" w:eastAsia="ＭＳ 明朝" w:hAnsi="Times" w:cs="Times New Roman"/>
      <w:b/>
      <w:kern w:val="2"/>
      <w:sz w:val="24"/>
      <w:szCs w:val="20"/>
      <w:lang w:eastAsia="en-US"/>
    </w:rPr>
  </w:style>
  <w:style w:type="paragraph" w:styleId="Header">
    <w:name w:val="header"/>
    <w:basedOn w:val="Normal"/>
    <w:link w:val="HeaderChar"/>
    <w:uiPriority w:val="99"/>
    <w:unhideWhenUsed/>
    <w:rsid w:val="002C4BAF"/>
    <w:pPr>
      <w:tabs>
        <w:tab w:val="center" w:pos="4252"/>
        <w:tab w:val="right" w:pos="8504"/>
      </w:tabs>
      <w:snapToGrid w:val="0"/>
    </w:pPr>
  </w:style>
  <w:style w:type="character" w:customStyle="1" w:styleId="HeaderChar">
    <w:name w:val="Header Char"/>
    <w:basedOn w:val="DefaultParagraphFont"/>
    <w:link w:val="Header"/>
    <w:uiPriority w:val="99"/>
    <w:rsid w:val="002C4BAF"/>
  </w:style>
  <w:style w:type="paragraph" w:styleId="Footer">
    <w:name w:val="footer"/>
    <w:basedOn w:val="Normal"/>
    <w:link w:val="FooterChar"/>
    <w:uiPriority w:val="99"/>
    <w:unhideWhenUsed/>
    <w:rsid w:val="002C4BAF"/>
    <w:pPr>
      <w:tabs>
        <w:tab w:val="center" w:pos="4252"/>
        <w:tab w:val="right" w:pos="8504"/>
      </w:tabs>
      <w:snapToGrid w:val="0"/>
    </w:pPr>
  </w:style>
  <w:style w:type="character" w:customStyle="1" w:styleId="FooterChar">
    <w:name w:val="Footer Char"/>
    <w:basedOn w:val="DefaultParagraphFont"/>
    <w:link w:val="Footer"/>
    <w:uiPriority w:val="99"/>
    <w:rsid w:val="002C4BAF"/>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4D39B6"/>
    <w:rPr>
      <w:b/>
      <w:bCs/>
    </w:rPr>
  </w:style>
  <w:style w:type="character" w:customStyle="1" w:styleId="CommentSubjectChar">
    <w:name w:val="Comment Subject Char"/>
    <w:basedOn w:val="CommentTextChar"/>
    <w:link w:val="CommentSubject"/>
    <w:uiPriority w:val="99"/>
    <w:semiHidden/>
    <w:rsid w:val="004D39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523638">
      <w:bodyDiv w:val="1"/>
      <w:marLeft w:val="0"/>
      <w:marRight w:val="0"/>
      <w:marTop w:val="0"/>
      <w:marBottom w:val="0"/>
      <w:divBdr>
        <w:top w:val="none" w:sz="0" w:space="0" w:color="auto"/>
        <w:left w:val="none" w:sz="0" w:space="0" w:color="auto"/>
        <w:bottom w:val="none" w:sz="0" w:space="0" w:color="auto"/>
        <w:right w:val="none" w:sz="0" w:space="0" w:color="auto"/>
      </w:divBdr>
    </w:div>
    <w:div w:id="1853370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y6Ht3VUw0k+VhCtRTtgL7wGLMg==">CgMxLjA4AHIhMWNiMmNMOXliZ0Q0bjdsR0dpMGpzWDdoNkU1Q1dVSnZR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哲也 山田</dc:creator>
  <cp:lastModifiedBy>bishnu choudhary</cp:lastModifiedBy>
  <cp:revision>8</cp:revision>
  <dcterms:created xsi:type="dcterms:W3CDTF">2024-11-10T22:46:00Z</dcterms:created>
  <dcterms:modified xsi:type="dcterms:W3CDTF">2024-12-22T15:40:00Z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20724e151eade59fde8177f00ccf417a12b3e5686003d0890c346e3737600b4a</vt:lpwstr>
  </property>
</Properties>
</file>