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C19C" w14:textId="51778EA8" w:rsidR="007F2346" w:rsidRPr="00FF75BF" w:rsidRDefault="007F2346">
      <w:pPr>
        <w:rPr>
          <w:rFonts w:ascii="Times New Roman" w:hAnsi="Times New Roman" w:cs="Times New Roman"/>
          <w:b/>
        </w:rPr>
      </w:pPr>
      <w:r w:rsidRPr="00FF75BF">
        <w:rPr>
          <w:rFonts w:ascii="Times New Roman" w:hAnsi="Times New Roman" w:cs="Times New Roman"/>
          <w:b/>
        </w:rPr>
        <w:t>Supplementary Table 4. Grading of evidence for the association of CMR parameters in patients treated with SGLT2i.</w:t>
      </w:r>
    </w:p>
    <w:tbl>
      <w:tblPr>
        <w:tblStyle w:val="a0"/>
        <w:tblpPr w:leftFromText="141" w:rightFromText="141" w:vertAnchor="page" w:horzAnchor="margin" w:tblpY="336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"/>
        <w:gridCol w:w="1430"/>
        <w:gridCol w:w="1157"/>
        <w:gridCol w:w="1196"/>
        <w:gridCol w:w="1301"/>
        <w:gridCol w:w="1258"/>
        <w:gridCol w:w="1517"/>
        <w:gridCol w:w="1390"/>
      </w:tblGrid>
      <w:tr w:rsidR="007F2346" w:rsidRPr="00D72CAD" w14:paraId="771C047C" w14:textId="77777777" w:rsidTr="007F2346">
        <w:trPr>
          <w:trHeight w:val="552"/>
        </w:trPr>
        <w:tc>
          <w:tcPr>
            <w:tcW w:w="8811" w:type="dxa"/>
            <w:gridSpan w:val="7"/>
          </w:tcPr>
          <w:p w14:paraId="7962CE8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Certainty assessment</w:t>
            </w:r>
          </w:p>
        </w:tc>
        <w:tc>
          <w:tcPr>
            <w:tcW w:w="1390" w:type="dxa"/>
            <w:vMerge w:val="restart"/>
          </w:tcPr>
          <w:p w14:paraId="5E9AE3A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Certainty</w:t>
            </w:r>
          </w:p>
        </w:tc>
      </w:tr>
      <w:tr w:rsidR="007F2346" w:rsidRPr="00D72CAD" w14:paraId="4DAF4066" w14:textId="77777777" w:rsidTr="007F2346">
        <w:tc>
          <w:tcPr>
            <w:tcW w:w="952" w:type="dxa"/>
          </w:tcPr>
          <w:p w14:paraId="08E4F732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Number of studies</w:t>
            </w:r>
          </w:p>
        </w:tc>
        <w:tc>
          <w:tcPr>
            <w:tcW w:w="1430" w:type="dxa"/>
          </w:tcPr>
          <w:p w14:paraId="52EBED17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Study design</w:t>
            </w:r>
          </w:p>
        </w:tc>
        <w:tc>
          <w:tcPr>
            <w:tcW w:w="1157" w:type="dxa"/>
          </w:tcPr>
          <w:p w14:paraId="3FF36079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Risk of bias</w:t>
            </w:r>
          </w:p>
        </w:tc>
        <w:tc>
          <w:tcPr>
            <w:tcW w:w="1196" w:type="dxa"/>
          </w:tcPr>
          <w:p w14:paraId="76C8E8FB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Inconsistency</w:t>
            </w:r>
          </w:p>
        </w:tc>
        <w:tc>
          <w:tcPr>
            <w:tcW w:w="1301" w:type="dxa"/>
          </w:tcPr>
          <w:p w14:paraId="149EDC06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Indirectness</w:t>
            </w:r>
          </w:p>
        </w:tc>
        <w:tc>
          <w:tcPr>
            <w:tcW w:w="1258" w:type="dxa"/>
          </w:tcPr>
          <w:p w14:paraId="2D6B88CE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Imprecision</w:t>
            </w:r>
          </w:p>
        </w:tc>
        <w:tc>
          <w:tcPr>
            <w:tcW w:w="1517" w:type="dxa"/>
          </w:tcPr>
          <w:p w14:paraId="116C0A46" w14:textId="77777777" w:rsidR="007F2346" w:rsidRPr="00D72CAD" w:rsidRDefault="007F2346" w:rsidP="007F23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  <w:sz w:val="22"/>
                <w:szCs w:val="22"/>
              </w:rPr>
              <w:t>Other considerations</w:t>
            </w:r>
          </w:p>
        </w:tc>
        <w:tc>
          <w:tcPr>
            <w:tcW w:w="1390" w:type="dxa"/>
            <w:vMerge/>
          </w:tcPr>
          <w:p w14:paraId="78D2E52F" w14:textId="77777777" w:rsidR="007F2346" w:rsidRPr="00D72CAD" w:rsidRDefault="007F2346" w:rsidP="007F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F2346" w:rsidRPr="00D72CAD" w14:paraId="41050B9B" w14:textId="77777777" w:rsidTr="007F2346">
        <w:trPr>
          <w:trHeight w:val="458"/>
        </w:trPr>
        <w:tc>
          <w:tcPr>
            <w:tcW w:w="10201" w:type="dxa"/>
            <w:gridSpan w:val="8"/>
          </w:tcPr>
          <w:p w14:paraId="57465A5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LVEDV</w:t>
            </w:r>
          </w:p>
        </w:tc>
      </w:tr>
      <w:tr w:rsidR="007F2346" w:rsidRPr="00D72CAD" w14:paraId="1C14BC71" w14:textId="77777777" w:rsidTr="007F2346">
        <w:tc>
          <w:tcPr>
            <w:tcW w:w="952" w:type="dxa"/>
          </w:tcPr>
          <w:p w14:paraId="799B1C2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30" w:type="dxa"/>
          </w:tcPr>
          <w:p w14:paraId="4E935AF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06154698" w14:textId="77777777" w:rsidR="007F2346" w:rsidRPr="00D72CAD" w:rsidRDefault="007F2346" w:rsidP="007F2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  <w:p w14:paraId="7941E3A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7" w:type="dxa"/>
          </w:tcPr>
          <w:p w14:paraId="6FC82F0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6DBFF40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7801B96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58" w:type="dxa"/>
          </w:tcPr>
          <w:p w14:paraId="7533D22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6011311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0E9588B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AFBA336" wp14:editId="62B117F8">
                  <wp:extent cx="745490" cy="173355"/>
                  <wp:effectExtent l="0" t="0" r="0" b="0"/>
                  <wp:docPr id="19992167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A9A46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7B54D395" w14:textId="77777777" w:rsidTr="007F2346">
        <w:tc>
          <w:tcPr>
            <w:tcW w:w="10201" w:type="dxa"/>
            <w:gridSpan w:val="8"/>
          </w:tcPr>
          <w:p w14:paraId="628DF74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LVESV</w:t>
            </w:r>
          </w:p>
        </w:tc>
      </w:tr>
      <w:tr w:rsidR="007F2346" w:rsidRPr="00D72CAD" w14:paraId="336211AB" w14:textId="77777777" w:rsidTr="007F2346">
        <w:tc>
          <w:tcPr>
            <w:tcW w:w="952" w:type="dxa"/>
          </w:tcPr>
          <w:p w14:paraId="0045E515" w14:textId="5996E9A2" w:rsidR="007F2346" w:rsidRPr="00D72CAD" w:rsidRDefault="006D66AE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30" w:type="dxa"/>
          </w:tcPr>
          <w:p w14:paraId="147203F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750ECA15" w14:textId="77777777" w:rsidR="007F2346" w:rsidRPr="00D72CAD" w:rsidRDefault="007F2346" w:rsidP="007F2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  <w:p w14:paraId="536B8E6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7" w:type="dxa"/>
          </w:tcPr>
          <w:p w14:paraId="604304B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0618F7F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06EE630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0259CD4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4A24C61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7FCFCA5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EF17EA1" wp14:editId="5193B1CA">
                  <wp:extent cx="745490" cy="173355"/>
                  <wp:effectExtent l="0" t="0" r="0" b="0"/>
                  <wp:docPr id="199921678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91D9E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1C7A13DC" w14:textId="77777777" w:rsidTr="007F2346">
        <w:tc>
          <w:tcPr>
            <w:tcW w:w="10201" w:type="dxa"/>
            <w:gridSpan w:val="8"/>
          </w:tcPr>
          <w:p w14:paraId="544CAC4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LVEDVi</w:t>
            </w:r>
          </w:p>
        </w:tc>
      </w:tr>
      <w:tr w:rsidR="007F2346" w:rsidRPr="00D72CAD" w14:paraId="20997AD0" w14:textId="77777777" w:rsidTr="007F2346">
        <w:tc>
          <w:tcPr>
            <w:tcW w:w="952" w:type="dxa"/>
          </w:tcPr>
          <w:p w14:paraId="1258A04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30" w:type="dxa"/>
          </w:tcPr>
          <w:p w14:paraId="6D08ECC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0A7152BC" w14:textId="77777777" w:rsidR="007F2346" w:rsidRPr="00D72CAD" w:rsidRDefault="007F2346" w:rsidP="007F2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387FBD1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1786813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1E18BF2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366910C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77B5A08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0DDCF72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A188147" wp14:editId="0924540B">
                  <wp:extent cx="745490" cy="173355"/>
                  <wp:effectExtent l="0" t="0" r="0" b="0"/>
                  <wp:docPr id="19992167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03246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6AC7DD02" w14:textId="77777777" w:rsidTr="007F2346">
        <w:tc>
          <w:tcPr>
            <w:tcW w:w="10201" w:type="dxa"/>
            <w:gridSpan w:val="8"/>
          </w:tcPr>
          <w:p w14:paraId="3B0931C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LVESVi</w:t>
            </w:r>
          </w:p>
        </w:tc>
      </w:tr>
      <w:tr w:rsidR="007F2346" w:rsidRPr="00D72CAD" w14:paraId="3BF033A9" w14:textId="77777777" w:rsidTr="007F2346">
        <w:tc>
          <w:tcPr>
            <w:tcW w:w="952" w:type="dxa"/>
          </w:tcPr>
          <w:p w14:paraId="107692A3" w14:textId="404DA867" w:rsidR="007F2346" w:rsidRPr="00D72CAD" w:rsidRDefault="00DD6F7E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30" w:type="dxa"/>
          </w:tcPr>
          <w:p w14:paraId="2FE422E6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5E1BA76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65F2BA3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2BDEC3F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1C10E1D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4EB4489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7551F37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63F60CE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1B8D5E7" wp14:editId="3AF2E9B1">
                  <wp:extent cx="745490" cy="173355"/>
                  <wp:effectExtent l="0" t="0" r="0" b="0"/>
                  <wp:docPr id="199921679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5A9AC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130408F1" w14:textId="77777777" w:rsidTr="007F2346">
        <w:tc>
          <w:tcPr>
            <w:tcW w:w="10201" w:type="dxa"/>
            <w:gridSpan w:val="8"/>
          </w:tcPr>
          <w:p w14:paraId="08FAA7C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LVM</w:t>
            </w:r>
          </w:p>
        </w:tc>
      </w:tr>
      <w:tr w:rsidR="007F2346" w:rsidRPr="00D72CAD" w14:paraId="7AE4D393" w14:textId="77777777" w:rsidTr="007F2346">
        <w:tc>
          <w:tcPr>
            <w:tcW w:w="952" w:type="dxa"/>
          </w:tcPr>
          <w:p w14:paraId="1CD7B22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30" w:type="dxa"/>
          </w:tcPr>
          <w:p w14:paraId="19D99F1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4CB9F06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14497E16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 xml:space="preserve">Some concern </w:t>
            </w:r>
          </w:p>
        </w:tc>
        <w:tc>
          <w:tcPr>
            <w:tcW w:w="1196" w:type="dxa"/>
          </w:tcPr>
          <w:p w14:paraId="6276C87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01F5591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58" w:type="dxa"/>
          </w:tcPr>
          <w:p w14:paraId="3C67BBB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72995F0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00E08B6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3FBFEEC" wp14:editId="456F727C">
                  <wp:extent cx="745490" cy="173355"/>
                  <wp:effectExtent l="0" t="0" r="0" b="0"/>
                  <wp:docPr id="199921678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51D1A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03302F4E" w14:textId="77777777" w:rsidTr="007F2346">
        <w:tc>
          <w:tcPr>
            <w:tcW w:w="10201" w:type="dxa"/>
            <w:gridSpan w:val="8"/>
          </w:tcPr>
          <w:p w14:paraId="3795A6E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LVMi</w:t>
            </w:r>
          </w:p>
        </w:tc>
      </w:tr>
      <w:tr w:rsidR="007F2346" w:rsidRPr="00D72CAD" w14:paraId="2584BD74" w14:textId="77777777" w:rsidTr="007F2346">
        <w:tc>
          <w:tcPr>
            <w:tcW w:w="952" w:type="dxa"/>
          </w:tcPr>
          <w:p w14:paraId="6A9378D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30" w:type="dxa"/>
          </w:tcPr>
          <w:p w14:paraId="368F77B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38F1A83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29CFFB7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 xml:space="preserve">Some concern </w:t>
            </w:r>
          </w:p>
        </w:tc>
        <w:tc>
          <w:tcPr>
            <w:tcW w:w="1196" w:type="dxa"/>
          </w:tcPr>
          <w:p w14:paraId="2AEDB1E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7BCEF04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58" w:type="dxa"/>
          </w:tcPr>
          <w:p w14:paraId="4CE52D0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0EFC95B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0B09891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F87D536" wp14:editId="790B7478">
                  <wp:extent cx="745490" cy="173355"/>
                  <wp:effectExtent l="0" t="0" r="0" b="0"/>
                  <wp:docPr id="199921679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DC325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6697E68C" w14:textId="77777777" w:rsidTr="007F2346">
        <w:tc>
          <w:tcPr>
            <w:tcW w:w="10201" w:type="dxa"/>
            <w:gridSpan w:val="8"/>
          </w:tcPr>
          <w:p w14:paraId="7064D04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LVEF</w:t>
            </w:r>
          </w:p>
        </w:tc>
      </w:tr>
      <w:tr w:rsidR="007F2346" w:rsidRPr="00D72CAD" w14:paraId="3E4DC15A" w14:textId="77777777" w:rsidTr="007F2346">
        <w:tc>
          <w:tcPr>
            <w:tcW w:w="952" w:type="dxa"/>
          </w:tcPr>
          <w:p w14:paraId="6C747B1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30" w:type="dxa"/>
          </w:tcPr>
          <w:p w14:paraId="4BA4548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7A4C0AC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5246233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67C12A2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7879FC3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7ACDCE1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4467B81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5A0E610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7802976" wp14:editId="1AC3761A">
                  <wp:extent cx="745490" cy="173355"/>
                  <wp:effectExtent l="0" t="0" r="0" b="0"/>
                  <wp:docPr id="199921679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AD7AD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2BDDF904" w14:textId="77777777" w:rsidTr="007F2346">
        <w:tc>
          <w:tcPr>
            <w:tcW w:w="10201" w:type="dxa"/>
            <w:gridSpan w:val="8"/>
          </w:tcPr>
          <w:p w14:paraId="47FF654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CAD">
              <w:rPr>
                <w:rFonts w:ascii="Times New Roman" w:hAnsi="Times New Roman" w:cs="Times New Roman"/>
                <w:b/>
              </w:rPr>
              <w:t>LVSV</w:t>
            </w:r>
          </w:p>
        </w:tc>
      </w:tr>
      <w:tr w:rsidR="007F2346" w:rsidRPr="00D72CAD" w14:paraId="3458ACB5" w14:textId="77777777" w:rsidTr="007F2346">
        <w:tc>
          <w:tcPr>
            <w:tcW w:w="952" w:type="dxa"/>
          </w:tcPr>
          <w:p w14:paraId="7DA6D136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14:paraId="03B4FEC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519DE87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single-center prospective studies</w:t>
            </w:r>
          </w:p>
        </w:tc>
        <w:tc>
          <w:tcPr>
            <w:tcW w:w="1157" w:type="dxa"/>
          </w:tcPr>
          <w:p w14:paraId="31EADE9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Some concern</w:t>
            </w:r>
          </w:p>
        </w:tc>
        <w:tc>
          <w:tcPr>
            <w:tcW w:w="1196" w:type="dxa"/>
          </w:tcPr>
          <w:p w14:paraId="1A6B034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1669974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6BDC77F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03F4543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4F50A9D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7967BF1" wp14:editId="431DA4BE">
                  <wp:extent cx="745490" cy="173355"/>
                  <wp:effectExtent l="0" t="0" r="0" b="0"/>
                  <wp:docPr id="199921679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9146D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4B9C0101" w14:textId="77777777" w:rsidTr="007F2346">
        <w:tc>
          <w:tcPr>
            <w:tcW w:w="10201" w:type="dxa"/>
            <w:gridSpan w:val="8"/>
          </w:tcPr>
          <w:p w14:paraId="48E6717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GLS</w:t>
            </w:r>
          </w:p>
        </w:tc>
      </w:tr>
      <w:tr w:rsidR="007F2346" w:rsidRPr="00D72CAD" w14:paraId="6CF773D6" w14:textId="77777777" w:rsidTr="007F2346">
        <w:tc>
          <w:tcPr>
            <w:tcW w:w="952" w:type="dxa"/>
          </w:tcPr>
          <w:p w14:paraId="3ADF593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14:paraId="256F0C6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303C328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106A12D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5062BB9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76C3941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48159A2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7FC711B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1300AED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345DED8" wp14:editId="0A82EBCC">
                  <wp:extent cx="745490" cy="188595"/>
                  <wp:effectExtent l="0" t="0" r="0" b="0"/>
                  <wp:docPr id="199921679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4061D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  <w:tr w:rsidR="007F2346" w:rsidRPr="00D72CAD" w14:paraId="353E198F" w14:textId="77777777" w:rsidTr="007F2346">
        <w:tc>
          <w:tcPr>
            <w:tcW w:w="10201" w:type="dxa"/>
            <w:gridSpan w:val="8"/>
          </w:tcPr>
          <w:p w14:paraId="6C23D20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LAVi</w:t>
            </w:r>
          </w:p>
        </w:tc>
      </w:tr>
      <w:tr w:rsidR="007F2346" w:rsidRPr="00D72CAD" w14:paraId="7F317F6D" w14:textId="77777777" w:rsidTr="007F2346">
        <w:tc>
          <w:tcPr>
            <w:tcW w:w="952" w:type="dxa"/>
          </w:tcPr>
          <w:p w14:paraId="2A675EE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30" w:type="dxa"/>
          </w:tcPr>
          <w:p w14:paraId="5AAFFF6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2CE71E6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3986A13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7CE3E3F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4DAC856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58" w:type="dxa"/>
          </w:tcPr>
          <w:p w14:paraId="6E863C4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2EC409D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Possible</w:t>
            </w:r>
          </w:p>
          <w:p w14:paraId="31B9B1C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1390" w:type="dxa"/>
          </w:tcPr>
          <w:p w14:paraId="3BE6F09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B9CB717" wp14:editId="2628E039">
                  <wp:extent cx="745490" cy="188595"/>
                  <wp:effectExtent l="0" t="0" r="0" b="0"/>
                  <wp:docPr id="199921679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A9D3D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  <w:tr w:rsidR="007F2346" w:rsidRPr="00D72CAD" w14:paraId="78CC2552" w14:textId="77777777" w:rsidTr="007F2346">
        <w:tc>
          <w:tcPr>
            <w:tcW w:w="10201" w:type="dxa"/>
            <w:gridSpan w:val="8"/>
          </w:tcPr>
          <w:p w14:paraId="28F2770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T1</w:t>
            </w:r>
          </w:p>
        </w:tc>
      </w:tr>
      <w:tr w:rsidR="007F2346" w:rsidRPr="00D72CAD" w14:paraId="7C7C9A21" w14:textId="77777777" w:rsidTr="007F2346">
        <w:tc>
          <w:tcPr>
            <w:tcW w:w="952" w:type="dxa"/>
          </w:tcPr>
          <w:p w14:paraId="4AC0B15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14:paraId="5D5FA4A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 and</w:t>
            </w:r>
          </w:p>
          <w:p w14:paraId="393B886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3BECE86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0A9CA37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301" w:type="dxa"/>
          </w:tcPr>
          <w:p w14:paraId="3637E33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258" w:type="dxa"/>
          </w:tcPr>
          <w:p w14:paraId="1914D72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4F8DC32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Possible</w:t>
            </w:r>
          </w:p>
          <w:p w14:paraId="0C84E24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1390" w:type="dxa"/>
          </w:tcPr>
          <w:p w14:paraId="60E8695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92EAFA5" wp14:editId="5F15049D">
                  <wp:extent cx="745490" cy="188595"/>
                  <wp:effectExtent l="0" t="0" r="0" b="0"/>
                  <wp:docPr id="199921679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1F3D3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  <w:tr w:rsidR="007F2346" w:rsidRPr="00D72CAD" w14:paraId="3DC9896D" w14:textId="77777777" w:rsidTr="007F2346">
        <w:tc>
          <w:tcPr>
            <w:tcW w:w="10201" w:type="dxa"/>
            <w:gridSpan w:val="8"/>
          </w:tcPr>
          <w:p w14:paraId="5331EFC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ECV</w:t>
            </w:r>
          </w:p>
        </w:tc>
      </w:tr>
      <w:tr w:rsidR="007F2346" w:rsidRPr="00D72CAD" w14:paraId="103B38D7" w14:textId="77777777" w:rsidTr="007F2346">
        <w:tc>
          <w:tcPr>
            <w:tcW w:w="952" w:type="dxa"/>
          </w:tcPr>
          <w:p w14:paraId="77AA016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30" w:type="dxa"/>
          </w:tcPr>
          <w:p w14:paraId="500487F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RCTs and</w:t>
            </w:r>
          </w:p>
          <w:p w14:paraId="58E1B7F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665B94B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6265E2D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301" w:type="dxa"/>
          </w:tcPr>
          <w:p w14:paraId="79BD07B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58" w:type="dxa"/>
          </w:tcPr>
          <w:p w14:paraId="63DD994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474DE94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No pubblication bias</w:t>
            </w:r>
          </w:p>
        </w:tc>
        <w:tc>
          <w:tcPr>
            <w:tcW w:w="1390" w:type="dxa"/>
          </w:tcPr>
          <w:p w14:paraId="12FAE9E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45ED34D" wp14:editId="04DD09C4">
                  <wp:extent cx="745490" cy="173355"/>
                  <wp:effectExtent l="0" t="0" r="0" b="0"/>
                  <wp:docPr id="19992167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73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EC746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</w:tr>
      <w:tr w:rsidR="007F2346" w:rsidRPr="00D72CAD" w14:paraId="65EDE8A0" w14:textId="77777777" w:rsidTr="007F2346">
        <w:tc>
          <w:tcPr>
            <w:tcW w:w="10201" w:type="dxa"/>
            <w:gridSpan w:val="8"/>
          </w:tcPr>
          <w:p w14:paraId="4B004F4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RVEDVi</w:t>
            </w:r>
          </w:p>
        </w:tc>
      </w:tr>
      <w:tr w:rsidR="007F2346" w:rsidRPr="00D72CAD" w14:paraId="49AB8F13" w14:textId="77777777" w:rsidTr="007F2346">
        <w:tc>
          <w:tcPr>
            <w:tcW w:w="952" w:type="dxa"/>
          </w:tcPr>
          <w:p w14:paraId="730224C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14:paraId="344AD52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35DFABE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60D2B759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301" w:type="dxa"/>
          </w:tcPr>
          <w:p w14:paraId="0ED0C9E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258" w:type="dxa"/>
          </w:tcPr>
          <w:p w14:paraId="7ADE13A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34A4059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Possible</w:t>
            </w:r>
          </w:p>
          <w:p w14:paraId="137766A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1390" w:type="dxa"/>
          </w:tcPr>
          <w:p w14:paraId="66AA8EC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ECC610C" wp14:editId="71B3CFB7">
                  <wp:extent cx="745490" cy="188595"/>
                  <wp:effectExtent l="0" t="0" r="0" b="0"/>
                  <wp:docPr id="199921679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344E4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  <w:tr w:rsidR="007F2346" w:rsidRPr="00D72CAD" w14:paraId="732DD71C" w14:textId="77777777" w:rsidTr="007F2346">
        <w:tc>
          <w:tcPr>
            <w:tcW w:w="10201" w:type="dxa"/>
            <w:gridSpan w:val="8"/>
          </w:tcPr>
          <w:p w14:paraId="559C95DB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RVESVi</w:t>
            </w:r>
          </w:p>
        </w:tc>
      </w:tr>
      <w:tr w:rsidR="007F2346" w:rsidRPr="00D72CAD" w14:paraId="701F4917" w14:textId="77777777" w:rsidTr="007F2346">
        <w:tc>
          <w:tcPr>
            <w:tcW w:w="952" w:type="dxa"/>
          </w:tcPr>
          <w:p w14:paraId="40A2443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14:paraId="2C207D6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7577967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07D3EFA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301" w:type="dxa"/>
          </w:tcPr>
          <w:p w14:paraId="689CC755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258" w:type="dxa"/>
          </w:tcPr>
          <w:p w14:paraId="6197EB8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1C33B09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Possible</w:t>
            </w:r>
          </w:p>
          <w:p w14:paraId="0609CE06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1390" w:type="dxa"/>
          </w:tcPr>
          <w:p w14:paraId="41316EC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A348ED4" wp14:editId="6D580B58">
                  <wp:extent cx="745490" cy="188595"/>
                  <wp:effectExtent l="0" t="0" r="0" b="0"/>
                  <wp:docPr id="199921679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72D34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  <w:tr w:rsidR="007F2346" w:rsidRPr="00D72CAD" w14:paraId="7712F66C" w14:textId="77777777" w:rsidTr="007F2346">
        <w:tc>
          <w:tcPr>
            <w:tcW w:w="10201" w:type="dxa"/>
            <w:gridSpan w:val="8"/>
          </w:tcPr>
          <w:p w14:paraId="7B43E77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RVEF</w:t>
            </w:r>
          </w:p>
        </w:tc>
      </w:tr>
      <w:tr w:rsidR="007F2346" w:rsidRPr="00D72CAD" w14:paraId="33B82069" w14:textId="77777777" w:rsidTr="007F2346">
        <w:tc>
          <w:tcPr>
            <w:tcW w:w="952" w:type="dxa"/>
          </w:tcPr>
          <w:p w14:paraId="2D8490B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14:paraId="51B14DB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1A005CE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1AF7B19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301" w:type="dxa"/>
          </w:tcPr>
          <w:p w14:paraId="2B652B93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258" w:type="dxa"/>
          </w:tcPr>
          <w:p w14:paraId="63457CF1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7BD721E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Possible</w:t>
            </w:r>
          </w:p>
          <w:p w14:paraId="073BD05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1390" w:type="dxa"/>
          </w:tcPr>
          <w:p w14:paraId="1CB563F7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5B80EE0" wp14:editId="611F9465">
                  <wp:extent cx="745490" cy="188595"/>
                  <wp:effectExtent l="0" t="0" r="0" b="0"/>
                  <wp:docPr id="199921680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C8CEF2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  <w:tr w:rsidR="007F2346" w:rsidRPr="00D72CAD" w14:paraId="1E28D31E" w14:textId="77777777" w:rsidTr="007F2346">
        <w:tc>
          <w:tcPr>
            <w:tcW w:w="10201" w:type="dxa"/>
            <w:gridSpan w:val="8"/>
          </w:tcPr>
          <w:p w14:paraId="39C037C8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b/>
              </w:rPr>
              <w:t>Pericardial fat</w:t>
            </w:r>
          </w:p>
        </w:tc>
      </w:tr>
      <w:tr w:rsidR="007F2346" w:rsidRPr="00D72CAD" w14:paraId="3DAD434D" w14:textId="77777777" w:rsidTr="007F2346">
        <w:tc>
          <w:tcPr>
            <w:tcW w:w="952" w:type="dxa"/>
          </w:tcPr>
          <w:p w14:paraId="1F37E91D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14:paraId="3EF6AE64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single-center prospective studies</w:t>
            </w:r>
          </w:p>
        </w:tc>
        <w:tc>
          <w:tcPr>
            <w:tcW w:w="1157" w:type="dxa"/>
          </w:tcPr>
          <w:p w14:paraId="188CF64A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196" w:type="dxa"/>
          </w:tcPr>
          <w:p w14:paraId="72D1450E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301" w:type="dxa"/>
          </w:tcPr>
          <w:p w14:paraId="6153118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Serious concern</w:t>
            </w:r>
          </w:p>
        </w:tc>
        <w:tc>
          <w:tcPr>
            <w:tcW w:w="1258" w:type="dxa"/>
          </w:tcPr>
          <w:p w14:paraId="4AD5954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Some concern</w:t>
            </w:r>
          </w:p>
        </w:tc>
        <w:tc>
          <w:tcPr>
            <w:tcW w:w="1517" w:type="dxa"/>
          </w:tcPr>
          <w:p w14:paraId="7ECDC2EC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Possible</w:t>
            </w:r>
          </w:p>
          <w:p w14:paraId="36BBE606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1390" w:type="dxa"/>
          </w:tcPr>
          <w:p w14:paraId="61744B9F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38CCB8C" wp14:editId="1B698012">
                  <wp:extent cx="745490" cy="188595"/>
                  <wp:effectExtent l="0" t="0" r="0" b="0"/>
                  <wp:docPr id="199921680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188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85EBA0" w14:textId="77777777" w:rsidR="007F2346" w:rsidRPr="00D72CAD" w:rsidRDefault="007F2346" w:rsidP="007F23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CAD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</w:tr>
    </w:tbl>
    <w:p w14:paraId="39FCEB16" w14:textId="77777777" w:rsidR="00D448C5" w:rsidRPr="00D72CAD" w:rsidRDefault="00D448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2239BDED" w14:textId="1BEBF96B" w:rsidR="00D448C5" w:rsidRPr="00D72C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D72CAD">
        <w:rPr>
          <w:rFonts w:ascii="Times New Roman" w:hAnsi="Times New Roman" w:cs="Times New Roman"/>
          <w:b/>
          <w:bCs/>
        </w:rPr>
        <w:t>Legend.</w:t>
      </w:r>
      <w:r w:rsidRPr="00D72CAD">
        <w:rPr>
          <w:rFonts w:ascii="Times New Roman" w:hAnsi="Times New Roman" w:cs="Times New Roman"/>
        </w:rPr>
        <w:t xml:space="preserve"> 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>LVEDV: left ventricular end-diastolic volume, LVESV: left ventricular end-systolic volume, LVEDVi: left ventricular end- diastolic volume index</w:t>
      </w:r>
      <w:r w:rsidR="00D72CAD"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>, LVESVi: left</w:t>
      </w:r>
      <w:r w:rsidRPr="00D72CAD">
        <w:rPr>
          <w:rFonts w:ascii="Times New Roman" w:hAnsi="Times New Roman" w:cs="Times New Roman"/>
          <w:sz w:val="20"/>
          <w:szCs w:val="20"/>
        </w:rPr>
        <w:t xml:space="preserve"> 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>ventricular end-systolic volume index</w:t>
      </w:r>
      <w:r w:rsidR="00D72CAD"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>, LVM: left ventricular mass;LVMi: left ventricular mass</w:t>
      </w:r>
      <w:r w:rsidR="00D72C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2CAD" w:rsidRPr="00D72CAD">
        <w:rPr>
          <w:rFonts w:ascii="Times New Roman" w:hAnsi="Times New Roman" w:cs="Times New Roman"/>
          <w:color w:val="000000"/>
          <w:sz w:val="20"/>
          <w:szCs w:val="20"/>
        </w:rPr>
        <w:t>index</w:t>
      </w:r>
      <w:r w:rsidR="00D72CAD"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>, LVSV: left ventricular stroke volume; GLS: global longitudinal strain; LVEF: left ventricular ejection fraction, LAVi: left atrial volume index</w:t>
      </w:r>
      <w:r w:rsidR="00D72CAD"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 xml:space="preserve">, ECV: extracellular volume, RVEDVi: right ventricular end- diastolic volume </w:t>
      </w:r>
      <w:r w:rsidR="00E842CE" w:rsidRPr="00D72CAD">
        <w:rPr>
          <w:rFonts w:ascii="Times New Roman" w:hAnsi="Times New Roman" w:cs="Times New Roman"/>
          <w:sz w:val="20"/>
          <w:szCs w:val="20"/>
        </w:rPr>
        <w:t>index</w:t>
      </w:r>
      <w:r w:rsidR="00D72CAD">
        <w:rPr>
          <w:rFonts w:ascii="Times New Roman" w:hAnsi="Times New Roman" w:cs="Times New Roman"/>
          <w:sz w:val="20"/>
          <w:szCs w:val="20"/>
        </w:rPr>
        <w:t>ed</w:t>
      </w:r>
      <w:r w:rsidRPr="00D72CAD">
        <w:rPr>
          <w:rFonts w:ascii="Times New Roman" w:hAnsi="Times New Roman" w:cs="Times New Roman"/>
          <w:sz w:val="20"/>
          <w:szCs w:val="20"/>
        </w:rPr>
        <w:t>,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 xml:space="preserve"> RVESVi: right ventricular end- systolic volume </w:t>
      </w:r>
      <w:r w:rsidRPr="00D72CAD">
        <w:rPr>
          <w:rFonts w:ascii="Times New Roman" w:hAnsi="Times New Roman" w:cs="Times New Roman"/>
          <w:sz w:val="20"/>
          <w:szCs w:val="20"/>
        </w:rPr>
        <w:t>index</w:t>
      </w:r>
      <w:r w:rsidR="00D72CAD">
        <w:rPr>
          <w:rFonts w:ascii="Times New Roman" w:hAnsi="Times New Roman" w:cs="Times New Roman"/>
          <w:sz w:val="20"/>
          <w:szCs w:val="20"/>
        </w:rPr>
        <w:t>ed</w:t>
      </w:r>
      <w:r w:rsidRPr="00D72C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C37E3CC" w14:textId="77777777" w:rsidR="00D448C5" w:rsidRPr="00D72CAD" w:rsidRDefault="00D448C5">
      <w:pPr>
        <w:rPr>
          <w:rFonts w:ascii="Times New Roman" w:hAnsi="Times New Roman" w:cs="Times New Roman"/>
        </w:rPr>
      </w:pPr>
    </w:p>
    <w:sectPr w:rsidR="00D448C5" w:rsidRPr="00D72CAD">
      <w:headerReference w:type="default" r:id="rId9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BCE6" w14:textId="77777777" w:rsidR="003501E4" w:rsidRDefault="003501E4">
      <w:r>
        <w:separator/>
      </w:r>
    </w:p>
  </w:endnote>
  <w:endnote w:type="continuationSeparator" w:id="0">
    <w:p w14:paraId="372A8A69" w14:textId="77777777" w:rsidR="003501E4" w:rsidRDefault="003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F07" w14:textId="77777777" w:rsidR="003501E4" w:rsidRDefault="003501E4">
      <w:r>
        <w:separator/>
      </w:r>
    </w:p>
  </w:footnote>
  <w:footnote w:type="continuationSeparator" w:id="0">
    <w:p w14:paraId="138E9966" w14:textId="77777777" w:rsidR="003501E4" w:rsidRDefault="0035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286C" w14:textId="77777777" w:rsidR="00D448C5" w:rsidRDefault="00D448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C5"/>
    <w:rsid w:val="0003390F"/>
    <w:rsid w:val="0013281D"/>
    <w:rsid w:val="003501E4"/>
    <w:rsid w:val="0038472F"/>
    <w:rsid w:val="003B6B2C"/>
    <w:rsid w:val="006672F4"/>
    <w:rsid w:val="006D66AE"/>
    <w:rsid w:val="007B032F"/>
    <w:rsid w:val="007F2346"/>
    <w:rsid w:val="00AE5C45"/>
    <w:rsid w:val="00C4216B"/>
    <w:rsid w:val="00D448C5"/>
    <w:rsid w:val="00D72CAD"/>
    <w:rsid w:val="00DD6F7E"/>
    <w:rsid w:val="00E753EF"/>
    <w:rsid w:val="00E842CE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60DD"/>
  <w15:docId w15:val="{1D42F42D-1879-F348-A3DF-EABDB91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F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508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E3B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BF7"/>
  </w:style>
  <w:style w:type="paragraph" w:styleId="Pidipagina">
    <w:name w:val="footer"/>
    <w:basedOn w:val="Normale"/>
    <w:link w:val="PidipaginaCarattere"/>
    <w:uiPriority w:val="99"/>
    <w:unhideWhenUsed/>
    <w:rsid w:val="00CE3B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BF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VS7UFoTDFVnpq/qJNxGLA6arQ==">CgMxLjA4AHIhMTZ3V3l4azBWekVjVGlyTXpjS09MSl9JYVJyWWRUOVct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dcterms:created xsi:type="dcterms:W3CDTF">2025-05-22T10:33:00Z</dcterms:created>
  <dcterms:modified xsi:type="dcterms:W3CDTF">2025-05-29T14:57:00Z</dcterms:modified>
</cp:coreProperties>
</file>