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FE05" w14:textId="77777777" w:rsidR="005C118F" w:rsidRPr="00D14B84" w:rsidRDefault="005C118F" w:rsidP="005C118F">
      <w:pPr>
        <w:widowControl w:val="0"/>
        <w:autoSpaceDE w:val="0"/>
        <w:autoSpaceDN w:val="0"/>
        <w:adjustRightInd w:val="0"/>
        <w:spacing w:line="240" w:lineRule="auto"/>
        <w:ind w:left="480" w:hanging="480"/>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APPENDIX A: SUPPORTING INFORMATION</w:t>
      </w:r>
    </w:p>
    <w:p w14:paraId="5064F35C" w14:textId="77777777" w:rsidR="005C118F" w:rsidRPr="00D14B84" w:rsidRDefault="005C118F" w:rsidP="005C118F">
      <w:pPr>
        <w:jc w:val="center"/>
        <w:rPr>
          <w:rFonts w:ascii="Times New Roman" w:hAnsi="Times New Roman" w:cs="Times New Roman"/>
          <w:b/>
          <w:sz w:val="24"/>
          <w:szCs w:val="24"/>
          <w:lang w:val="en-GB"/>
        </w:rPr>
      </w:pPr>
      <w:r w:rsidRPr="00D14B84">
        <w:rPr>
          <w:rFonts w:ascii="Times New Roman" w:hAnsi="Times New Roman" w:cs="Times New Roman"/>
          <w:b/>
          <w:sz w:val="24"/>
          <w:szCs w:val="24"/>
          <w:lang w:val="en-GB"/>
        </w:rPr>
        <w:t>Cumulative probability plot of cancer risk assessment using MCS</w:t>
      </w:r>
    </w:p>
    <w:p w14:paraId="4BD8FFB1" w14:textId="77777777" w:rsidR="005C118F" w:rsidRPr="00D14B84" w:rsidRDefault="005C118F" w:rsidP="005C118F">
      <w:pPr>
        <w:autoSpaceDE w:val="0"/>
        <w:autoSpaceDN w:val="0"/>
        <w:adjustRightInd w:val="0"/>
        <w:spacing w:after="0" w:line="240" w:lineRule="auto"/>
        <w:jc w:val="both"/>
        <w:rPr>
          <w:rFonts w:cs="Times New Roman"/>
          <w:noProof/>
          <w:color w:val="222222"/>
          <w:szCs w:val="24"/>
          <w:shd w:val="clear" w:color="auto" w:fill="FFFFFF"/>
          <w:lang w:val="en-GB"/>
        </w:rPr>
      </w:pPr>
      <w:r w:rsidRPr="00D14B84">
        <w:rPr>
          <w:rFonts w:cs="Times New Roman"/>
          <w:noProof/>
          <w:color w:val="222222"/>
          <w:szCs w:val="24"/>
          <w:shd w:val="clear" w:color="auto" w:fill="FFFFFF"/>
        </w:rPr>
        <w:drawing>
          <wp:inline distT="0" distB="0" distL="0" distR="0" wp14:anchorId="21B23417" wp14:editId="4C851F8F">
            <wp:extent cx="2887980" cy="2567940"/>
            <wp:effectExtent l="0" t="0" r="7620" b="3810"/>
            <wp:docPr id="264730665" name="Picture 264730665" descr="AM_Onio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_Onion_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7980" cy="2567940"/>
                    </a:xfrm>
                    <a:prstGeom prst="rect">
                      <a:avLst/>
                    </a:prstGeom>
                    <a:noFill/>
                    <a:ln>
                      <a:noFill/>
                    </a:ln>
                  </pic:spPr>
                </pic:pic>
              </a:graphicData>
            </a:graphic>
          </wp:inline>
        </w:drawing>
      </w:r>
      <w:r w:rsidRPr="00D14B84">
        <w:rPr>
          <w:rFonts w:cs="Times New Roman"/>
          <w:noProof/>
          <w:color w:val="222222"/>
          <w:szCs w:val="24"/>
          <w:shd w:val="clear" w:color="auto" w:fill="FFFFFF"/>
          <w:lang w:val="en-GB"/>
        </w:rPr>
        <w:t xml:space="preserve"> </w:t>
      </w:r>
      <w:r w:rsidRPr="00D14B84">
        <w:rPr>
          <w:rFonts w:cs="Times New Roman"/>
          <w:noProof/>
          <w:szCs w:val="24"/>
        </w:rPr>
        <w:drawing>
          <wp:inline distT="0" distB="0" distL="0" distR="0" wp14:anchorId="2A189C8C" wp14:editId="0D3A7A68">
            <wp:extent cx="2974340" cy="2567940"/>
            <wp:effectExtent l="0" t="0" r="0" b="3810"/>
            <wp:docPr id="264730658" name="Picture 264730658" descr="AF_Onion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_Onion_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7539" cy="2587969"/>
                    </a:xfrm>
                    <a:prstGeom prst="rect">
                      <a:avLst/>
                    </a:prstGeom>
                    <a:noFill/>
                    <a:ln>
                      <a:noFill/>
                    </a:ln>
                  </pic:spPr>
                </pic:pic>
              </a:graphicData>
            </a:graphic>
          </wp:inline>
        </w:drawing>
      </w:r>
    </w:p>
    <w:p w14:paraId="5ED5F906" w14:textId="77777777" w:rsidR="005C118F" w:rsidRPr="00D14B84" w:rsidRDefault="005C118F" w:rsidP="005C118F">
      <w:pPr>
        <w:autoSpaceDE w:val="0"/>
        <w:autoSpaceDN w:val="0"/>
        <w:adjustRightInd w:val="0"/>
        <w:spacing w:after="0" w:line="240" w:lineRule="auto"/>
        <w:jc w:val="both"/>
        <w:rPr>
          <w:rFonts w:cs="Times New Roman"/>
          <w:noProof/>
          <w:color w:val="222222"/>
          <w:szCs w:val="24"/>
          <w:shd w:val="clear" w:color="auto" w:fill="FFFFFF"/>
          <w:lang w:val="en-GB"/>
        </w:rPr>
      </w:pPr>
      <w:r w:rsidRPr="00D14B84">
        <w:rPr>
          <w:rFonts w:cs="Times New Roman"/>
          <w:noProof/>
          <w:color w:val="222222"/>
          <w:szCs w:val="24"/>
          <w:shd w:val="clear" w:color="auto" w:fill="FFFFFF"/>
          <w:lang w:val="en-GB"/>
        </w:rPr>
        <w:t xml:space="preserve"> </w:t>
      </w:r>
      <w:r w:rsidRPr="00D14B84">
        <w:rPr>
          <w:rFonts w:cs="Times New Roman"/>
          <w:noProof/>
          <w:color w:val="222222"/>
          <w:szCs w:val="24"/>
          <w:shd w:val="clear" w:color="auto" w:fill="FFFFFF"/>
        </w:rPr>
        <w:drawing>
          <wp:inline distT="0" distB="0" distL="0" distR="0" wp14:anchorId="1776AF91" wp14:editId="3F3A019A">
            <wp:extent cx="2872740" cy="2263140"/>
            <wp:effectExtent l="0" t="0" r="3810" b="3810"/>
            <wp:docPr id="264730662" name="Picture 264730662" descr="AM_Cabbag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_Cabbage_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9446" cy="2323569"/>
                    </a:xfrm>
                    <a:prstGeom prst="rect">
                      <a:avLst/>
                    </a:prstGeom>
                    <a:noFill/>
                    <a:ln>
                      <a:noFill/>
                    </a:ln>
                  </pic:spPr>
                </pic:pic>
              </a:graphicData>
            </a:graphic>
          </wp:inline>
        </w:drawing>
      </w:r>
      <w:r w:rsidRPr="00D14B84">
        <w:rPr>
          <w:rFonts w:cs="Times New Roman"/>
          <w:noProof/>
          <w:color w:val="222222"/>
          <w:szCs w:val="24"/>
          <w:shd w:val="clear" w:color="auto" w:fill="FFFFFF"/>
          <w:lang w:val="en-GB"/>
        </w:rPr>
        <w:t xml:space="preserve"> </w:t>
      </w:r>
      <w:r w:rsidRPr="00D14B84">
        <w:rPr>
          <w:rFonts w:cs="Times New Roman"/>
          <w:noProof/>
          <w:color w:val="222222"/>
          <w:szCs w:val="24"/>
          <w:shd w:val="clear" w:color="auto" w:fill="FFFFFF"/>
        </w:rPr>
        <w:drawing>
          <wp:inline distT="0" distB="0" distL="0" distR="0" wp14:anchorId="2F5C4611" wp14:editId="01F8BAD8">
            <wp:extent cx="2964180" cy="2240280"/>
            <wp:effectExtent l="0" t="0" r="7620" b="7620"/>
            <wp:docPr id="264730656" name="Picture 264730656" descr="AF_Cabbag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_Cabbage_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609" cy="2245895"/>
                    </a:xfrm>
                    <a:prstGeom prst="rect">
                      <a:avLst/>
                    </a:prstGeom>
                    <a:noFill/>
                    <a:ln>
                      <a:noFill/>
                    </a:ln>
                  </pic:spPr>
                </pic:pic>
              </a:graphicData>
            </a:graphic>
          </wp:inline>
        </w:drawing>
      </w:r>
    </w:p>
    <w:p w14:paraId="51BF3F35" w14:textId="77777777" w:rsidR="005C118F" w:rsidRPr="00D14B84" w:rsidRDefault="005C118F" w:rsidP="005C118F">
      <w:pPr>
        <w:autoSpaceDE w:val="0"/>
        <w:autoSpaceDN w:val="0"/>
        <w:adjustRightInd w:val="0"/>
        <w:spacing w:line="240" w:lineRule="auto"/>
        <w:jc w:val="both"/>
        <w:rPr>
          <w:rFonts w:cs="Times New Roman"/>
          <w:noProof/>
          <w:color w:val="222222"/>
          <w:szCs w:val="24"/>
          <w:shd w:val="clear" w:color="auto" w:fill="FFFFFF"/>
          <w:lang w:val="en-GB"/>
        </w:rPr>
      </w:pPr>
      <w:r w:rsidRPr="00D14B84">
        <w:rPr>
          <w:rFonts w:cs="Times New Roman"/>
          <w:noProof/>
          <w:szCs w:val="24"/>
        </w:rPr>
        <w:drawing>
          <wp:inline distT="0" distB="0" distL="0" distR="0" wp14:anchorId="3E249A94" wp14:editId="1D4AFCC2">
            <wp:extent cx="2887980" cy="2415540"/>
            <wp:effectExtent l="0" t="0" r="7620" b="3810"/>
            <wp:docPr id="264730660" name="Picture 264730660" descr="AM_Amaranth (dodo)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_Amaranth (dodo)_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980" cy="2415540"/>
                    </a:xfrm>
                    <a:prstGeom prst="rect">
                      <a:avLst/>
                    </a:prstGeom>
                    <a:noFill/>
                    <a:ln>
                      <a:noFill/>
                    </a:ln>
                  </pic:spPr>
                </pic:pic>
              </a:graphicData>
            </a:graphic>
          </wp:inline>
        </w:drawing>
      </w:r>
      <w:r w:rsidRPr="00D14B84">
        <w:rPr>
          <w:rFonts w:cs="Times New Roman"/>
          <w:noProof/>
          <w:color w:val="222222"/>
          <w:szCs w:val="24"/>
          <w:shd w:val="clear" w:color="auto" w:fill="FFFFFF"/>
          <w:lang w:val="en-GB"/>
        </w:rPr>
        <w:t xml:space="preserve"> </w:t>
      </w:r>
      <w:r w:rsidRPr="00D14B84">
        <w:rPr>
          <w:rFonts w:cs="Times New Roman"/>
          <w:noProof/>
          <w:color w:val="222222"/>
          <w:szCs w:val="24"/>
          <w:shd w:val="clear" w:color="auto" w:fill="FFFFFF"/>
        </w:rPr>
        <w:drawing>
          <wp:inline distT="0" distB="0" distL="0" distR="0" wp14:anchorId="60CF528D" wp14:editId="0C9ECE48">
            <wp:extent cx="3004820" cy="2377440"/>
            <wp:effectExtent l="0" t="0" r="5080" b="3810"/>
            <wp:docPr id="1420081918" name="Picture 1420081918" descr="AF_Amaranth (dodo)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_Amaranth (dodo)_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820" cy="2377440"/>
                    </a:xfrm>
                    <a:prstGeom prst="rect">
                      <a:avLst/>
                    </a:prstGeom>
                    <a:noFill/>
                    <a:ln>
                      <a:noFill/>
                    </a:ln>
                  </pic:spPr>
                </pic:pic>
              </a:graphicData>
            </a:graphic>
          </wp:inline>
        </w:drawing>
      </w:r>
      <w:r w:rsidRPr="00D14B84">
        <w:rPr>
          <w:rFonts w:cs="Times New Roman"/>
          <w:color w:val="222222"/>
          <w:szCs w:val="24"/>
          <w:shd w:val="clear" w:color="auto" w:fill="FFFFFF"/>
          <w:lang w:val="en-GB"/>
        </w:rPr>
        <w:br w:type="textWrapping" w:clear="all"/>
      </w:r>
    </w:p>
    <w:p w14:paraId="30E8C0E7" w14:textId="77777777" w:rsidR="005C118F" w:rsidRPr="00D14B84" w:rsidRDefault="005C118F" w:rsidP="005C118F">
      <w:pPr>
        <w:jc w:val="center"/>
        <w:rPr>
          <w:rFonts w:ascii="Times New Roman" w:hAnsi="Times New Roman" w:cs="Times New Roman"/>
          <w:b/>
          <w:sz w:val="24"/>
          <w:szCs w:val="24"/>
          <w:lang w:val="en-GB"/>
        </w:rPr>
      </w:pPr>
      <w:r w:rsidRPr="00D14B84">
        <w:rPr>
          <w:rFonts w:ascii="Times New Roman" w:hAnsi="Times New Roman" w:cs="Times New Roman"/>
          <w:b/>
          <w:sz w:val="24"/>
          <w:szCs w:val="24"/>
          <w:lang w:val="en-GB"/>
        </w:rPr>
        <w:lastRenderedPageBreak/>
        <w:t>Percentage sensitivity analysis of carcinogenic metals</w:t>
      </w:r>
    </w:p>
    <w:p w14:paraId="6C3D1FED" w14:textId="77777777" w:rsidR="005C118F" w:rsidRPr="00D14B84" w:rsidRDefault="005C118F" w:rsidP="005C118F">
      <w:pPr>
        <w:rPr>
          <w:rFonts w:cs="Times New Roman"/>
          <w:szCs w:val="24"/>
          <w:lang w:val="en-GB"/>
        </w:rPr>
      </w:pPr>
      <w:r w:rsidRPr="00D14B84">
        <w:rPr>
          <w:rFonts w:cs="Times New Roman"/>
          <w:noProof/>
          <w:szCs w:val="24"/>
        </w:rPr>
        <w:drawing>
          <wp:inline distT="0" distB="0" distL="0" distR="0" wp14:anchorId="435C5894" wp14:editId="48BEF6FD">
            <wp:extent cx="294894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sitivity AM_Cabbage_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2491740"/>
                    </a:xfrm>
                    <a:prstGeom prst="rect">
                      <a:avLst/>
                    </a:prstGeom>
                  </pic:spPr>
                </pic:pic>
              </a:graphicData>
            </a:graphic>
          </wp:inline>
        </w:drawing>
      </w:r>
      <w:r w:rsidRPr="00D14B84">
        <w:rPr>
          <w:rFonts w:cs="Times New Roman"/>
          <w:noProof/>
          <w:szCs w:val="24"/>
          <w:lang w:val="en-GB"/>
        </w:rPr>
        <w:t xml:space="preserve"> </w:t>
      </w:r>
      <w:r w:rsidRPr="00D14B84">
        <w:rPr>
          <w:rFonts w:cs="Times New Roman"/>
          <w:noProof/>
          <w:szCs w:val="24"/>
        </w:rPr>
        <w:drawing>
          <wp:inline distT="0" distB="0" distL="0" distR="0" wp14:anchorId="61161DDA" wp14:editId="28841B26">
            <wp:extent cx="2946400" cy="24917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sitivity AF_Cabbage_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2491740"/>
                    </a:xfrm>
                    <a:prstGeom prst="rect">
                      <a:avLst/>
                    </a:prstGeom>
                  </pic:spPr>
                </pic:pic>
              </a:graphicData>
            </a:graphic>
          </wp:inline>
        </w:drawing>
      </w:r>
    </w:p>
    <w:p w14:paraId="7FFEC845" w14:textId="77777777" w:rsidR="005C118F" w:rsidRPr="00D14B84" w:rsidRDefault="005C118F" w:rsidP="005C118F">
      <w:pPr>
        <w:rPr>
          <w:rFonts w:cs="Times New Roman"/>
          <w:szCs w:val="24"/>
          <w:lang w:val="en-GB"/>
        </w:rPr>
      </w:pPr>
      <w:r w:rsidRPr="00D14B84">
        <w:rPr>
          <w:rFonts w:cs="Times New Roman"/>
          <w:noProof/>
          <w:szCs w:val="24"/>
        </w:rPr>
        <w:drawing>
          <wp:inline distT="0" distB="0" distL="0" distR="0" wp14:anchorId="6F124A4F" wp14:editId="2BB999CF">
            <wp:extent cx="2956560" cy="240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itivity AM_Amaranth (dodo)_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60" cy="2407920"/>
                    </a:xfrm>
                    <a:prstGeom prst="rect">
                      <a:avLst/>
                    </a:prstGeom>
                  </pic:spPr>
                </pic:pic>
              </a:graphicData>
            </a:graphic>
          </wp:inline>
        </w:drawing>
      </w:r>
      <w:r w:rsidRPr="00D14B84">
        <w:rPr>
          <w:rFonts w:cs="Times New Roman"/>
          <w:noProof/>
          <w:szCs w:val="24"/>
          <w:lang w:val="en-GB"/>
        </w:rPr>
        <w:t xml:space="preserve"> </w:t>
      </w:r>
      <w:r w:rsidRPr="00D14B84">
        <w:rPr>
          <w:rFonts w:cs="Times New Roman"/>
          <w:noProof/>
          <w:szCs w:val="24"/>
        </w:rPr>
        <w:drawing>
          <wp:inline distT="0" distB="0" distL="0" distR="0" wp14:anchorId="0A4E5D43" wp14:editId="7B5C9C9E">
            <wp:extent cx="2948940" cy="24155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sitivity AF_Amaranth (dodo)_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2415540"/>
                    </a:xfrm>
                    <a:prstGeom prst="rect">
                      <a:avLst/>
                    </a:prstGeom>
                  </pic:spPr>
                </pic:pic>
              </a:graphicData>
            </a:graphic>
          </wp:inline>
        </w:drawing>
      </w:r>
    </w:p>
    <w:p w14:paraId="6C5604F6" w14:textId="77777777" w:rsidR="005C118F" w:rsidRPr="00D14B84" w:rsidRDefault="005C118F" w:rsidP="005C118F">
      <w:pPr>
        <w:rPr>
          <w:rFonts w:cs="Times New Roman"/>
          <w:noProof/>
          <w:szCs w:val="24"/>
          <w:lang w:val="en-GB"/>
        </w:rPr>
      </w:pPr>
      <w:r w:rsidRPr="00D14B84">
        <w:rPr>
          <w:rFonts w:cs="Times New Roman"/>
          <w:noProof/>
          <w:szCs w:val="24"/>
        </w:rPr>
        <w:drawing>
          <wp:inline distT="0" distB="0" distL="0" distR="0" wp14:anchorId="2AF14BF7" wp14:editId="05FC123C">
            <wp:extent cx="2933700" cy="2537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sitivity AM_Onion_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537460"/>
                    </a:xfrm>
                    <a:prstGeom prst="rect">
                      <a:avLst/>
                    </a:prstGeom>
                  </pic:spPr>
                </pic:pic>
              </a:graphicData>
            </a:graphic>
          </wp:inline>
        </w:drawing>
      </w:r>
      <w:r w:rsidRPr="00D14B84">
        <w:rPr>
          <w:rFonts w:cs="Times New Roman"/>
          <w:noProof/>
          <w:szCs w:val="24"/>
          <w:lang w:val="en-GB"/>
        </w:rPr>
        <w:t xml:space="preserve"> </w:t>
      </w:r>
      <w:r w:rsidRPr="00D14B84">
        <w:rPr>
          <w:rFonts w:cs="Times New Roman"/>
          <w:noProof/>
          <w:szCs w:val="24"/>
        </w:rPr>
        <w:drawing>
          <wp:inline distT="0" distB="0" distL="0" distR="0" wp14:anchorId="3254308F" wp14:editId="62D7B098">
            <wp:extent cx="2964180" cy="25527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sitivity AF_Onions_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4180" cy="2552700"/>
                    </a:xfrm>
                    <a:prstGeom prst="rect">
                      <a:avLst/>
                    </a:prstGeom>
                  </pic:spPr>
                </pic:pic>
              </a:graphicData>
            </a:graphic>
          </wp:inline>
        </w:drawing>
      </w:r>
    </w:p>
    <w:p w14:paraId="3B0941FC" w14:textId="77777777" w:rsidR="005C118F" w:rsidRPr="00D14B84" w:rsidRDefault="005C118F" w:rsidP="005C118F">
      <w:pPr>
        <w:spacing w:after="0" w:line="240" w:lineRule="auto"/>
        <w:jc w:val="both"/>
        <w:rPr>
          <w:rFonts w:ascii="Times New Roman" w:hAnsi="Times New Roman" w:cs="Times New Roman"/>
          <w:b/>
          <w:bCs/>
          <w:sz w:val="24"/>
          <w:szCs w:val="24"/>
          <w:lang w:val="en-GB"/>
        </w:rPr>
      </w:pPr>
      <w:r w:rsidRPr="00D14B84">
        <w:rPr>
          <w:rFonts w:ascii="Times New Roman" w:hAnsi="Times New Roman" w:cs="Times New Roman"/>
          <w:b/>
          <w:bCs/>
          <w:sz w:val="24"/>
          <w:szCs w:val="24"/>
          <w:lang w:val="en-GB"/>
        </w:rPr>
        <w:lastRenderedPageBreak/>
        <w:t>Table S1: Reference oral doses used for health risk assessment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309"/>
        <w:gridCol w:w="2491"/>
      </w:tblGrid>
      <w:tr w:rsidR="005C118F" w:rsidRPr="00D14B84" w14:paraId="5EA4B816" w14:textId="77777777" w:rsidTr="00F82EBB">
        <w:tc>
          <w:tcPr>
            <w:tcW w:w="2421" w:type="dxa"/>
            <w:tcBorders>
              <w:bottom w:val="single" w:sz="4" w:space="0" w:color="auto"/>
            </w:tcBorders>
          </w:tcPr>
          <w:p w14:paraId="6D353AAF" w14:textId="77777777" w:rsidR="005C118F" w:rsidRPr="00D14B84" w:rsidRDefault="005C118F" w:rsidP="00F82EBB">
            <w:pPr>
              <w:jc w:val="both"/>
              <w:rPr>
                <w:rFonts w:ascii="Times New Roman" w:hAnsi="Times New Roman" w:cs="Times New Roman"/>
                <w:b/>
                <w:bCs/>
                <w:sz w:val="24"/>
                <w:szCs w:val="24"/>
                <w:lang w:val="en-GB"/>
              </w:rPr>
            </w:pPr>
            <w:r w:rsidRPr="00D14B84">
              <w:rPr>
                <w:rFonts w:ascii="Times New Roman" w:hAnsi="Times New Roman" w:cs="Times New Roman"/>
                <w:b/>
                <w:bCs/>
                <w:sz w:val="24"/>
                <w:szCs w:val="24"/>
                <w:lang w:val="en-GB"/>
              </w:rPr>
              <w:t>Metals</w:t>
            </w:r>
          </w:p>
        </w:tc>
        <w:tc>
          <w:tcPr>
            <w:tcW w:w="2309" w:type="dxa"/>
            <w:tcBorders>
              <w:bottom w:val="single" w:sz="4" w:space="0" w:color="auto"/>
            </w:tcBorders>
          </w:tcPr>
          <w:p w14:paraId="2E19391F" w14:textId="77777777" w:rsidR="005C118F" w:rsidRPr="00D14B84" w:rsidRDefault="005C118F" w:rsidP="00F82EBB">
            <w:pPr>
              <w:jc w:val="both"/>
              <w:rPr>
                <w:rFonts w:ascii="Times New Roman" w:hAnsi="Times New Roman" w:cs="Times New Roman"/>
                <w:b/>
                <w:bCs/>
                <w:sz w:val="24"/>
                <w:szCs w:val="24"/>
                <w:lang w:val="en-GB"/>
              </w:rPr>
            </w:pPr>
            <w:r w:rsidRPr="00D14B84">
              <w:rPr>
                <w:rFonts w:ascii="Times New Roman" w:hAnsi="Times New Roman" w:cs="Times New Roman"/>
                <w:b/>
                <w:bCs/>
                <w:sz w:val="24"/>
                <w:szCs w:val="24"/>
                <w:lang w:val="en-GB"/>
              </w:rPr>
              <w:t>RfDo (mg/kg/day)</w:t>
            </w:r>
          </w:p>
        </w:tc>
        <w:tc>
          <w:tcPr>
            <w:tcW w:w="2491" w:type="dxa"/>
            <w:tcBorders>
              <w:bottom w:val="single" w:sz="4" w:space="0" w:color="auto"/>
            </w:tcBorders>
          </w:tcPr>
          <w:p w14:paraId="18B12352" w14:textId="77777777" w:rsidR="005C118F" w:rsidRPr="00D14B84" w:rsidRDefault="005C118F" w:rsidP="00F82EBB">
            <w:pPr>
              <w:jc w:val="both"/>
              <w:rPr>
                <w:rFonts w:ascii="Times New Roman" w:hAnsi="Times New Roman" w:cs="Times New Roman"/>
                <w:b/>
                <w:bCs/>
                <w:sz w:val="24"/>
                <w:szCs w:val="24"/>
                <w:lang w:val="en-GB"/>
              </w:rPr>
            </w:pPr>
            <w:r w:rsidRPr="00D14B84">
              <w:rPr>
                <w:rFonts w:ascii="Times New Roman" w:hAnsi="Times New Roman" w:cs="Times New Roman"/>
                <w:b/>
                <w:bCs/>
                <w:sz w:val="24"/>
                <w:szCs w:val="24"/>
                <w:lang w:val="en-GB"/>
              </w:rPr>
              <w:t>References</w:t>
            </w:r>
          </w:p>
        </w:tc>
      </w:tr>
      <w:tr w:rsidR="005C118F" w:rsidRPr="00D14B84" w14:paraId="05DDBE09" w14:textId="77777777" w:rsidTr="00F82EBB">
        <w:tc>
          <w:tcPr>
            <w:tcW w:w="2421" w:type="dxa"/>
            <w:tcBorders>
              <w:top w:val="single" w:sz="4" w:space="0" w:color="auto"/>
              <w:bottom w:val="nil"/>
            </w:tcBorders>
          </w:tcPr>
          <w:p w14:paraId="7036FFC7"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As </w:t>
            </w:r>
          </w:p>
        </w:tc>
        <w:tc>
          <w:tcPr>
            <w:tcW w:w="2309" w:type="dxa"/>
            <w:tcBorders>
              <w:top w:val="single" w:sz="4" w:space="0" w:color="auto"/>
              <w:bottom w:val="nil"/>
            </w:tcBorders>
          </w:tcPr>
          <w:p w14:paraId="08FF62B1"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0.0003 </w:t>
            </w:r>
          </w:p>
        </w:tc>
        <w:tc>
          <w:tcPr>
            <w:tcW w:w="2491" w:type="dxa"/>
            <w:tcBorders>
              <w:top w:val="single" w:sz="4" w:space="0" w:color="auto"/>
              <w:bottom w:val="nil"/>
            </w:tcBorders>
          </w:tcPr>
          <w:p w14:paraId="4879DB45"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envint.2019.04.044","ISSN":"01604120","author":[{"dropping-particle":"","family":"Yang","given":"Shiyan","non-dropping-particle":"","parse-names":false,"suffix":""},{"dropping-particle":"","family":"Zhao","given":"Jian","non-dropping-particle":"","parse-names":false,"suffix":""},{"dropping-particle":"","family":"Chang","given":"Scott X.","non-dropping-particle":"","parse-names":false,"suffix":""},{"dropping-particle":"","family":"Collins","given":"Chris","non-dropping-particle":"","parse-names":false,"suffix":""},{"dropping-particle":"","family":"Xu","given":"Jianming","non-dropping-particle":"","parse-names":false,"suffix":""},{"dropping-particle":"","family":"Liu","given":"Xingmei","non-dropping-particle":"","parse-names":false,"suffix":""}],"container-title":"Environment International","id":"ITEM-1","issued":{"date-parts":[["2019","7"]]},"page":"165-174","title":"Status assessment and probabilistic health risk modeling of metals accumulation in agriculture soils across China: A synthesis","type":"article-journal","volume":"128"},"uris":["http://www.mendeley.com/documents/?uuid=a500951a-7249-453d-bb52-356285749bf3"]}],"mendeley":{"formattedCitation":"(Yang et al., 2019)","manualFormatting":"Yang et al. (2019)","plainTextFormattedCitation":"(Yang et al., 2019)","previouslyFormattedCitation":"(Yang et al., 2019)"},"properties":{"noteIndex":0},"schema":"https://github.com/citation-style-language/schema/raw/master/csl-citation.json"}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Yang et al. (2019)</w:t>
            </w:r>
            <w:r w:rsidRPr="00D14B84">
              <w:rPr>
                <w:rFonts w:ascii="Times New Roman" w:hAnsi="Times New Roman" w:cs="Times New Roman"/>
                <w:color w:val="00B0F0"/>
                <w:sz w:val="24"/>
                <w:szCs w:val="24"/>
                <w:lang w:val="en-GB"/>
              </w:rPr>
              <w:fldChar w:fldCharType="end"/>
            </w:r>
          </w:p>
        </w:tc>
      </w:tr>
      <w:tr w:rsidR="005C118F" w:rsidRPr="00D14B84" w14:paraId="2DDF4AE1" w14:textId="77777777" w:rsidTr="00F82EBB">
        <w:tc>
          <w:tcPr>
            <w:tcW w:w="2421" w:type="dxa"/>
            <w:tcBorders>
              <w:top w:val="nil"/>
            </w:tcBorders>
          </w:tcPr>
          <w:p w14:paraId="26D01C30"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Cd </w:t>
            </w:r>
          </w:p>
        </w:tc>
        <w:tc>
          <w:tcPr>
            <w:tcW w:w="2309" w:type="dxa"/>
            <w:tcBorders>
              <w:top w:val="nil"/>
            </w:tcBorders>
          </w:tcPr>
          <w:p w14:paraId="18D62AC4"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0.00089 </w:t>
            </w:r>
          </w:p>
        </w:tc>
        <w:tc>
          <w:tcPr>
            <w:tcW w:w="2491" w:type="dxa"/>
            <w:tcBorders>
              <w:top w:val="nil"/>
            </w:tcBorders>
          </w:tcPr>
          <w:p w14:paraId="6B33660F"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{"citationItems":[{"id":"ITEM-1","itemData":{"DOI":"10.1038/s41598-021-94616-4","ISSN":"2045-2322","abstract":"Due to urbanization and industrialization, there has been an increase in solid waste generation and has become a global concern and leakage of leachate from landfills contaminate the soil and groundwater and hence can have a severe impact on human health. The present study aimed to determine the composition of toxic metals (Cr, Mn, Cu, As) and heavy metals (Cd, Ba, Hg, Pb) in soil and water by an inductively coupled plasma optical emission spectrometer (ICP-OES). To ensure accuracy during the analysis of Cr, Mn, Cu, As, Cd, Ba, Hg, and Pb in real samples, certified reference material (CRM, SRM 2709a) of San Joaquin soil and water (SRM 1640a) were analyzed and results were presented in terms of % recovery studies. The mean concentration of all the metals in soil and water did not exceed the limit set by the European Community (EU), WHO, and US EPA except Cu where the permissible limit defined by the EU is 50–140 mg/kg in soil. The soil is uncontaminated to moderately contaminated with respect to all metals except the Cu and Pb. Among the average daily dose (ADD) of soil, ADD ing and ADD inh for children had the maximum dose for all metals than adults while ADD derm was higher in adults. Hazard quotient (HQ) trend in both adults and children was found in order HQ ing &gt; HQ derm &gt; HQ inh of soil for all metals except Ba which followed HQ ing &gt; HQ inh &gt; HQ derm . Hazard index (HI) values of soil for Cr and Pb in children were 7 and 7.5 times higher than adults respectively. Lifetime cancer risk (LCR) value for Cr by different exposure pathways of soil was 5.361 × 10 −4 for children which are at the lower borderline of risk for cancer.","author":[{"dropping-particle":"","family":"Ahmad","given":"Waqar","non-dropping-particle":"","parse-names":false,"suffix":""},{"dropping-particle":"","family":"Alharthy","given":"Rima D.","non-dropping-particle":"","parse-names":false,"suffix":""},{"dropping-particle":"","family":"Zubair","given":"Muhammad","non-dropping-particle":"","parse-names":false,"suffix":""},{"dropping-particle":"","family":"Ahmed","given":"Mahmood","non-dropping-particle":"","parse-names":false,"suffix":""},{"dropping-particle":"","family":"Hameed","given":"Abdul","non-dropping-particle":"","parse-names":false,"suffix":""},{"dropping-particle":"","family":"Rafique","given":"Sajjad","non-dropping-particle":"","parse-names":false,"suffix":""}],"container-title":"Scientific Reports","id":"ITEM-1","issue":"1","issued":{"date-parts":[["2021","8","20"]]},"page":"17006","title":"Toxic and heavy metals contamination assessment in soil and water to evaluate human health risk","type":"article-journal","volume":"11"},"uris":["http://www.mendeley.com/documents/?uuid=5e225371-4023-4aa4-a8d0-5403610790ef"]}],"mendeley":{"formattedCitation":"(Ahmad et al., 2021)","manualFormatting":"Ahmad et al. (2021)","plainTextFormattedCitation":"(Ahmad et al., 2021)","previouslyFormattedCitation":"(Ahmad et al., 2021)"},"properties":{"noteIndex":0},"schema":"https://github.com/citation-style-language/schema/raw/master/csl-citation.json"}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Ahmad et al. (2021)</w:t>
            </w:r>
            <w:r w:rsidRPr="00D14B84">
              <w:rPr>
                <w:rFonts w:ascii="Times New Roman" w:hAnsi="Times New Roman" w:cs="Times New Roman"/>
                <w:color w:val="00B0F0"/>
                <w:sz w:val="24"/>
                <w:szCs w:val="24"/>
                <w:lang w:val="en-GB"/>
              </w:rPr>
              <w:fldChar w:fldCharType="end"/>
            </w:r>
          </w:p>
        </w:tc>
      </w:tr>
      <w:tr w:rsidR="005C118F" w:rsidRPr="00D14B84" w14:paraId="2D9A64DE" w14:textId="77777777" w:rsidTr="00F82EBB">
        <w:tc>
          <w:tcPr>
            <w:tcW w:w="2421" w:type="dxa"/>
          </w:tcPr>
          <w:p w14:paraId="6A487646"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Cr </w:t>
            </w:r>
          </w:p>
        </w:tc>
        <w:tc>
          <w:tcPr>
            <w:tcW w:w="2309" w:type="dxa"/>
          </w:tcPr>
          <w:p w14:paraId="78EE41C7"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0.0009 </w:t>
            </w:r>
          </w:p>
        </w:tc>
        <w:tc>
          <w:tcPr>
            <w:tcW w:w="2491" w:type="dxa"/>
          </w:tcPr>
          <w:p w14:paraId="675E7424"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yrtph.2022.105122","ISSN":"02732300","author":[{"dropping-particle":"","family":"Wong","given":"Candace","non-dropping-particle":"","parse-names":false,"suffix":""},{"dropping-particle":"","family":"Roberts","given":"Stephen M.","non-dropping-particle":"","parse-names":false,"suffix":""},{"dropping-particle":"","family":"Saab","given":"Imad Neal","non-dropping-particle":"","parse-names":false,"suffix":""}],"container-title":"Regulatory Toxicology and Pharmacology","id":"ITEM-1","issued":{"date-parts":[["2022","4"]]},"page":"105122","title":"Review of regulatory reference values and background levels for heavy metals in the human diet","type":"article-journal","volume":"130"},"uris":["http://www.mendeley.com/documents/?uuid=61dfde7f-9768-4283-aa01-ca38b4108867"]}],"mendeley":{"formattedCitation":"(Wong et al., 2022)","manualFormatting":"Wong et al. (2022)","plainTextFormattedCitation":"(Wong et al., 2022)","previouslyFormattedCitation":"(Wong et al., 2022)"},"properties":{"noteIndex":0},"schema":"https://github.com/citation-style-language/schema/raw/master/csl-citation.json"}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Wong et al. (2022)</w:t>
            </w:r>
            <w:r w:rsidRPr="00D14B84">
              <w:rPr>
                <w:rFonts w:ascii="Times New Roman" w:hAnsi="Times New Roman" w:cs="Times New Roman"/>
                <w:color w:val="00B0F0"/>
                <w:sz w:val="24"/>
                <w:szCs w:val="24"/>
                <w:lang w:val="en-GB"/>
              </w:rPr>
              <w:fldChar w:fldCharType="end"/>
            </w:r>
          </w:p>
        </w:tc>
      </w:tr>
      <w:tr w:rsidR="005C118F" w:rsidRPr="00D14B84" w14:paraId="00617D27" w14:textId="77777777" w:rsidTr="00F82EBB">
        <w:tc>
          <w:tcPr>
            <w:tcW w:w="2421" w:type="dxa"/>
          </w:tcPr>
          <w:p w14:paraId="171C5FAF"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Pb </w:t>
            </w:r>
          </w:p>
        </w:tc>
        <w:tc>
          <w:tcPr>
            <w:tcW w:w="2309" w:type="dxa"/>
          </w:tcPr>
          <w:p w14:paraId="368F778B"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0.00026</w:t>
            </w:r>
            <w:r w:rsidRPr="00D14B84">
              <w:rPr>
                <w:rFonts w:ascii="Times New Roman" w:hAnsi="Times New Roman" w:cs="Times New Roman"/>
                <w:sz w:val="24"/>
                <w:szCs w:val="24"/>
                <w:vertAlign w:val="superscript"/>
                <w:lang w:val="en-GB"/>
              </w:rPr>
              <w:t>*</w:t>
            </w:r>
            <w:r w:rsidRPr="00D14B84">
              <w:rPr>
                <w:rFonts w:ascii="Times New Roman" w:hAnsi="Times New Roman" w:cs="Times New Roman"/>
                <w:sz w:val="24"/>
                <w:szCs w:val="24"/>
                <w:lang w:val="en-GB"/>
              </w:rPr>
              <w:t>; 0.00016</w:t>
            </w:r>
            <w:r w:rsidRPr="00D14B84">
              <w:rPr>
                <w:rFonts w:ascii="Times New Roman" w:hAnsi="Times New Roman" w:cs="Times New Roman"/>
                <w:sz w:val="24"/>
                <w:szCs w:val="24"/>
                <w:vertAlign w:val="superscript"/>
                <w:lang w:val="en-GB"/>
              </w:rPr>
              <w:t>#</w:t>
            </w:r>
            <w:r w:rsidRPr="00D14B84">
              <w:rPr>
                <w:rFonts w:ascii="Times New Roman" w:hAnsi="Times New Roman" w:cs="Times New Roman"/>
                <w:sz w:val="24"/>
                <w:szCs w:val="24"/>
                <w:lang w:val="en-GB"/>
              </w:rPr>
              <w:t xml:space="preserve"> </w:t>
            </w:r>
          </w:p>
        </w:tc>
        <w:tc>
          <w:tcPr>
            <w:tcW w:w="2491" w:type="dxa"/>
          </w:tcPr>
          <w:p w14:paraId="38E9E776"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yrtph.2022.105122","ISSN":"02732300","author":[{"dropping-particle":"","family":"Wong","given":"Candace","non-dropping-particle":"","parse-names":false,"suffix":""},{"dropping-particle":"","family":"Roberts","given":"Stephen M.","non-dropping-particle":"","parse-names":false,"suffix":""},{"dropping-particle":"","family":"Saab","given":"Imad Neal","non-dropping-particle":"","parse-names":false,"suffix":""}],"container-title":"Regulatory Toxicology and Pharmacology","id":"ITEM-1","issued":{"date-parts":[["2022","4"]]},"page":"105122","title":"Review of regulatory reference values and background levels for heavy metals in the human diet","type":"article-journal","volume":"130"},"uris":["http://www.mendeley.com/documents/?uuid=61dfde7f-9768-4283-aa01-ca38b4108867"]}],"mendeley":{"formattedCitation":"(Wong et al., 2022)","manualFormatting":"Wong et al. (2022)","plainTextFormattedCitation":"(Wong et al., 2022)","previouslyFormattedCitation":"(Wong et al., 2022)"},"properties":{"noteIndex":0},"schema":"https://github.com/citation-style-language/schema/raw/master/csl-citation.json"}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Wong et al. (2022)</w:t>
            </w:r>
            <w:r w:rsidRPr="00D14B84">
              <w:rPr>
                <w:rFonts w:ascii="Times New Roman" w:hAnsi="Times New Roman" w:cs="Times New Roman"/>
                <w:color w:val="00B0F0"/>
                <w:sz w:val="24"/>
                <w:szCs w:val="24"/>
                <w:lang w:val="en-GB"/>
              </w:rPr>
              <w:fldChar w:fldCharType="end"/>
            </w:r>
          </w:p>
        </w:tc>
      </w:tr>
      <w:tr w:rsidR="005C118F" w:rsidRPr="00D14B84" w14:paraId="33E38022" w14:textId="77777777" w:rsidTr="00F82EBB">
        <w:tc>
          <w:tcPr>
            <w:tcW w:w="2421" w:type="dxa"/>
          </w:tcPr>
          <w:p w14:paraId="370AE822"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Hg </w:t>
            </w:r>
          </w:p>
        </w:tc>
        <w:tc>
          <w:tcPr>
            <w:tcW w:w="2309" w:type="dxa"/>
          </w:tcPr>
          <w:p w14:paraId="38782537"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0.00019 </w:t>
            </w:r>
          </w:p>
        </w:tc>
        <w:tc>
          <w:tcPr>
            <w:tcW w:w="2491" w:type="dxa"/>
          </w:tcPr>
          <w:p w14:paraId="74386E11"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{"citationItems":[{"id":"ITEM-1","itemData":{"DOI":"10.1016/j.talanta.2022.123557","ISSN":"00399140","author":[{"dropping-particle":"","family":"Felix","given":"Caio S.A.","non-dropping-particle":"","parse-names":false,"suffix":""},{"dropping-particle":"","family":"Pereira Junior","given":"João B.","non-dropping-particle":"","parse-names":false,"suffix":""},{"dropping-particle":"","family":"Silva Junior","given":"Jucelino B.","non-dropping-particle":"da","parse-names":false,"suffix":""},{"dropping-particle":"","family":"Cruz","given":"Allan S.","non-dropping-particle":"","parse-names":false,"suffix":""},{"dropping-particle":"","family":"Dantas","given":"Kelly G.F.","non-dropping-particle":"","parse-names":false,"suffix":""},{"dropping-particle":"","family":"Ferreira","given":"Sergio L.C.","non-dropping-particle":"","parse-names":false,"suffix":""}],"container-title":"Talanta","id":"ITEM-1","issued":{"date-parts":[["2022","9"]]},"page":"123557","title":"Determination and human health risk assessment of mercury in fish samples","type":"article-journal","volume":"247"},"uris":["http://www.mendeley.com/documents/?uuid=5de2a298-f13b-4c2f-ba9a-3c24e5f2d37f"]}],"mendeley":{"formattedCitation":"(Felix et al., 2022)","manualFormatting":"Felix et al. (2022)","plainTextFormattedCitation":"(Felix et al., 2022)","previouslyFormattedCitation":"(Felix et al., 2022)"},"properties":{"noteIndex":0},"schema":"https://github.com/citation-style-language/schema/raw/master/csl-citation.json"}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Felix et al. (2022)</w:t>
            </w:r>
            <w:r w:rsidRPr="00D14B84">
              <w:rPr>
                <w:rFonts w:ascii="Times New Roman" w:hAnsi="Times New Roman" w:cs="Times New Roman"/>
                <w:color w:val="00B0F0"/>
                <w:sz w:val="24"/>
                <w:szCs w:val="24"/>
                <w:lang w:val="en-GB"/>
              </w:rPr>
              <w:fldChar w:fldCharType="end"/>
            </w:r>
          </w:p>
        </w:tc>
      </w:tr>
      <w:tr w:rsidR="005C118F" w:rsidRPr="00D14B84" w14:paraId="5799DA05" w14:textId="77777777" w:rsidTr="00F82EBB">
        <w:tc>
          <w:tcPr>
            <w:tcW w:w="2421" w:type="dxa"/>
          </w:tcPr>
          <w:p w14:paraId="39B758DE"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Ni </w:t>
            </w:r>
          </w:p>
        </w:tc>
        <w:tc>
          <w:tcPr>
            <w:tcW w:w="2309" w:type="dxa"/>
          </w:tcPr>
          <w:p w14:paraId="49D8FF2F"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0.02 </w:t>
            </w:r>
          </w:p>
        </w:tc>
        <w:tc>
          <w:tcPr>
            <w:tcW w:w="2491" w:type="dxa"/>
          </w:tcPr>
          <w:p w14:paraId="24C2934E"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jclepro.2015.12.031","ISSN":"09596526","author":[{"dropping-particle":"","family":"Gu","given":"Yang-Guang","non-dropping-particle":"","parse-names":false,"suffix":""},{"dropping-particle":"","family":"Lin","given":"Qin","non-dropping-particle":"","parse-names":false,"suffix":""},{"dropping-particle":"","family":"Gao","given":"Yan-Peng","non-dropping-particle":"","parse-names":false,"suffix":""}],"container-title":"Journal of Cleaner Production","id":"ITEM-1","issued":{"date-parts":[["2016","3"]]},"page":"122-129","title":"Metals in exposed-lawn soils from 18 urban parks and its human health implications in southern China's largest city, Guangzhou","type":"article-journal","volume":"115"},"uris":["http://www.mendeley.com/documents/?uuid=e1607de0-72cb-4d25-9239-e0e0ca661ba5"]}],"mendeley":{"formattedCitation":"(Gu et al., 2016)","manualFormatting":"Gu et al. (2016)","plainTextFormattedCitation":"(Gu et al., 2016)","previouslyFormattedCitation":"(Gu et al., 2016)"},"properties":{"noteIndex":0},"schema":"https://github.com/citation-style-language/schema/raw/master/csl-citation.json"}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Gu et al. (2016)</w:t>
            </w:r>
            <w:r w:rsidRPr="00D14B84">
              <w:rPr>
                <w:rFonts w:ascii="Times New Roman" w:hAnsi="Times New Roman" w:cs="Times New Roman"/>
                <w:color w:val="00B0F0"/>
                <w:sz w:val="24"/>
                <w:szCs w:val="24"/>
                <w:lang w:val="en-GB"/>
              </w:rPr>
              <w:fldChar w:fldCharType="end"/>
            </w:r>
          </w:p>
        </w:tc>
      </w:tr>
      <w:tr w:rsidR="005C118F" w:rsidRPr="00D14B84" w14:paraId="09075A7F" w14:textId="77777777" w:rsidTr="00F82EBB">
        <w:tc>
          <w:tcPr>
            <w:tcW w:w="2421" w:type="dxa"/>
          </w:tcPr>
          <w:p w14:paraId="444DE4FB"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Cu </w:t>
            </w:r>
          </w:p>
        </w:tc>
        <w:tc>
          <w:tcPr>
            <w:tcW w:w="2309" w:type="dxa"/>
          </w:tcPr>
          <w:p w14:paraId="7B5651FD"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0.005 </w:t>
            </w:r>
          </w:p>
        </w:tc>
        <w:tc>
          <w:tcPr>
            <w:tcW w:w="2491" w:type="dxa"/>
          </w:tcPr>
          <w:p w14:paraId="39944AD3"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jclepro.2015.12.031","ISSN":"09596526","author":[{"dropping-particle":"","family":"Gu","given":"Yang-Guang","non-dropping-particle":"","parse-names":false,"suffix":""},{"dropping-particle":"","family":"Lin","given":"Qin","non-dropping-particle":"","parse-names":false,"suffix":""},{"dropping-particle":"","family":"Gao","given":"Yan-Peng","non-dropping-particle":"","parse-names":false,"suffix":""}],"container-title":"Journal of Cleaner Production","id":"ITEM-1","issued":{"date-parts":[["2016","3"]]},"page":"122-129","title":"Metals in exposed-lawn soils from 18 urban parks and its human health implications in southern China's largest city, Guangzhou","type":"article-journal","volume":"115"},"uris":["http://www.mendeley.com/documents/?uuid=e1607de0-72cb-4d25-9239-e0e0ca661ba5"]}],"mendeley":{"formattedCitation":"(Gu et al., 2016)","manualFormatting":"Gu et al. (2016)","plainTextFormattedCitation":"(Gu et al., 2016)","previouslyFormattedCitation":"(Gu et al., 2016)"},"properties":{"noteIndex":0},"schema":"https://github.com/citation-style-language/schema/raw/master/csl-citation.json"}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Gu et al. (2016)</w:t>
            </w:r>
            <w:r w:rsidRPr="00D14B84">
              <w:rPr>
                <w:rFonts w:ascii="Times New Roman" w:hAnsi="Times New Roman" w:cs="Times New Roman"/>
                <w:color w:val="00B0F0"/>
                <w:sz w:val="24"/>
                <w:szCs w:val="24"/>
                <w:lang w:val="en-GB"/>
              </w:rPr>
              <w:fldChar w:fldCharType="end"/>
            </w:r>
          </w:p>
        </w:tc>
      </w:tr>
      <w:tr w:rsidR="005C118F" w:rsidRPr="00D14B84" w14:paraId="5380C16F" w14:textId="77777777" w:rsidTr="00F82EBB">
        <w:tc>
          <w:tcPr>
            <w:tcW w:w="2421" w:type="dxa"/>
          </w:tcPr>
          <w:p w14:paraId="7A276571"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Co </w:t>
            </w:r>
          </w:p>
        </w:tc>
        <w:tc>
          <w:tcPr>
            <w:tcW w:w="2309" w:type="dxa"/>
          </w:tcPr>
          <w:p w14:paraId="546B9FCD"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0.0003 </w:t>
            </w:r>
          </w:p>
        </w:tc>
        <w:tc>
          <w:tcPr>
            <w:tcW w:w="2491" w:type="dxa"/>
          </w:tcPr>
          <w:p w14:paraId="3FDE7023"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{"citationItems":[{"id":"ITEM-1","itemData":{"DOI":"10.1016/j.yrtph.2012.08.022","ISSN":"02732300","author":[{"dropping-particle":"","family":"Finley","given":"Brent L.","non-dropping-particle":"","parse-names":false,"suffix":""},{"dropping-particle":"","family":"Monnot","given":"Andrew D.","non-dropping-particle":"","parse-names":false,"suffix":""},{"dropping-particle":"","family":"Paustenbach","given":"Dennis J.","non-dropping-particle":"","parse-names":false,"suffix":""},{"dropping-particle":"","family":"Gaffney","given":"Shannon H.","non-dropping-particle":"","parse-names":false,"suffix":""}],"container-title":"Regulatory Toxicology and Pharmacology","id":"ITEM-1","issue":"3","issued":{"date-parts":[["2012","12"]]},"page":"491-503","title":"Derivation of a chronic oral reference dose for cobalt","type":"article-journal","volume":"64"},"uris":["http://www.mendeley.com/documents/?uuid=6889306e-c7db-4cf6-8ce8-d73ee883d108"]}],"mendeley":{"formattedCitation":"(Finley et al., 2012)","manualFormatting":"Finley et al. (2012)","plainTextFormattedCitation":"(Finley et al., 2012)","previouslyFormattedCitation":"(Finley et al., 2012)"},"properties":{"noteIndex":0},"schema":"https://github.com/citation-style-language/schema/raw/master/csl-citation.json"}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Finley et al. (2012)</w:t>
            </w:r>
            <w:r w:rsidRPr="00D14B84">
              <w:rPr>
                <w:rFonts w:ascii="Times New Roman" w:hAnsi="Times New Roman" w:cs="Times New Roman"/>
                <w:color w:val="00B0F0"/>
                <w:sz w:val="24"/>
                <w:szCs w:val="24"/>
                <w:lang w:val="en-GB"/>
              </w:rPr>
              <w:fldChar w:fldCharType="end"/>
            </w:r>
          </w:p>
        </w:tc>
      </w:tr>
      <w:tr w:rsidR="005C118F" w:rsidRPr="00D14B84" w14:paraId="503940A6" w14:textId="77777777" w:rsidTr="00F82EBB">
        <w:tc>
          <w:tcPr>
            <w:tcW w:w="2421" w:type="dxa"/>
          </w:tcPr>
          <w:p w14:paraId="0D89AD8C"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Fe </w:t>
            </w:r>
          </w:p>
        </w:tc>
        <w:tc>
          <w:tcPr>
            <w:tcW w:w="2309" w:type="dxa"/>
          </w:tcPr>
          <w:p w14:paraId="75D38EC0"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0.700 </w:t>
            </w:r>
          </w:p>
        </w:tc>
        <w:tc>
          <w:tcPr>
            <w:tcW w:w="2491" w:type="dxa"/>
          </w:tcPr>
          <w:p w14:paraId="5018531C"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{"citationItems":[{"id":"ITEM-1","itemData":{"DOI":"10.30476/jhsss.2021.93527.1457","ISSN":"2345-2218","abstract":"Background: Heavy metal contaminations of herbal formulations have constituted a public health challenge in the sub-Saharan Africa region and even in some developed nations. The study aimed to evaluate the public health concerns of chronic exposure to a polyherbal drug suspected to contain heavy metals. Methods: This is an experimental study. Heavy metals were measured using Solaar-Thermo-Elemental Atomic Absorption Spectrophotometer. Human health risk assessment was estimated by calculating the estimated daily intake, target, hazard quotient (THQ), health index (HI), carcinogenic risk (CR) of exposure to the polyherbal drug. Results: The results showed the presence of metals in this order: Cd&lt;Hg&lt;As&lt;Pb&lt;Zn&lt;Mn&lt;Cu&lt;Ni&lt;Cr 1; HI for adolescents, adults, and geriatrics were &gt;1. Ni and Cr had the highest cancer risk; total cancer risk was above the safe limit. Conclusion: Since herbal medicines/dietary supplements are not under compulsory regulation by international, national, and local health regulatory authorities, these products must be manufactured using the highest manufacturing standards to ensure their safety among the end-users. Our findings suggest the likelihood of significant non-carcinogenic adverse health effects among adolescents, adults, and the geriatric population due to exposure to a mix of toxic metals, necessitating utmost caution on its chronic use. If policy formulations and implementations regarding the safety of herbal medicines and associated products prior to their circulation are ensured, public health will be protected and significantly improved.","author":[{"dropping-particle":"","family":"Udom","given":"Godswill J","non-dropping-particle":"","parse-names":false,"suffix":""},{"dropping-particle":"","family":"Obilor","given":"Oluchi F","non-dropping-particle":"","parse-names":false,"suffix":""},{"dropping-particle":"","family":"Ise","given":"Uduak P","non-dropping-particle":"","parse-names":false,"suffix":""},{"dropping-particle":"","family":"Onyeukwu","given":"Nkechi J","non-dropping-particle":"","parse-names":false,"suffix":""},{"dropping-particle":"","family":"Udoh","given":"Anwanabasi E","non-dropping-particle":"","parse-names":false,"suffix":""},{"dropping-particle":"","family":"Aturamu","given":"Ayodeji","non-dropping-particle":"","parse-names":false,"suffix":""},{"dropping-particle":"","family":"Yemitan","given":"Omoniyi K","non-dropping-particle":"","parse-names":false,"suffix":""}],"container-title":"Journal of Health Sciences &amp; Surveillance System","id":"ITEM-1","issue":"2","issued":{"date-parts":[["2022"]]},"language":"en","page":"189-196","publisher-place":"Department of Pharmacology and Toxicology, Faculty of Pharmacy, Federal University, Oye_Ekiti, Nigeria","title":"Heavy Metal Content of a Polyherbal Drug: Any Exposure-associated Public Health Risks?","type":"article-journal","volume":"10"},"uris":["http://www.mendeley.com/documents/?uuid=fa9f320b-cb8a-4dfa-9a48-96cacdfddf7a"]}],"mendeley":{"formattedCitation":"(Udom et al., 2022)","manualFormatting":"Udom et al. (2022)","plainTextFormattedCitation":"(Udom et al., 2022)","previouslyFormattedCitation":"(Udom et al., 2022)"},"properties":{"noteIndex":0},"schema":"https://github.com/citation-style-language/schema/raw/master/csl-citation.json"}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Udom et al. (2022)</w:t>
            </w:r>
            <w:r w:rsidRPr="00D14B84">
              <w:rPr>
                <w:rFonts w:ascii="Times New Roman" w:hAnsi="Times New Roman" w:cs="Times New Roman"/>
                <w:color w:val="00B0F0"/>
                <w:sz w:val="24"/>
                <w:szCs w:val="24"/>
                <w:lang w:val="en-GB"/>
              </w:rPr>
              <w:fldChar w:fldCharType="end"/>
            </w:r>
          </w:p>
        </w:tc>
      </w:tr>
      <w:tr w:rsidR="005C118F" w:rsidRPr="00D14B84" w14:paraId="02C6464F" w14:textId="77777777" w:rsidTr="00F82EBB">
        <w:tc>
          <w:tcPr>
            <w:tcW w:w="2421" w:type="dxa"/>
          </w:tcPr>
          <w:p w14:paraId="3F71F43A"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Se </w:t>
            </w:r>
          </w:p>
        </w:tc>
        <w:tc>
          <w:tcPr>
            <w:tcW w:w="2309" w:type="dxa"/>
          </w:tcPr>
          <w:p w14:paraId="11B31955"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0.005 </w:t>
            </w:r>
          </w:p>
        </w:tc>
        <w:tc>
          <w:tcPr>
            <w:tcW w:w="2491" w:type="dxa"/>
          </w:tcPr>
          <w:p w14:paraId="1EDF9791"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jtemb.2024.127525","ISSN":"0946672X","author":[{"dropping-particle":"","family":"Hao","given":"Litao","non-dropping-particle":"","parse-names":false,"suffix":""},{"dropping-particle":"","family":"Han","given":"Yangchun","non-dropping-particle":"","parse-names":false,"suffix":""},{"dropping-particle":"","family":"Zhang","given":"Shixi","non-dropping-particle":"","parse-names":false,"suffix":""},{"dropping-particle":"","family":"Luo","given":"Yingjie","non-dropping-particle":"","parse-names":false,"suffix":""},{"dropping-particle":"","family":"Luo","given":"Kunli","non-dropping-particle":"","parse-names":false,"suffix":""},{"dropping-particle":"","family":"Zhang","given":"Lijun","non-dropping-particle":"","parse-names":false,"suffix":""},{"dropping-particle":"","family":"Chen","given":"Weiqiang","non-dropping-particle":"","parse-names":false,"suffix":""}],"container-title":"Journal of Trace Elements in Medicine and Biology","id":"ITEM-1","issued":{"date-parts":[["2024","12"]]},"page":"127525","title":"Estimated daily intake and health risk assessment of total and organic selenium in crops across areas with different selenium levels","type":"article-journal","volume":"86"},"uris":["http://www.mendeley.com/documents/?uuid=87e823b7-50bc-4269-b141-d39a7c95d62b"]}],"mendeley":{"formattedCitation":"(Hao et al., 2024)","manualFormatting":"Hao et al. (2024)","plainTextFormattedCitation":"(Hao et al., 2024)","previouslyFormattedCitation":"(Hao et al., 2024)"},"properties":{"noteIndex":0},"schema":"https://github.com/citation-style-language/schema/raw/master/csl-citation.json"}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Hao et al. (2024)</w:t>
            </w:r>
            <w:r w:rsidRPr="00D14B84">
              <w:rPr>
                <w:rFonts w:ascii="Times New Roman" w:hAnsi="Times New Roman" w:cs="Times New Roman"/>
                <w:color w:val="00B0F0"/>
                <w:sz w:val="24"/>
                <w:szCs w:val="24"/>
                <w:lang w:val="en-GB"/>
              </w:rPr>
              <w:fldChar w:fldCharType="end"/>
            </w:r>
          </w:p>
        </w:tc>
      </w:tr>
      <w:tr w:rsidR="005C118F" w:rsidRPr="00D14B84" w14:paraId="1396DCCE" w14:textId="77777777" w:rsidTr="00F82EBB">
        <w:tc>
          <w:tcPr>
            <w:tcW w:w="2421" w:type="dxa"/>
          </w:tcPr>
          <w:p w14:paraId="0B83F3C2"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Mn </w:t>
            </w:r>
          </w:p>
        </w:tc>
        <w:tc>
          <w:tcPr>
            <w:tcW w:w="2309" w:type="dxa"/>
          </w:tcPr>
          <w:p w14:paraId="602B0FA7"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0.140 </w:t>
            </w:r>
          </w:p>
        </w:tc>
        <w:tc>
          <w:tcPr>
            <w:tcW w:w="2491" w:type="dxa"/>
          </w:tcPr>
          <w:p w14:paraId="6F0450A6" w14:textId="77777777" w:rsidR="005C118F" w:rsidRPr="00D14B84" w:rsidRDefault="005C118F" w:rsidP="00F82EBB">
            <w:pPr>
              <w:jc w:val="both"/>
              <w:rPr>
                <w:rFonts w:ascii="Times New Roman" w:hAnsi="Times New Roman" w:cs="Times New Roman"/>
                <w:color w:val="00B0F0"/>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{"citationItems":[{"id":"ITEM-1","itemData":{"DOI":"10.30476/jhsss.2021.93527.1457","ISSN":"2345-2218","abstract":"Background: Heavy metal contaminations of herbal formulations have constituted a public health challenge in the sub-Saharan Africa region and even in some developed nations. The study aimed to evaluate the public health concerns of chronic exposure to a polyherbal drug suspected to contain heavy metals. Methods: This is an experimental study. Heavy metals were measured using Solaar-Thermo-Elemental Atomic Absorption Spectrophotometer. Human health risk assessment was estimated by calculating the estimated daily intake, target, hazard quotient (THQ), health index (HI), carcinogenic risk (CR) of exposure to the polyherbal drug. Results: The results showed the presence of metals in this order: Cd&lt;Hg&lt;As&lt;Pb&lt;Zn&lt;Mn&lt;Cu&lt;Ni&lt;Cr 1; HI for adolescents, adults, and geriatrics were &gt;1. Ni and Cr had the highest cancer risk; total cancer risk was above the safe limit. Conclusion: Since herbal medicines/dietary supplements are not under compulsory regulation by international, national, and local health regulatory authorities, these products must be manufactured using the highest manufacturing standards to ensure their safety among the end-users. Our findings suggest the likelihood of significant non-carcinogenic adverse health effects among adolescents, adults, and the geriatric population due to exposure to a mix of toxic metals, necessitating utmost caution on its chronic use. If policy formulations and implementations regarding the safety of herbal medicines and associated products prior to their circulation are ensured, public health will be protected and significantly improved.","author":[{"dropping-particle":"","family":"Udom","given":"Godswill J","non-dropping-particle":"","parse-names":false,"suffix":""},{"dropping-particle":"","family":"Obilor","given":"Oluchi F","non-dropping-particle":"","parse-names":false,"suffix":""},{"dropping-particle":"","family":"Ise","given":"Uduak P","non-dropping-particle":"","parse-names":false,"suffix":""},{"dropping-particle":"","family":"Onyeukwu","given":"Nkechi J","non-dropping-particle":"","parse-names":false,"suffix":""},{"dropping-particle":"","family":"Udoh","given":"Anwanabasi E","non-dropping-particle":"","parse-names":false,"suffix":""},{"dropping-particle":"","family":"Aturamu","given":"Ayodeji","non-dropping-particle":"","parse-names":false,"suffix":""},{"dropping-particle":"","family":"Yemitan","given":"Omoniyi K","non-dropping-particle":"","parse-names":false,"suffix":""}],"container-title":"Journal of Health Sciences &amp; Surveillance System","id":"ITEM-1","issue":"2","issued":{"date-parts":[["2022"]]},"language":"en","page":"189-196","publisher-place":"Department of Pharmacology and Toxicology, Faculty of Pharmacy, Federal University, Oye_Ekiti, Nigeria","title":"Heavy Metal Content of a Polyherbal Drug: Any Exposure-associated Public Health Risks?","type":"article-journal","volume":"10"},"uris":["http://www.mendeley.com/documents/?uuid=fa9f320b-cb8a-4dfa-9a48-96cacdfddf7a"]}],"mendeley":{"formattedCitation":"(Udom et al., 2022)","manualFormatting":"Udom et al. (2022)","plainTextFormattedCitation":"(Udom et al., 2022)","previouslyFormattedCitation":"(Udom et al., 2022)"},"properties":{"noteIndex":0},"schema":"https://github.com/citation-style-language/schema/raw/master/csl-citation.json"}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Udom et al. (2022)</w:t>
            </w:r>
            <w:r w:rsidRPr="00D14B84">
              <w:rPr>
                <w:rFonts w:ascii="Times New Roman" w:hAnsi="Times New Roman" w:cs="Times New Roman"/>
                <w:color w:val="00B0F0"/>
                <w:sz w:val="24"/>
                <w:szCs w:val="24"/>
                <w:lang w:val="en-GB"/>
              </w:rPr>
              <w:fldChar w:fldCharType="end"/>
            </w:r>
          </w:p>
        </w:tc>
      </w:tr>
      <w:tr w:rsidR="005C118F" w:rsidRPr="00D14B84" w14:paraId="0B55B4CA" w14:textId="77777777" w:rsidTr="00F82EBB">
        <w:tc>
          <w:tcPr>
            <w:tcW w:w="2421" w:type="dxa"/>
          </w:tcPr>
          <w:p w14:paraId="1DA17EEA"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V </w:t>
            </w:r>
          </w:p>
        </w:tc>
        <w:tc>
          <w:tcPr>
            <w:tcW w:w="2309" w:type="dxa"/>
          </w:tcPr>
          <w:p w14:paraId="578E93B3"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0.009 </w:t>
            </w:r>
          </w:p>
        </w:tc>
        <w:tc>
          <w:tcPr>
            <w:tcW w:w="2491" w:type="dxa"/>
          </w:tcPr>
          <w:p w14:paraId="13C518D1"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10.1016/j.scitotenv.2019.01.093","ISSN":"00489697","author":[{"dropping-particle":"","family":"Zhou","given":"Yang","non-dropping-particle":"","parse-names":false,"suffix":""},{"dropping-particle":"","family":"Gao","given":"Li","non-dropping-particle":"","parse-names":false,"suffix":""},{"dropping-particle":"","family":"Xu","given":"Dongyu","non-dropping-particle":"","parse-names":false,"suffix":""},{"dropping-particle":"","family":"Gao","given":"Bo","non-dropping-particle":"","parse-names":false,"suffix":""}],"container-title":"Science of The Total Environment","id":"ITEM-1","issued":{"date-parts":[["2019","4"]]},"page":"1338-1345","title":"Geochemical baseline establishment, environmental impact and health risk assessment of vanadium in lake sediments, China","type":"article-journal","volume":"660"},"uris":["http://www.mendeley.com/documents/?uuid=8d79779b-339e-4c7e-8943-ac03e03a5651"]}],"mendeley":{"formattedCitation":"(Zhou et al., 2019)","manualFormatting":"Zhou et al. (2019)","plainTextFormattedCitation":"(Zhou et al., 2019)","previouslyFormattedCitation":"(Zhou et al., 2019)"},"properties":{"noteIndex":0},"schema":"https://github.com/citation-style-language/schema/raw/master/csl-citation.json"}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Zhou et al. (2019)</w:t>
            </w:r>
            <w:r w:rsidRPr="00D14B84">
              <w:rPr>
                <w:rFonts w:ascii="Times New Roman" w:hAnsi="Times New Roman" w:cs="Times New Roman"/>
                <w:color w:val="00B0F0"/>
                <w:sz w:val="24"/>
                <w:szCs w:val="24"/>
                <w:lang w:val="en-GB"/>
              </w:rPr>
              <w:fldChar w:fldCharType="end"/>
            </w:r>
          </w:p>
        </w:tc>
      </w:tr>
      <w:tr w:rsidR="005C118F" w:rsidRPr="00D14B84" w14:paraId="6EAD6118" w14:textId="77777777" w:rsidTr="00F82EBB">
        <w:tc>
          <w:tcPr>
            <w:tcW w:w="2421" w:type="dxa"/>
          </w:tcPr>
          <w:p w14:paraId="720558F6"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Zn </w:t>
            </w:r>
          </w:p>
        </w:tc>
        <w:tc>
          <w:tcPr>
            <w:tcW w:w="2309" w:type="dxa"/>
          </w:tcPr>
          <w:p w14:paraId="5232BC51"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xml:space="preserve">0.300 </w:t>
            </w:r>
          </w:p>
        </w:tc>
        <w:tc>
          <w:tcPr>
            <w:tcW w:w="2491" w:type="dxa"/>
          </w:tcPr>
          <w:p w14:paraId="7F6F5F71" w14:textId="77777777" w:rsidR="005C118F" w:rsidRPr="00D14B84" w:rsidRDefault="005C118F" w:rsidP="00F82EBB">
            <w:pPr>
              <w:jc w:val="both"/>
              <w:rPr>
                <w:rFonts w:ascii="Times New Roman" w:hAnsi="Times New Roman" w:cs="Times New Roman"/>
                <w:sz w:val="24"/>
                <w:szCs w:val="24"/>
                <w:lang w:val="en-GB"/>
              </w:rPr>
            </w:pPr>
            <w:r w:rsidRPr="00D14B84">
              <w:rPr>
                <w:rFonts w:ascii="Times New Roman" w:hAnsi="Times New Roman" w:cs="Times New Roman"/>
                <w:color w:val="00B0F0"/>
                <w:sz w:val="24"/>
                <w:szCs w:val="24"/>
                <w:lang w:val="en-GB"/>
              </w:rPr>
              <w:fldChar w:fldCharType="begin" w:fldLock="1"/>
            </w:r>
            <w:r w:rsidRPr="00D14B84">
              <w:rPr>
                <w:rFonts w:ascii="Times New Roman" w:hAnsi="Times New Roman" w:cs="Times New Roman"/>
                <w:color w:val="00B0F0"/>
                <w:sz w:val="24"/>
                <w:szCs w:val="24"/>
                <w:lang w:val="en-GB"/>
              </w:rPr>
              <w:instrText>ADDIN CSL_CITATION {"citationItems":[{"id":"ITEM-1","itemData":{"DOI":"10.3390/ijerph13070663","ISSN":"1660-4601","abstract":"The study evaluates the health risk caused by heavy metals to the inhabitants of a gold mining area. In this study, 56 soil samples from five mine tailings and 17 from two mine villages were collected and analyzed for Asernic (As), Lead (Pb), Mercury (Hg), Cadmium (Cd), Chromium (Cr), Cobalt (Co), Nickel (Ni), Copper (Cu) and Zinc (Zn) using ICP-MS. Measured concentrations of these heavy metals were then used to calculate the health risk for adults and children. Their concentrations were such that Cr &gt; Ni &gt; As &gt; Zn &gt; Cu &gt; Co &gt; Pb &gt; Hg &gt; Cd, with As, Cr and Ni higher than permissible levels. For the adult population, the Hazard Index value for all pathways was found to be 2.13, making non-carcinogenic effects significant to the adult population. For children, the Hazard Index value was 43.80, a value &gt;&gt;1, which poses serious non-carcinogenic effect to children living in the gold mining area. The carcinogenic risk was found to be 1.7 × 10−4 implying that 1 person in every 5882 adults may be affected. In addition, for children, in every 2725 individuals, 1 child may be affected (3.67 × 10−4). These carcinogenic risk values were both higher than acceptable values.","author":[{"dropping-particle":"","family":"Kamunda","given":"Caspah","non-dropping-particle":"","parse-names":false,"suffix":""},{"dropping-particle":"","family":"Mathuthu","given":"Manny","non-dropping-particle":"","parse-names":false,"suffix":""},{"dropping-particle":"","family":"Madhuku","given":"Morgan","non-dropping-particle":"","parse-names":false,"suffix":""}],"container-title":"International Journal of Environmental Research and Public Health","id":"ITEM-1","issue":"7","issued":{"date-parts":[["2016","6","30"]]},"page":"663","title":"Health Risk Assessment of Heavy Metals in Soils from Witwatersrand Gold Mining Basin, South Africa","type":"article-journal","volume":"13"},"uris":["http://www.mendeley.com/documents/?uuid=40e1a730-46c7-4470-a2fc-1870987afcca"]}],"mendeley":{"formattedCitation":"(Kamunda et al., 2016)","manualFormatting":"Kamunda et al. (2016)","plainTextFormattedCitation":"(Kamunda et al., 2016)","previouslyFormattedCitation":"(Kamunda et al., 2016)"},"properties":{"noteIndex":0},"schema":"https://github.com/citation-style-language/schema/raw/master/csl-citation.json"}</w:instrText>
            </w:r>
            <w:r w:rsidRPr="00D14B84">
              <w:rPr>
                <w:rFonts w:ascii="Times New Roman" w:hAnsi="Times New Roman" w:cs="Times New Roman"/>
                <w:color w:val="00B0F0"/>
                <w:sz w:val="24"/>
                <w:szCs w:val="24"/>
                <w:lang w:val="en-GB"/>
              </w:rPr>
              <w:fldChar w:fldCharType="separate"/>
            </w:r>
            <w:r w:rsidRPr="00D14B84">
              <w:rPr>
                <w:rFonts w:ascii="Times New Roman" w:hAnsi="Times New Roman" w:cs="Times New Roman"/>
                <w:noProof/>
                <w:color w:val="00B0F0"/>
                <w:sz w:val="24"/>
                <w:szCs w:val="24"/>
                <w:lang w:val="en-GB"/>
              </w:rPr>
              <w:t>Kamunda et al. (2016)</w:t>
            </w:r>
            <w:r w:rsidRPr="00D14B84">
              <w:rPr>
                <w:rFonts w:ascii="Times New Roman" w:hAnsi="Times New Roman" w:cs="Times New Roman"/>
                <w:color w:val="00B0F0"/>
                <w:sz w:val="24"/>
                <w:szCs w:val="24"/>
                <w:lang w:val="en-GB"/>
              </w:rPr>
              <w:fldChar w:fldCharType="end"/>
            </w:r>
          </w:p>
        </w:tc>
      </w:tr>
    </w:tbl>
    <w:p w14:paraId="4D2A65E6" w14:textId="36E53EBB" w:rsidR="00860E2E" w:rsidRDefault="005C118F" w:rsidP="005C118F">
      <w:pPr>
        <w:spacing w:after="0" w:line="240" w:lineRule="auto"/>
        <w:jc w:val="both"/>
        <w:rPr>
          <w:rFonts w:ascii="Times New Roman" w:hAnsi="Times New Roman" w:cs="Times New Roman"/>
          <w:sz w:val="24"/>
          <w:szCs w:val="24"/>
          <w:lang w:val="en-GB"/>
        </w:rPr>
      </w:pPr>
      <w:r w:rsidRPr="00D14B84">
        <w:rPr>
          <w:rFonts w:ascii="Times New Roman" w:hAnsi="Times New Roman" w:cs="Times New Roman"/>
          <w:sz w:val="24"/>
          <w:szCs w:val="24"/>
          <w:lang w:val="en-GB"/>
        </w:rPr>
        <w:t>*: for young children; #: for older children and adults.</w:t>
      </w:r>
    </w:p>
    <w:p w14:paraId="13A46D45" w14:textId="1BE73CBF" w:rsidR="00746F9C" w:rsidRDefault="00746F9C" w:rsidP="005C118F">
      <w:pPr>
        <w:spacing w:after="0" w:line="240" w:lineRule="auto"/>
        <w:jc w:val="both"/>
        <w:rPr>
          <w:rFonts w:ascii="Times New Roman" w:hAnsi="Times New Roman" w:cs="Times New Roman"/>
          <w:sz w:val="24"/>
          <w:szCs w:val="24"/>
          <w:lang w:val="en-GB"/>
        </w:rPr>
      </w:pPr>
    </w:p>
    <w:p w14:paraId="11123040" w14:textId="6C636F1B" w:rsidR="00746F9C" w:rsidRPr="00746F9C" w:rsidRDefault="00746F9C" w:rsidP="00746F9C">
      <w:pPr>
        <w:spacing w:line="240" w:lineRule="auto"/>
        <w:jc w:val="both"/>
        <w:rPr>
          <w:rFonts w:ascii="Times New Roman" w:hAnsi="Times New Roman" w:cs="Times New Roman"/>
          <w:b/>
          <w:bCs/>
          <w:sz w:val="24"/>
          <w:szCs w:val="24"/>
          <w:lang w:val="en-GB"/>
        </w:rPr>
      </w:pPr>
      <w:r w:rsidRPr="00746F9C">
        <w:rPr>
          <w:rFonts w:ascii="Times New Roman" w:hAnsi="Times New Roman" w:cs="Times New Roman"/>
          <w:b/>
          <w:bCs/>
          <w:sz w:val="24"/>
          <w:szCs w:val="24"/>
          <w:lang w:val="en-GB"/>
        </w:rPr>
        <w:t>References</w:t>
      </w:r>
    </w:p>
    <w:p w14:paraId="788E3905" w14:textId="77777777" w:rsidR="001C4A4F" w:rsidRPr="00F011FC" w:rsidRDefault="001C4A4F" w:rsidP="00746F9C">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Ahmad, W., Alharthy, R. D., Zubair, M., Ahmed, M., Hameed, A., &amp; Rafique, S. (2021). Toxic and heavy metals contamination assessment in soil and water to evaluate human health risk. Scientific Reports, 11(1), 17006. https://doi.org/10.1038/s41598-021-94616-4</w:t>
      </w:r>
    </w:p>
    <w:p w14:paraId="032E7339" w14:textId="77777777" w:rsidR="001C4A4F" w:rsidRPr="00F011FC" w:rsidRDefault="001C4A4F" w:rsidP="00746F9C">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Felix, C. S. A., Pereira Junior, J. B., da Silva Junior, J. B., Cruz, A. S., Dantas, K. G. F., &amp; Ferreira, S. L. C. (2022). Determination and human health risk assessment of mercury in fish samples. Talanta, 247, 123557. https://doi.org/10.1016/j.talanta.2022.123557</w:t>
      </w:r>
    </w:p>
    <w:p w14:paraId="280715AB" w14:textId="77777777" w:rsidR="001C4A4F" w:rsidRPr="00F011FC"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Finley, B. L., Monnot, A. D., Paustenbach, D. J., &amp; Gaffney, S. H. (2012). Derivation of a chronic oral reference dose for cobalt. Regulatory Toxicology and Pharmacology, 64(3), 491–503. https://doi.org/10.1016/j.yrtph.2012.08.022</w:t>
      </w:r>
    </w:p>
    <w:p w14:paraId="32D7114C" w14:textId="77777777" w:rsidR="001C4A4F" w:rsidRPr="00F011FC"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Gu, Y.-G., Lin, Q., &amp; Gao, Y.-P. (2016). Metals in exposed-lawn soils from 18 urban parks and its human health implications in southern China’s largest city, Guangzhou. Journal of Cleaner Production, 115, 122–129. https://doi.org/10.1016/j.jclepro.2015.12.031</w:t>
      </w:r>
    </w:p>
    <w:p w14:paraId="7FBF68B9" w14:textId="77777777" w:rsidR="001C4A4F" w:rsidRPr="00F011FC"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 xml:space="preserve">Hao, L., Han, Y., Zhang, S., Luo, Y., Luo, K., Zhang, L., &amp; Chen, W. (2024). Estimated daily intake and health risk assessment of total and organic selenium in crops across areas with </w:t>
      </w:r>
      <w:r w:rsidRPr="00F011FC">
        <w:rPr>
          <w:rFonts w:ascii="Times New Roman" w:hAnsi="Times New Roman" w:cs="Times New Roman"/>
          <w:sz w:val="24"/>
          <w:szCs w:val="24"/>
        </w:rPr>
        <w:lastRenderedPageBreak/>
        <w:t>different selenium levels. Journal of Trace Elements in Medicine and Biology, 86, 127525. https://doi.org/10.1016/j.jtemb.2024.127525</w:t>
      </w:r>
    </w:p>
    <w:p w14:paraId="6D21726C" w14:textId="77777777" w:rsidR="001C4A4F" w:rsidRPr="00F011FC"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Kamunda, C., Mathuthu, M., &amp; Madhuku, M. (2016). Health Risk Assessment of Heavy Metals in Soils from Witwatersrand Gold Mining Basin, South Africa. International Journal of Environmental Research and Public Health, 13(7), 663. https://doi.org/10.3390/ijerph13070663</w:t>
      </w:r>
    </w:p>
    <w:p w14:paraId="372F84C2" w14:textId="77777777" w:rsidR="001C4A4F" w:rsidRPr="00F011FC"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Udom, G. J., Obilor, O. F., Ise, U. P., Onyeukwu, N. J., Udoh, A. E., Aturamu, A., &amp; Yemitan, O. K. (2022). Heavy Metal Content of a Polyherbal Drug: Any Exposure-associated Public Health Risks? Journal of Health Sciences &amp; Surveillance System, 10(2), 189–196. https://doi.org/10.30476/jhsss.2021.93527.1457</w:t>
      </w:r>
    </w:p>
    <w:p w14:paraId="3504D321" w14:textId="77777777" w:rsidR="001C4A4F" w:rsidRDefault="001C4A4F" w:rsidP="00746F9C">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 xml:space="preserve">Wong, C., Roberts, S. M., &amp; Saab, I. N. (2022). Review of regulatory reference values and background levels for heavy metals in the human diet. Regulatory Toxicology and Pharmacology, 130, 105122. </w:t>
      </w:r>
      <w:hyperlink r:id="rId16" w:history="1">
        <w:r w:rsidRPr="00A618DA">
          <w:rPr>
            <w:rStyle w:val="Hyperlink"/>
            <w:rFonts w:ascii="Times New Roman" w:hAnsi="Times New Roman" w:cs="Times New Roman"/>
            <w:sz w:val="24"/>
            <w:szCs w:val="24"/>
          </w:rPr>
          <w:t>https://doi.org/10.1016/j.yrtph.2022.105122</w:t>
        </w:r>
      </w:hyperlink>
    </w:p>
    <w:p w14:paraId="15246BDD" w14:textId="77777777" w:rsidR="001C4A4F" w:rsidRPr="00F011FC" w:rsidRDefault="001C4A4F" w:rsidP="00746F9C">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Yang, S., Zhao, J., Chang, S. X., Collins, C., Xu, J., &amp; Liu, X. (2019). Status assessment and probabilistic health risk modeling of metals accumulation in agriculture soils across China: A synthesis. Environment International, 128, 165–174. https://doi.org/10.1016/j.envint.2019.04.044</w:t>
      </w:r>
    </w:p>
    <w:p w14:paraId="314AACB7" w14:textId="77777777" w:rsidR="001C4A4F" w:rsidRPr="00992E98" w:rsidRDefault="001C4A4F" w:rsidP="001C4A4F">
      <w:pPr>
        <w:ind w:left="720" w:hanging="720"/>
        <w:jc w:val="both"/>
        <w:rPr>
          <w:rFonts w:ascii="Times New Roman" w:hAnsi="Times New Roman" w:cs="Times New Roman"/>
          <w:sz w:val="24"/>
          <w:szCs w:val="24"/>
        </w:rPr>
      </w:pPr>
      <w:r w:rsidRPr="00F011FC">
        <w:rPr>
          <w:rFonts w:ascii="Times New Roman" w:hAnsi="Times New Roman" w:cs="Times New Roman"/>
          <w:sz w:val="24"/>
          <w:szCs w:val="24"/>
        </w:rPr>
        <w:t>Zhou, Y., Gao, L., Xu, D., &amp; Gao, B. (2019). Geochemical baseline establishment, environmental impact and health risk assessment of vanadium in lake sediments, China. Science of The Total Environment, 660, 1338–1345. https://doi.org/10.1016/j.scitotenv.2019.01.093</w:t>
      </w:r>
    </w:p>
    <w:sectPr w:rsidR="001C4A4F" w:rsidRPr="00992E98" w:rsidSect="005C118F">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118F"/>
    <w:rsid w:val="001C4A4F"/>
    <w:rsid w:val="005C118F"/>
    <w:rsid w:val="00746F9C"/>
    <w:rsid w:val="00860E2E"/>
    <w:rsid w:val="00DA4236"/>
    <w:rsid w:val="00F2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60C30E"/>
  <w15:chartTrackingRefBased/>
  <w15:docId w15:val="{33673C32-18A2-4DF9-AB45-3C7C9D48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8F"/>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1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C118F"/>
  </w:style>
  <w:style w:type="character" w:styleId="Hyperlink">
    <w:name w:val="Hyperlink"/>
    <w:basedOn w:val="DefaultParagraphFont"/>
    <w:uiPriority w:val="99"/>
    <w:unhideWhenUsed/>
    <w:rsid w:val="00746F9C"/>
    <w:rPr>
      <w:color w:val="0000FF" w:themeColor="hyperlink"/>
      <w:u w:val="single"/>
    </w:rPr>
  </w:style>
  <w:style w:type="character" w:styleId="UnresolvedMention">
    <w:name w:val="Unresolved Mention"/>
    <w:basedOn w:val="DefaultParagraphFont"/>
    <w:uiPriority w:val="99"/>
    <w:semiHidden/>
    <w:unhideWhenUsed/>
    <w:rsid w:val="00746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16/j.yrtph.2022.10512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4066</Words>
  <Characters>23953</Characters>
  <Application>Microsoft Office Word</Application>
  <DocSecurity>0</DocSecurity>
  <Lines>772</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Godswill Udom</dc:creator>
  <cp:keywords/>
  <dc:description/>
  <cp:lastModifiedBy>Dr Godswill Udom</cp:lastModifiedBy>
  <cp:revision>2</cp:revision>
  <dcterms:created xsi:type="dcterms:W3CDTF">2025-05-19T07:45:00Z</dcterms:created>
  <dcterms:modified xsi:type="dcterms:W3CDTF">2025-05-19T08:10:00Z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9d9a56b0-dbf0-4dc0-ab18-e82f64c9b14f</vt:lpwstr>
  </property>
</Properties>
</file>