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D83" w:rsidRPr="00342F43" w:rsidRDefault="00E30D83" w:rsidP="00E30D83">
      <w:pPr>
        <w:spacing w:line="360" w:lineRule="auto"/>
        <w:rPr>
          <w:rFonts w:ascii="Times New Roman" w:eastAsia="Dotum" w:hAnsi="Times New Roman" w:cs="Times New Roman"/>
          <w:color w:val="000000" w:themeColor="text1"/>
          <w:sz w:val="22"/>
          <w:szCs w:val="22"/>
        </w:rPr>
      </w:pPr>
      <w:r w:rsidRPr="00342F43">
        <w:rPr>
          <w:rFonts w:ascii="Times New Roman" w:eastAsia="Dotum" w:hAnsi="Times New Roman" w:cs="Times New Roman"/>
          <w:color w:val="000000" w:themeColor="text1"/>
          <w:sz w:val="22"/>
          <w:szCs w:val="22"/>
        </w:rPr>
        <w:t>Supplementary table 1</w:t>
      </w:r>
      <w:r w:rsidRPr="00342F4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00342F43">
        <w:rPr>
          <w:rFonts w:ascii="Times New Roman" w:eastAsia="Dotum" w:hAnsi="Times New Roman" w:cs="Times New Roman"/>
          <w:color w:val="000000" w:themeColor="text1"/>
          <w:sz w:val="22"/>
          <w:szCs w:val="22"/>
        </w:rPr>
        <w:t>Autoantibody profiles of idiopathic pulmonary fibrosis patients with anti-neutrophil cytoplasmic antibodies or autoantibodies that met the serology criteria for interstitial pneumonitis with autoimmune features, dichotomized based on progression to connective tissue disease.</w:t>
      </w:r>
    </w:p>
    <w:p w:rsidR="00E30D83" w:rsidRPr="00342F43" w:rsidRDefault="00E30D83" w:rsidP="00E30D83">
      <w:pPr>
        <w:suppressAutoHyphens/>
        <w:snapToGrid w:val="0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42F43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E30D83" w:rsidRPr="00342F43" w:rsidRDefault="00E30D83" w:rsidP="00E30D83">
      <w:pPr>
        <w:suppressAutoHyphens/>
        <w:snapToGrid w:val="0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0" w:type="auto"/>
        <w:jc w:val="center"/>
        <w:tblLayout w:type="fixed"/>
        <w:tblLook w:val="0600" w:firstRow="0" w:lastRow="0" w:firstColumn="0" w:lastColumn="0" w:noHBand="1" w:noVBand="1"/>
      </w:tblPr>
      <w:tblGrid>
        <w:gridCol w:w="2392"/>
        <w:gridCol w:w="1471"/>
        <w:gridCol w:w="1471"/>
        <w:gridCol w:w="913"/>
      </w:tblGrid>
      <w:tr w:rsidR="00E30D83" w:rsidRPr="00342F43" w:rsidTr="004E65F9">
        <w:trPr>
          <w:cantSplit/>
          <w:tblHeader/>
          <w:jc w:val="center"/>
        </w:trPr>
        <w:tc>
          <w:tcPr>
            <w:tcW w:w="2392" w:type="dxa"/>
            <w:vMerge w:val="restart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71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Without progression to CTD</w:t>
            </w:r>
          </w:p>
        </w:tc>
        <w:tc>
          <w:tcPr>
            <w:tcW w:w="1471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Progression to CTD</w:t>
            </w:r>
          </w:p>
        </w:tc>
        <w:tc>
          <w:tcPr>
            <w:tcW w:w="913" w:type="dxa"/>
            <w:vMerge w:val="restart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E30D83" w:rsidRPr="00342F43" w:rsidTr="004E65F9">
        <w:trPr>
          <w:cantSplit/>
          <w:tblHeader/>
          <w:jc w:val="center"/>
        </w:trPr>
        <w:tc>
          <w:tcPr>
            <w:tcW w:w="2392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71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(N=138)</w:t>
            </w:r>
          </w:p>
        </w:tc>
        <w:tc>
          <w:tcPr>
            <w:tcW w:w="1471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(N=15)</w:t>
            </w:r>
          </w:p>
        </w:tc>
        <w:tc>
          <w:tcPr>
            <w:tcW w:w="913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Rheumatoid factor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55/137 (40.1%)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9/15 (60.0%)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0.229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ACPA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16/122 (13.1%)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6/15 (40.0%)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0.021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Antinuclear antibody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44/138 (31.9%)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4/15 (26.7%)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0.904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Anti-dsDNA antibody 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19/89 (21.3%)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0/13 ( 0.0%)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0.143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Anti-RNP antibody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1/119 ( 0.8%)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0/14 ( 0.0%)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Anti-Sm antibody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2/119 ( 1.7%)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0/14 ( 0.0%)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Anti-Ro antibody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18/138 (13.0%)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2/15 (13.3%)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Anti-La antibody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1/138 ( 0.7%)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1/15 ( 6.7%)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0.467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Anti-</w:t>
            </w:r>
            <w:proofErr w:type="spellStart"/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Scl</w:t>
            </w:r>
            <w:proofErr w:type="spellEnd"/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antibody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1/138 ( 0.7%)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0/15 ( 0.0%)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Anti-Jo antibody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1/137 ( 0.7%)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0/15 ( 0.0%)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MPO-ANCA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23/137 (16.8%)</w:t>
            </w: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6/15 (40.0%)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0.068</w:t>
            </w:r>
          </w:p>
        </w:tc>
      </w:tr>
      <w:tr w:rsidR="00E30D83" w:rsidRPr="00342F43" w:rsidTr="004E65F9">
        <w:trPr>
          <w:cantSplit/>
          <w:jc w:val="center"/>
        </w:trPr>
        <w:tc>
          <w:tcPr>
            <w:tcW w:w="2392" w:type="dxa"/>
            <w:tcBorders>
              <w:bottom w:val="singl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PR3-ANCA</w:t>
            </w:r>
          </w:p>
        </w:tc>
        <w:tc>
          <w:tcPr>
            <w:tcW w:w="1471" w:type="dxa"/>
            <w:tcBorders>
              <w:bottom w:val="singl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4/137 ( 2.9%)</w:t>
            </w:r>
          </w:p>
        </w:tc>
        <w:tc>
          <w:tcPr>
            <w:tcW w:w="1471" w:type="dxa"/>
            <w:tcBorders>
              <w:bottom w:val="singl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0/15 ( 0.0%)</w:t>
            </w:r>
          </w:p>
        </w:tc>
        <w:tc>
          <w:tcPr>
            <w:tcW w:w="913" w:type="dxa"/>
            <w:tcBorders>
              <w:bottom w:val="singl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0D83" w:rsidRPr="00342F43" w:rsidRDefault="00E30D83" w:rsidP="004E65F9">
            <w:pPr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2F4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</w:t>
            </w:r>
          </w:p>
        </w:tc>
      </w:tr>
    </w:tbl>
    <w:p w:rsidR="00412343" w:rsidRDefault="00412343">
      <w:bookmarkStart w:id="0" w:name="_GoBack"/>
      <w:bookmarkEnd w:id="0"/>
    </w:p>
    <w:sectPr w:rsidR="00412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Dotu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83"/>
    <w:rsid w:val="00412343"/>
    <w:rsid w:val="00E3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3C60E-E27E-4230-8DD9-0D345027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D83"/>
    <w:pPr>
      <w:spacing w:after="0" w:line="240" w:lineRule="auto"/>
    </w:pPr>
    <w:rPr>
      <w:rFonts w:ascii="Gulim" w:eastAsia="Gulim" w:hAnsi="Gulim" w:cs="Gulim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SPRINGERNATURE\btr8097</dc:creator>
  <cp:keywords/>
  <dc:description/>
  <cp:lastModifiedBy>SPRINGERNATURE\btr8097</cp:lastModifiedBy>
  <cp:revision>1</cp:revision>
  <dcterms:created xsi:type="dcterms:W3CDTF">2020-10-08T03:32:00Z</dcterms:created>
  <dcterms:modified xsi:type="dcterms:W3CDTF">2020-10-08T03:33:00Z</dcterms:modified>
</cp:coreProperties>
</file>