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034C8" w14:textId="362FADC4" w:rsidR="00632C7E" w:rsidRPr="00075623" w:rsidRDefault="00F9604B" w:rsidP="00632C7E">
      <w:pPr>
        <w:pStyle w:val="Titolo2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SUPPLEMENT</w:t>
      </w:r>
      <w:r w:rsidR="005F5151">
        <w:rPr>
          <w:rFonts w:ascii="Times New Roman" w:hAnsi="Times New Roman" w:cs="Times New Roman"/>
          <w:lang w:val="en-US"/>
        </w:rPr>
        <w:t>ARY INFORMATION</w:t>
      </w:r>
    </w:p>
    <w:p w14:paraId="3ECD8432" w14:textId="77777777" w:rsidR="00A009E1" w:rsidRPr="00075623" w:rsidRDefault="00A009E1" w:rsidP="00A009E1">
      <w:pPr>
        <w:rPr>
          <w:rFonts w:ascii="Times New Roman" w:hAnsi="Times New Roman" w:cs="Times New Roman"/>
          <w:lang w:val="en-US"/>
        </w:rPr>
      </w:pPr>
    </w:p>
    <w:p w14:paraId="5345B8E4" w14:textId="77777777" w:rsidR="00632C7E" w:rsidRPr="00075623" w:rsidRDefault="00632C7E" w:rsidP="00632C7E">
      <w:pPr>
        <w:rPr>
          <w:rFonts w:ascii="Times New Roman" w:hAnsi="Times New Roman" w:cs="Times New Roman"/>
          <w:lang w:val="en-US"/>
        </w:rPr>
      </w:pPr>
    </w:p>
    <w:p w14:paraId="34D2F3AC" w14:textId="77777777" w:rsidR="00632C7E" w:rsidRPr="00075623" w:rsidRDefault="00632C7E" w:rsidP="00632C7E">
      <w:pPr>
        <w:rPr>
          <w:rFonts w:ascii="Times New Roman" w:hAnsi="Times New Roman" w:cs="Times New Roman"/>
          <w:lang w:val="en-US"/>
        </w:rPr>
      </w:pPr>
      <w:r w:rsidRPr="00075623">
        <w:rPr>
          <w:rFonts w:ascii="Times New Roman" w:hAnsi="Times New Roman" w:cs="Times New Roman"/>
          <w:lang w:val="en-US"/>
        </w:rPr>
        <w:t>List of tables:</w:t>
      </w:r>
    </w:p>
    <w:p w14:paraId="1C24CC8B" w14:textId="73196B3A" w:rsidR="0042012F" w:rsidRDefault="0042012F" w:rsidP="00632C7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Supplement Table 1. Outcome desirability dimensions.</w:t>
      </w:r>
    </w:p>
    <w:p w14:paraId="1BDAD618" w14:textId="7BDA4131" w:rsidR="00632C7E" w:rsidRPr="00075623" w:rsidRDefault="00632C7E" w:rsidP="00632C7E">
      <w:pPr>
        <w:rPr>
          <w:rFonts w:ascii="Times New Roman" w:hAnsi="Times New Roman" w:cs="Times New Roman"/>
          <w:lang w:val="en-US"/>
        </w:rPr>
      </w:pPr>
      <w:r w:rsidRPr="00075623">
        <w:rPr>
          <w:rFonts w:ascii="Times New Roman" w:hAnsi="Times New Roman" w:cs="Times New Roman"/>
          <w:lang w:val="en-US"/>
        </w:rPr>
        <w:t xml:space="preserve">Supplement Table </w:t>
      </w:r>
      <w:r w:rsidR="0042012F">
        <w:rPr>
          <w:rFonts w:ascii="Times New Roman" w:hAnsi="Times New Roman" w:cs="Times New Roman"/>
          <w:lang w:val="en-US"/>
        </w:rPr>
        <w:t xml:space="preserve">2. </w:t>
      </w:r>
      <w:r w:rsidRPr="00075623">
        <w:rPr>
          <w:rFonts w:ascii="Times New Roman" w:hAnsi="Times New Roman" w:cs="Times New Roman"/>
          <w:lang w:val="en-US"/>
        </w:rPr>
        <w:t xml:space="preserve"> Exemplar </w:t>
      </w:r>
      <w:r w:rsidR="00312950">
        <w:rPr>
          <w:rFonts w:ascii="Times New Roman" w:hAnsi="Times New Roman" w:cs="Times New Roman"/>
          <w:lang w:val="en-US"/>
        </w:rPr>
        <w:t xml:space="preserve">WS calculation. </w:t>
      </w:r>
    </w:p>
    <w:p w14:paraId="35540A92" w14:textId="31386012" w:rsidR="00632C7E" w:rsidRPr="00075623" w:rsidRDefault="00632C7E" w:rsidP="00632C7E">
      <w:pPr>
        <w:jc w:val="both"/>
        <w:rPr>
          <w:rFonts w:ascii="Times New Roman" w:hAnsi="Times New Roman" w:cs="Times New Roman"/>
          <w:lang w:val="en-US"/>
        </w:rPr>
      </w:pPr>
      <w:r w:rsidRPr="00075623">
        <w:rPr>
          <w:rFonts w:ascii="Times New Roman" w:hAnsi="Times New Roman" w:cs="Times New Roman"/>
          <w:lang w:val="en-US"/>
        </w:rPr>
        <w:t xml:space="preserve">Supplement Table </w:t>
      </w:r>
      <w:r w:rsidR="0042012F">
        <w:rPr>
          <w:rFonts w:ascii="Times New Roman" w:hAnsi="Times New Roman" w:cs="Times New Roman"/>
          <w:lang w:val="en-US"/>
        </w:rPr>
        <w:t>3</w:t>
      </w:r>
      <w:r w:rsidRPr="00075623">
        <w:rPr>
          <w:rFonts w:ascii="Times New Roman" w:hAnsi="Times New Roman" w:cs="Times New Roman"/>
          <w:lang w:val="en-US"/>
        </w:rPr>
        <w:t xml:space="preserve">. </w:t>
      </w:r>
      <w:r w:rsidR="00312950">
        <w:rPr>
          <w:rFonts w:ascii="Times New Roman" w:hAnsi="Times New Roman" w:cs="Times New Roman"/>
          <w:lang w:val="en-US"/>
        </w:rPr>
        <w:t xml:space="preserve">Assessment of outcome </w:t>
      </w:r>
      <w:r w:rsidR="0042012F">
        <w:rPr>
          <w:rFonts w:ascii="Times New Roman" w:hAnsi="Times New Roman" w:cs="Times New Roman"/>
          <w:lang w:val="en-US"/>
        </w:rPr>
        <w:t>desirability.</w:t>
      </w:r>
    </w:p>
    <w:p w14:paraId="74265130" w14:textId="7003DF2A" w:rsidR="00632C7E" w:rsidRPr="00075623" w:rsidRDefault="00632C7E" w:rsidP="00632C7E">
      <w:pPr>
        <w:jc w:val="both"/>
        <w:rPr>
          <w:rFonts w:ascii="Times New Roman" w:hAnsi="Times New Roman" w:cs="Times New Roman"/>
          <w:lang w:val="en-US"/>
        </w:rPr>
      </w:pPr>
      <w:r w:rsidRPr="00075623">
        <w:rPr>
          <w:rFonts w:ascii="Times New Roman" w:hAnsi="Times New Roman" w:cs="Times New Roman"/>
          <w:lang w:val="en-US"/>
        </w:rPr>
        <w:t xml:space="preserve">Supplement Table 4. Operational definitions of </w:t>
      </w:r>
      <w:r w:rsidR="0042012F">
        <w:rPr>
          <w:rFonts w:ascii="Times New Roman" w:hAnsi="Times New Roman" w:cs="Times New Roman"/>
          <w:lang w:val="en-US"/>
        </w:rPr>
        <w:t>Q</w:t>
      </w:r>
      <w:r w:rsidR="00E97C86">
        <w:rPr>
          <w:rFonts w:ascii="Times New Roman" w:hAnsi="Times New Roman" w:cs="Times New Roman"/>
          <w:lang w:val="en-US"/>
        </w:rPr>
        <w:t>1-Q3 outcomes.</w:t>
      </w:r>
    </w:p>
    <w:p w14:paraId="7D058995" w14:textId="5F62AA0C" w:rsidR="00632C7E" w:rsidRPr="00075623" w:rsidRDefault="00632C7E" w:rsidP="00632C7E">
      <w:pPr>
        <w:rPr>
          <w:rFonts w:ascii="Times New Roman" w:hAnsi="Times New Roman" w:cs="Times New Roman"/>
          <w:lang w:val="en-US"/>
        </w:rPr>
      </w:pPr>
      <w:r w:rsidRPr="00075623">
        <w:rPr>
          <w:rFonts w:ascii="Times New Roman" w:hAnsi="Times New Roman" w:cs="Times New Roman"/>
          <w:lang w:val="en-US"/>
        </w:rPr>
        <w:t xml:space="preserve">Supplement Table </w:t>
      </w:r>
      <w:r w:rsidR="00E97C86">
        <w:rPr>
          <w:rFonts w:ascii="Times New Roman" w:hAnsi="Times New Roman" w:cs="Times New Roman"/>
          <w:lang w:val="en-US"/>
        </w:rPr>
        <w:t>5</w:t>
      </w:r>
      <w:r w:rsidRPr="00075623">
        <w:rPr>
          <w:rFonts w:ascii="Times New Roman" w:hAnsi="Times New Roman" w:cs="Times New Roman"/>
          <w:lang w:val="en-US"/>
        </w:rPr>
        <w:t xml:space="preserve">. </w:t>
      </w:r>
      <w:r w:rsidR="00312950">
        <w:rPr>
          <w:rFonts w:ascii="Times New Roman" w:hAnsi="Times New Roman" w:cs="Times New Roman"/>
          <w:lang w:val="en-US"/>
        </w:rPr>
        <w:t>Outcome validation.</w:t>
      </w:r>
    </w:p>
    <w:p w14:paraId="587C0FBD" w14:textId="77777777" w:rsidR="00632C7E" w:rsidRPr="00075623" w:rsidRDefault="00632C7E" w:rsidP="00632C7E">
      <w:pPr>
        <w:rPr>
          <w:rFonts w:ascii="Times New Roman" w:hAnsi="Times New Roman" w:cs="Times New Roman"/>
          <w:lang w:val="en-US"/>
        </w:rPr>
      </w:pPr>
    </w:p>
    <w:p w14:paraId="2A74B42E" w14:textId="77777777" w:rsidR="00632C7E" w:rsidRPr="00075623" w:rsidRDefault="00632C7E" w:rsidP="00632C7E">
      <w:pPr>
        <w:rPr>
          <w:rFonts w:ascii="Times New Roman" w:hAnsi="Times New Roman" w:cs="Times New Roman"/>
          <w:lang w:val="en-US"/>
        </w:rPr>
      </w:pPr>
      <w:r w:rsidRPr="00075623">
        <w:rPr>
          <w:rFonts w:ascii="Times New Roman" w:hAnsi="Times New Roman" w:cs="Times New Roman"/>
          <w:lang w:val="en-US"/>
        </w:rPr>
        <w:t>List of Figures:</w:t>
      </w:r>
    </w:p>
    <w:p w14:paraId="5A311F7A" w14:textId="08AA433F" w:rsidR="00632C7E" w:rsidRDefault="00632C7E" w:rsidP="00632C7E">
      <w:pPr>
        <w:rPr>
          <w:rFonts w:ascii="Times New Roman" w:hAnsi="Times New Roman" w:cs="Times New Roman"/>
          <w:lang w:val="en-US"/>
        </w:rPr>
      </w:pPr>
      <w:r w:rsidRPr="00075623">
        <w:rPr>
          <w:rFonts w:ascii="Times New Roman" w:hAnsi="Times New Roman" w:cs="Times New Roman"/>
          <w:lang w:val="en-US"/>
        </w:rPr>
        <w:t>Supplement Fig</w:t>
      </w:r>
      <w:r w:rsidR="00A816C4">
        <w:rPr>
          <w:rFonts w:ascii="Times New Roman" w:hAnsi="Times New Roman" w:cs="Times New Roman"/>
          <w:lang w:val="en-US"/>
        </w:rPr>
        <w:t>.</w:t>
      </w:r>
      <w:r w:rsidRPr="00075623">
        <w:rPr>
          <w:rFonts w:ascii="Times New Roman" w:hAnsi="Times New Roman" w:cs="Times New Roman"/>
          <w:lang w:val="en-US"/>
        </w:rPr>
        <w:t xml:space="preserve"> 1.</w:t>
      </w:r>
      <w:r w:rsidRPr="00075623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42012F" w:rsidRPr="00C919EE">
        <w:rPr>
          <w:rFonts w:ascii="Times New Roman" w:hAnsi="Times New Roman" w:cs="Times New Roman"/>
          <w:sz w:val="20"/>
          <w:szCs w:val="20"/>
          <w:lang w:val="en-US"/>
        </w:rPr>
        <w:t>Scoring and weighting of desirability dimensions</w:t>
      </w:r>
    </w:p>
    <w:p w14:paraId="76FDF221" w14:textId="48844548" w:rsidR="0042012F" w:rsidRDefault="00F9604B" w:rsidP="00632C7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Supplement</w:t>
      </w:r>
      <w:r w:rsidR="0042012F">
        <w:rPr>
          <w:rFonts w:ascii="Times New Roman" w:hAnsi="Times New Roman" w:cs="Times New Roman"/>
          <w:lang w:val="en-US"/>
        </w:rPr>
        <w:t xml:space="preserve"> Fig</w:t>
      </w:r>
      <w:r w:rsidR="00A816C4">
        <w:rPr>
          <w:rFonts w:ascii="Times New Roman" w:hAnsi="Times New Roman" w:cs="Times New Roman"/>
          <w:lang w:val="en-US"/>
        </w:rPr>
        <w:t>.</w:t>
      </w:r>
      <w:r w:rsidR="0042012F">
        <w:rPr>
          <w:rFonts w:ascii="Times New Roman" w:hAnsi="Times New Roman" w:cs="Times New Roman"/>
          <w:lang w:val="en-US"/>
        </w:rPr>
        <w:t xml:space="preserve"> 2. Ranking of outcomes</w:t>
      </w:r>
    </w:p>
    <w:p w14:paraId="0C0F2D36" w14:textId="650C0B24" w:rsidR="008601D8" w:rsidRDefault="008601D8" w:rsidP="00632C7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Supplement Fig</w:t>
      </w:r>
      <w:r w:rsidR="00A816C4">
        <w:rPr>
          <w:rFonts w:ascii="Times New Roman" w:hAnsi="Times New Roman" w:cs="Times New Roman"/>
          <w:lang w:val="en-US"/>
        </w:rPr>
        <w:t>.</w:t>
      </w:r>
      <w:r>
        <w:rPr>
          <w:rFonts w:ascii="Times New Roman" w:hAnsi="Times New Roman" w:cs="Times New Roman"/>
          <w:lang w:val="en-US"/>
        </w:rPr>
        <w:t xml:space="preserve"> 3. Simulated DEMYO analysis of a randomized clinical trial.</w:t>
      </w:r>
    </w:p>
    <w:p w14:paraId="29E5B0FF" w14:textId="77777777" w:rsidR="008601D8" w:rsidRPr="00075623" w:rsidRDefault="008601D8" w:rsidP="00632C7E">
      <w:pPr>
        <w:rPr>
          <w:rFonts w:ascii="Times New Roman" w:hAnsi="Times New Roman" w:cs="Times New Roman"/>
          <w:lang w:val="en-US"/>
        </w:rPr>
      </w:pPr>
    </w:p>
    <w:p w14:paraId="29917233" w14:textId="77777777" w:rsidR="00632C7E" w:rsidRPr="00075623" w:rsidRDefault="00632C7E" w:rsidP="00632C7E">
      <w:pPr>
        <w:rPr>
          <w:rFonts w:ascii="Times New Roman" w:hAnsi="Times New Roman" w:cs="Times New Roman"/>
          <w:lang w:val="en-US"/>
        </w:rPr>
      </w:pPr>
    </w:p>
    <w:p w14:paraId="4BD6D110" w14:textId="77777777" w:rsidR="00632C7E" w:rsidRPr="00075623" w:rsidRDefault="00632C7E" w:rsidP="00632C7E">
      <w:pPr>
        <w:rPr>
          <w:rFonts w:ascii="Times New Roman" w:hAnsi="Times New Roman" w:cs="Times New Roman"/>
          <w:b/>
          <w:bCs/>
          <w:lang w:val="en-US"/>
        </w:rPr>
      </w:pPr>
      <w:r w:rsidRPr="00075623">
        <w:rPr>
          <w:rFonts w:ascii="Times New Roman" w:hAnsi="Times New Roman" w:cs="Times New Roman"/>
          <w:b/>
          <w:bCs/>
          <w:lang w:val="en-US"/>
        </w:rPr>
        <w:br w:type="page"/>
      </w:r>
    </w:p>
    <w:p w14:paraId="04C6136E" w14:textId="3F63E63E" w:rsidR="00CE0B82" w:rsidRDefault="00F9604B" w:rsidP="00464CE1">
      <w:pPr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lastRenderedPageBreak/>
        <w:t>Supplement</w:t>
      </w:r>
      <w:r w:rsidR="00464CE1" w:rsidRPr="00075623">
        <w:rPr>
          <w:rFonts w:ascii="Times New Roman" w:hAnsi="Times New Roman" w:cs="Times New Roman"/>
          <w:b/>
          <w:bCs/>
          <w:lang w:val="en-US"/>
        </w:rPr>
        <w:t xml:space="preserve"> Table 1.</w:t>
      </w:r>
      <w:r w:rsidR="00CE0B82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CE0B82" w:rsidRPr="0040485D">
        <w:rPr>
          <w:rFonts w:ascii="Times New Roman" w:hAnsi="Times New Roman" w:cs="Times New Roman"/>
          <w:lang w:val="en-US"/>
        </w:rPr>
        <w:t>Outcome desirability dimensions.</w:t>
      </w:r>
    </w:p>
    <w:p w14:paraId="4C6A4874" w14:textId="77777777" w:rsidR="00CE0B82" w:rsidRDefault="00CE0B82" w:rsidP="00464CE1">
      <w:pPr>
        <w:rPr>
          <w:rFonts w:ascii="Times New Roman" w:hAnsi="Times New Roman" w:cs="Times New Roman"/>
          <w:b/>
          <w:bCs/>
          <w:lang w:val="en-US"/>
        </w:rPr>
      </w:pPr>
    </w:p>
    <w:tbl>
      <w:tblPr>
        <w:tblStyle w:val="Tabellagriglia1chiara"/>
        <w:tblW w:w="0" w:type="auto"/>
        <w:tblLook w:val="04A0" w:firstRow="1" w:lastRow="0" w:firstColumn="1" w:lastColumn="0" w:noHBand="0" w:noVBand="1"/>
      </w:tblPr>
      <w:tblGrid>
        <w:gridCol w:w="2138"/>
        <w:gridCol w:w="3417"/>
        <w:gridCol w:w="4087"/>
        <w:gridCol w:w="4635"/>
      </w:tblGrid>
      <w:tr w:rsidR="00053544" w14:paraId="09E7BC5C" w14:textId="33721605" w:rsidTr="000535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8" w:type="dxa"/>
          </w:tcPr>
          <w:p w14:paraId="61A9E179" w14:textId="415D1E38" w:rsidR="00053544" w:rsidRPr="00CE0B82" w:rsidRDefault="00053544" w:rsidP="00F0716E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CE0B82">
              <w:rPr>
                <w:rFonts w:ascii="Times New Roman" w:hAnsi="Times New Roman" w:cs="Times New Roman"/>
                <w:lang w:val="en-US"/>
              </w:rPr>
              <w:t>Desirability Dimension</w:t>
            </w:r>
          </w:p>
        </w:tc>
        <w:tc>
          <w:tcPr>
            <w:tcW w:w="3417" w:type="dxa"/>
          </w:tcPr>
          <w:p w14:paraId="4D3BCB01" w14:textId="7482E289" w:rsidR="00053544" w:rsidRPr="00CE0B82" w:rsidRDefault="00053544" w:rsidP="00F0716E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E0B82">
              <w:rPr>
                <w:rFonts w:ascii="Times New Roman" w:hAnsi="Times New Roman" w:cs="Times New Roman"/>
                <w:lang w:val="en-US"/>
              </w:rPr>
              <w:t>Description</w:t>
            </w:r>
          </w:p>
        </w:tc>
        <w:tc>
          <w:tcPr>
            <w:tcW w:w="4087" w:type="dxa"/>
          </w:tcPr>
          <w:p w14:paraId="2317DB1C" w14:textId="30A79658" w:rsidR="00053544" w:rsidRDefault="00053544" w:rsidP="00F0716E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Question</w:t>
            </w:r>
          </w:p>
        </w:tc>
        <w:tc>
          <w:tcPr>
            <w:tcW w:w="4635" w:type="dxa"/>
          </w:tcPr>
          <w:p w14:paraId="3AC39D93" w14:textId="1BD70642" w:rsidR="00053544" w:rsidRPr="00CE0B82" w:rsidRDefault="00053544" w:rsidP="00F0716E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Exemplar</w:t>
            </w:r>
          </w:p>
        </w:tc>
      </w:tr>
      <w:tr w:rsidR="00053544" w:rsidRPr="005F5151" w14:paraId="7330E6C0" w14:textId="6D9ED31C" w:rsidTr="000535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8" w:type="dxa"/>
          </w:tcPr>
          <w:p w14:paraId="59155C21" w14:textId="6112357F" w:rsidR="00053544" w:rsidRDefault="00053544" w:rsidP="00F0716E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lang w:val="en-US"/>
              </w:rPr>
              <w:t>Modifiability</w:t>
            </w:r>
          </w:p>
        </w:tc>
        <w:tc>
          <w:tcPr>
            <w:tcW w:w="3417" w:type="dxa"/>
          </w:tcPr>
          <w:p w14:paraId="237C50B5" w14:textId="7AE03022" w:rsidR="00053544" w:rsidRPr="00F153C0" w:rsidRDefault="00053544" w:rsidP="00F0716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This dimension checks the possibility of currently available treatment to change the status (or the trajectory) of the target outcome. </w:t>
            </w:r>
          </w:p>
        </w:tc>
        <w:tc>
          <w:tcPr>
            <w:tcW w:w="4087" w:type="dxa"/>
          </w:tcPr>
          <w:p w14:paraId="1B41500C" w14:textId="68A395E4" w:rsidR="00053544" w:rsidRPr="009818D6" w:rsidRDefault="00053544" w:rsidP="00F0716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Is the outcome potentially modifiable by treatments?</w:t>
            </w:r>
          </w:p>
        </w:tc>
        <w:tc>
          <w:tcPr>
            <w:tcW w:w="4635" w:type="dxa"/>
          </w:tcPr>
          <w:p w14:paraId="0115CF30" w14:textId="7FA94176" w:rsidR="00053544" w:rsidRPr="009818D6" w:rsidRDefault="00053544" w:rsidP="00F0716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  <w:r w:rsidRPr="009818D6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If blast phase transformation is considered only partially modifiable, this outcome modifiability is judged to be low.</w:t>
            </w:r>
          </w:p>
        </w:tc>
      </w:tr>
      <w:tr w:rsidR="00053544" w:rsidRPr="005F5151" w14:paraId="704E5D27" w14:textId="45495441" w:rsidTr="000535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8" w:type="dxa"/>
          </w:tcPr>
          <w:p w14:paraId="36113A07" w14:textId="07A3E994" w:rsidR="00053544" w:rsidRDefault="00053544" w:rsidP="00F0716E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lang w:val="en-US"/>
              </w:rPr>
              <w:t>Decisional Value</w:t>
            </w:r>
          </w:p>
        </w:tc>
        <w:tc>
          <w:tcPr>
            <w:tcW w:w="3417" w:type="dxa"/>
          </w:tcPr>
          <w:p w14:paraId="4DEBF622" w14:textId="408DB126" w:rsidR="00053544" w:rsidRPr="00F153C0" w:rsidRDefault="00053544" w:rsidP="00F0716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153C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This dimension highlights how much the outcome is reckoned as a goal for clinical decisions. </w:t>
            </w:r>
          </w:p>
        </w:tc>
        <w:tc>
          <w:tcPr>
            <w:tcW w:w="4087" w:type="dxa"/>
          </w:tcPr>
          <w:p w14:paraId="389BBC67" w14:textId="68A3D4A2" w:rsidR="00053544" w:rsidRPr="009818D6" w:rsidRDefault="00053544" w:rsidP="00F0716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 xml:space="preserve">Is </w:t>
            </w:r>
            <w:r w:rsidR="001C7DB4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the outcome an independent decisional criterion for the clinician?</w:t>
            </w:r>
          </w:p>
        </w:tc>
        <w:tc>
          <w:tcPr>
            <w:tcW w:w="4635" w:type="dxa"/>
          </w:tcPr>
          <w:p w14:paraId="2932184F" w14:textId="483BC906" w:rsidR="00053544" w:rsidRPr="009818D6" w:rsidRDefault="00053544" w:rsidP="00F0716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  <w:r w:rsidRPr="009818D6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If the decision of which TKI the patient needs to start depends on the estimated possibility to avoid severe thrombocytopenia and major clinically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9818D6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relevant bleedings, the decisional value of the two above outcomes is high.</w:t>
            </w:r>
          </w:p>
        </w:tc>
      </w:tr>
      <w:tr w:rsidR="00053544" w:rsidRPr="005F5151" w14:paraId="55532781" w14:textId="4FB13C5A" w:rsidTr="000535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8" w:type="dxa"/>
          </w:tcPr>
          <w:p w14:paraId="0958831A" w14:textId="1A7AFBC3" w:rsidR="00053544" w:rsidRDefault="00053544" w:rsidP="00F0716E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lang w:val="en-US"/>
              </w:rPr>
              <w:t>Reliability</w:t>
            </w:r>
          </w:p>
        </w:tc>
        <w:tc>
          <w:tcPr>
            <w:tcW w:w="3417" w:type="dxa"/>
          </w:tcPr>
          <w:p w14:paraId="23AA3F82" w14:textId="340C7094" w:rsidR="00053544" w:rsidRPr="00F153C0" w:rsidRDefault="00053544" w:rsidP="00F0716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This desirability feature points to the limitations of the outcome assessment methods.</w:t>
            </w:r>
          </w:p>
        </w:tc>
        <w:tc>
          <w:tcPr>
            <w:tcW w:w="4087" w:type="dxa"/>
          </w:tcPr>
          <w:p w14:paraId="24A46B59" w14:textId="4FADF4AA" w:rsidR="00053544" w:rsidRDefault="001C7DB4" w:rsidP="00F0716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Is outcome assessment by standard methods reliable?</w:t>
            </w:r>
          </w:p>
        </w:tc>
        <w:tc>
          <w:tcPr>
            <w:tcW w:w="4635" w:type="dxa"/>
          </w:tcPr>
          <w:p w14:paraId="5D6525E8" w14:textId="46FAF561" w:rsidR="00053544" w:rsidRPr="009818D6" w:rsidRDefault="00053544" w:rsidP="00F0716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 xml:space="preserve">If symptom burden estimation (by standard tools) is a poor marker of 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patients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 xml:space="preserve"> quality of life due to excessive variability, then this outcome reliability may be considered low.</w:t>
            </w:r>
          </w:p>
        </w:tc>
      </w:tr>
      <w:tr w:rsidR="00053544" w:rsidRPr="005F5151" w14:paraId="47C453B9" w14:textId="77777777" w:rsidTr="000535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8" w:type="dxa"/>
          </w:tcPr>
          <w:p w14:paraId="2AFEA1CC" w14:textId="78C557E7" w:rsidR="00053544" w:rsidRDefault="00F21874" w:rsidP="00F0716E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lang w:val="en-US"/>
              </w:rPr>
              <w:t>M</w:t>
            </w:r>
            <w:r w:rsidR="00053544">
              <w:rPr>
                <w:rFonts w:ascii="Times New Roman" w:hAnsi="Times New Roman" w:cs="Times New Roman"/>
                <w:b w:val="0"/>
                <w:bCs w:val="0"/>
                <w:lang w:val="en-US"/>
              </w:rPr>
              <w:t>eaningfulness</w:t>
            </w:r>
            <w:r w:rsidR="00053544">
              <w:rPr>
                <w:rFonts w:ascii="Times New Roman" w:hAnsi="Times New Roman" w:cs="Times New Roman"/>
                <w:b w:val="0"/>
                <w:bCs w:val="0"/>
                <w:vertAlign w:val="superscript"/>
                <w:lang w:val="en-US"/>
              </w:rPr>
              <w:t>1,2</w:t>
            </w:r>
          </w:p>
        </w:tc>
        <w:tc>
          <w:tcPr>
            <w:tcW w:w="3417" w:type="dxa"/>
          </w:tcPr>
          <w:p w14:paraId="0591DD43" w14:textId="74808FB7" w:rsidR="00053544" w:rsidRDefault="00053544" w:rsidP="00F0716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This dimension assesses </w:t>
            </w:r>
            <w:r w:rsidR="00BB238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outcomes value to both physicians and patients.</w:t>
            </w:r>
          </w:p>
        </w:tc>
        <w:tc>
          <w:tcPr>
            <w:tcW w:w="4087" w:type="dxa"/>
          </w:tcPr>
          <w:p w14:paraId="1E3FA9D2" w14:textId="34C3AA8F" w:rsidR="00053544" w:rsidRDefault="00BB238E" w:rsidP="00F0716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Is the outcome meaningful to physician</w:t>
            </w:r>
            <w:r w:rsidR="00F21874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s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 xml:space="preserve"> and  </w:t>
            </w:r>
            <w:r w:rsidR="00F0716E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 xml:space="preserve"> p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atient</w:t>
            </w:r>
            <w:r w:rsidR="00F21874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s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?</w:t>
            </w:r>
          </w:p>
        </w:tc>
        <w:tc>
          <w:tcPr>
            <w:tcW w:w="4635" w:type="dxa"/>
          </w:tcPr>
          <w:p w14:paraId="47E21820" w14:textId="27F933A9" w:rsidR="00053544" w:rsidRDefault="00053544" w:rsidP="00F0716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If persisting bone marrow fibrosis is not changing prognostic estimations, quality of life, or drug choices, we can judge this outcome meaningfulness is considered low.</w:t>
            </w:r>
          </w:p>
        </w:tc>
      </w:tr>
      <w:tr w:rsidR="00053544" w:rsidRPr="005F5151" w14:paraId="2DBC5F1F" w14:textId="23770967" w:rsidTr="000535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8" w:type="dxa"/>
          </w:tcPr>
          <w:p w14:paraId="721F726D" w14:textId="56602E4B" w:rsidR="00053544" w:rsidRDefault="00053544" w:rsidP="00F0716E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lang w:val="en-US"/>
              </w:rPr>
              <w:t>Feasibility</w:t>
            </w:r>
          </w:p>
        </w:tc>
        <w:tc>
          <w:tcPr>
            <w:tcW w:w="3417" w:type="dxa"/>
          </w:tcPr>
          <w:p w14:paraId="3B75B563" w14:textId="4AF83CFB" w:rsidR="00053544" w:rsidRPr="00F153C0" w:rsidRDefault="00053544" w:rsidP="00F0716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This dimension selects outcome assessment methods and turnaround time.</w:t>
            </w:r>
          </w:p>
        </w:tc>
        <w:tc>
          <w:tcPr>
            <w:tcW w:w="4087" w:type="dxa"/>
          </w:tcPr>
          <w:p w14:paraId="2005A765" w14:textId="792A1C4C" w:rsidR="00053544" w:rsidRDefault="00F0716E" w:rsidP="00F0716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Is monitoring of this outcome feasible?</w:t>
            </w:r>
          </w:p>
        </w:tc>
        <w:tc>
          <w:tcPr>
            <w:tcW w:w="4635" w:type="dxa"/>
          </w:tcPr>
          <w:p w14:paraId="28B07B27" w14:textId="453F1496" w:rsidR="00053544" w:rsidRPr="009818D6" w:rsidRDefault="00053544" w:rsidP="00F0716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If circulating immature cell count is available in most hematology centers in a short time, then we can conclude that this outcome feasibility is high.</w:t>
            </w:r>
          </w:p>
        </w:tc>
      </w:tr>
      <w:tr w:rsidR="00053544" w:rsidRPr="005F5151" w14:paraId="7883D974" w14:textId="2025AF30" w:rsidTr="000535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8" w:type="dxa"/>
          </w:tcPr>
          <w:p w14:paraId="71078B47" w14:textId="23BB8A7B" w:rsidR="00053544" w:rsidRDefault="00053544" w:rsidP="00F0716E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lang w:val="en-US"/>
              </w:rPr>
              <w:t>Cost</w:t>
            </w:r>
          </w:p>
        </w:tc>
        <w:tc>
          <w:tcPr>
            <w:tcW w:w="3417" w:type="dxa"/>
          </w:tcPr>
          <w:p w14:paraId="49771595" w14:textId="16623E01" w:rsidR="00053544" w:rsidRPr="00F153C0" w:rsidRDefault="00053544" w:rsidP="00F0716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The economic dimension casts doubt on the health-care resource consumptions required for monitoring or assessing the outcome.</w:t>
            </w:r>
          </w:p>
        </w:tc>
        <w:tc>
          <w:tcPr>
            <w:tcW w:w="4087" w:type="dxa"/>
          </w:tcPr>
          <w:p w14:paraId="6698F842" w14:textId="0277BA8E" w:rsidR="00053544" w:rsidRPr="009818D6" w:rsidRDefault="00486308" w:rsidP="00F0716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Does the periodic outcome assessment impose a significant economic burden?</w:t>
            </w:r>
          </w:p>
        </w:tc>
        <w:tc>
          <w:tcPr>
            <w:tcW w:w="4635" w:type="dxa"/>
          </w:tcPr>
          <w:p w14:paraId="60BE797C" w14:textId="415A509A" w:rsidR="00053544" w:rsidRPr="009818D6" w:rsidRDefault="00053544" w:rsidP="00F0716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  <w:r w:rsidRPr="009818D6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 xml:space="preserve">If the allelic burden of driver mutations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was</w:t>
            </w:r>
            <w:r w:rsidRPr="009818D6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 xml:space="preserve"> very expensive,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 xml:space="preserve"> then </w:t>
            </w:r>
            <w:r w:rsidR="00F0716E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the cost dimension of this outcome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 xml:space="preserve"> would be judged to be high.</w:t>
            </w:r>
          </w:p>
        </w:tc>
      </w:tr>
      <w:tr w:rsidR="00053544" w:rsidRPr="005F5151" w14:paraId="4D6D9054" w14:textId="1AB4F76E" w:rsidTr="000535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8" w:type="dxa"/>
          </w:tcPr>
          <w:p w14:paraId="419E9E2B" w14:textId="74F5AE5F" w:rsidR="00053544" w:rsidRDefault="00053544" w:rsidP="00F0716E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lang w:val="en-US"/>
              </w:rPr>
              <w:t>Acceptability</w:t>
            </w:r>
          </w:p>
        </w:tc>
        <w:tc>
          <w:tcPr>
            <w:tcW w:w="3417" w:type="dxa"/>
          </w:tcPr>
          <w:p w14:paraId="7D269D4D" w14:textId="698B98A7" w:rsidR="00053544" w:rsidRPr="00F153C0" w:rsidRDefault="00053544" w:rsidP="00F0716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This dimension accounts for patient point of view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 particular when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outcome assessment requires invasive tests.</w:t>
            </w:r>
          </w:p>
        </w:tc>
        <w:tc>
          <w:tcPr>
            <w:tcW w:w="4087" w:type="dxa"/>
          </w:tcPr>
          <w:p w14:paraId="277CF679" w14:textId="4D57156F" w:rsidR="00053544" w:rsidRPr="009818D6" w:rsidRDefault="00606D32" w:rsidP="00F0716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Is periodic outcome assessment acceptable to the patient?</w:t>
            </w:r>
          </w:p>
        </w:tc>
        <w:tc>
          <w:tcPr>
            <w:tcW w:w="4635" w:type="dxa"/>
          </w:tcPr>
          <w:p w14:paraId="2B850590" w14:textId="41926016" w:rsidR="00053544" w:rsidRPr="009818D6" w:rsidRDefault="00053544" w:rsidP="00F0716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  <w:r w:rsidRPr="009818D6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 xml:space="preserve">If bone marrow fibrosis at each standard (24 week) time point </w:t>
            </w:r>
            <w:proofErr w:type="gramStart"/>
            <w:r w:rsidRPr="009818D6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is considered to be</w:t>
            </w:r>
            <w:proofErr w:type="gramEnd"/>
            <w:r w:rsidRPr="009818D6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 xml:space="preserve"> too invasive for patients, this outcome acceptability is judged to be low. </w:t>
            </w:r>
          </w:p>
        </w:tc>
      </w:tr>
      <w:tr w:rsidR="00053544" w:rsidRPr="005F5151" w14:paraId="5C475375" w14:textId="2B26B931" w:rsidTr="000535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8" w:type="dxa"/>
          </w:tcPr>
          <w:p w14:paraId="2CD538FB" w14:textId="27F17477" w:rsidR="00053544" w:rsidRDefault="00053544" w:rsidP="00F0716E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lang w:val="en-US"/>
              </w:rPr>
              <w:t>Frequency</w:t>
            </w:r>
          </w:p>
        </w:tc>
        <w:tc>
          <w:tcPr>
            <w:tcW w:w="3417" w:type="dxa"/>
          </w:tcPr>
          <w:p w14:paraId="0AF7B780" w14:textId="014E8B8A" w:rsidR="00053544" w:rsidRPr="00F153C0" w:rsidRDefault="00053544" w:rsidP="00F0716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This dimension highlights the </w:t>
            </w:r>
            <w:r w:rsidR="00606D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portion of patients incurring the outcome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</w:tc>
        <w:tc>
          <w:tcPr>
            <w:tcW w:w="4087" w:type="dxa"/>
          </w:tcPr>
          <w:p w14:paraId="79125B95" w14:textId="1D17C4DC" w:rsidR="00053544" w:rsidRPr="009818D6" w:rsidRDefault="00942605" w:rsidP="00F0716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Does the outcome occur too rarely to be included among treatment goals?</w:t>
            </w:r>
          </w:p>
        </w:tc>
        <w:tc>
          <w:tcPr>
            <w:tcW w:w="4635" w:type="dxa"/>
          </w:tcPr>
          <w:p w14:paraId="079B4FB7" w14:textId="4A90040F" w:rsidR="00053544" w:rsidRPr="009818D6" w:rsidRDefault="00486308" w:rsidP="00F0716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 xml:space="preserve">If </w:t>
            </w:r>
            <w:r w:rsidR="00F0716E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 xml:space="preserve">myocardial infarction is considered an extremely rare outcome in the standard time frame of 24 weeks, </w:t>
            </w:r>
            <w:proofErr w:type="gramStart"/>
            <w:r w:rsidR="00F0716E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than</w:t>
            </w:r>
            <w:proofErr w:type="gramEnd"/>
            <w:r w:rsidR="00F0716E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 xml:space="preserve"> this outcome frequency is judged to be very low.</w:t>
            </w:r>
          </w:p>
        </w:tc>
      </w:tr>
    </w:tbl>
    <w:p w14:paraId="754F0087" w14:textId="77777777" w:rsidR="00D91B79" w:rsidRDefault="00D91B79">
      <w:pPr>
        <w:rPr>
          <w:rFonts w:ascii="Times New Roman" w:hAnsi="Times New Roman" w:cs="Times New Roman"/>
          <w:b/>
          <w:bCs/>
          <w:lang w:val="en-US"/>
        </w:rPr>
      </w:pPr>
    </w:p>
    <w:p w14:paraId="257B309A" w14:textId="4E0D9551" w:rsidR="00785A1B" w:rsidRPr="00785A1B" w:rsidRDefault="00D91B79" w:rsidP="00785A1B">
      <w:pPr>
        <w:rPr>
          <w:rFonts w:ascii="Times New Roman" w:hAnsi="Times New Roman" w:cs="Times New Roman"/>
          <w:sz w:val="18"/>
          <w:szCs w:val="18"/>
        </w:rPr>
      </w:pPr>
      <w:r w:rsidRPr="00D91B79">
        <w:rPr>
          <w:rFonts w:ascii="Times New Roman" w:hAnsi="Times New Roman" w:cs="Times New Roman"/>
          <w:u w:val="single"/>
          <w:lang w:val="da-DK"/>
        </w:rPr>
        <w:t>References</w:t>
      </w:r>
      <w:r w:rsidRPr="00D91B79">
        <w:rPr>
          <w:rFonts w:ascii="Times New Roman" w:hAnsi="Times New Roman" w:cs="Times New Roman"/>
          <w:b/>
          <w:bCs/>
          <w:lang w:val="da-DK"/>
        </w:rPr>
        <w:t xml:space="preserve">. </w:t>
      </w:r>
      <w:r w:rsidRPr="00D91B79">
        <w:rPr>
          <w:rFonts w:ascii="Times New Roman" w:hAnsi="Times New Roman" w:cs="Times New Roman"/>
          <w:sz w:val="18"/>
          <w:szCs w:val="18"/>
          <w:lang w:val="da-DK"/>
        </w:rPr>
        <w:t xml:space="preserve">1) Ellis LM, Bernstein DS, Voest EE, et al. </w:t>
      </w:r>
      <w:r w:rsidRPr="00B5192A">
        <w:rPr>
          <w:rFonts w:ascii="Times New Roman" w:hAnsi="Times New Roman" w:cs="Times New Roman"/>
          <w:sz w:val="18"/>
          <w:szCs w:val="18"/>
          <w:lang w:val="en-US"/>
        </w:rPr>
        <w:t xml:space="preserve">American Society of Clinical Oncology perspective: raising the bar for clinical trials by defining clinically meaningful outcomes. </w:t>
      </w:r>
      <w:r w:rsidRPr="00785A1B">
        <w:rPr>
          <w:rFonts w:ascii="Times New Roman" w:hAnsi="Times New Roman" w:cs="Times New Roman"/>
          <w:sz w:val="18"/>
          <w:szCs w:val="18"/>
          <w:lang w:val="en-US"/>
        </w:rPr>
        <w:t>J Clin Oncol.  2014;32(12):1277–1280</w:t>
      </w:r>
      <w:r w:rsidR="00785A1B">
        <w:rPr>
          <w:rFonts w:ascii="Times New Roman" w:hAnsi="Times New Roman" w:cs="Times New Roman"/>
          <w:sz w:val="18"/>
          <w:szCs w:val="18"/>
          <w:lang w:val="en-US"/>
        </w:rPr>
        <w:t xml:space="preserve">. </w:t>
      </w:r>
      <w:r w:rsidR="00404F06">
        <w:rPr>
          <w:rFonts w:ascii="Times New Roman" w:hAnsi="Times New Roman" w:cs="Times New Roman"/>
          <w:sz w:val="18"/>
          <w:szCs w:val="18"/>
          <w:lang w:val="en-US"/>
        </w:rPr>
        <w:t xml:space="preserve">2) </w:t>
      </w:r>
      <w:proofErr w:type="spellStart"/>
      <w:r w:rsidR="00785A1B">
        <w:rPr>
          <w:rFonts w:ascii="Times New Roman" w:hAnsi="Times New Roman" w:cs="Times New Roman"/>
          <w:sz w:val="18"/>
          <w:szCs w:val="18"/>
          <w:lang w:val="en-US"/>
        </w:rPr>
        <w:t>Weinfurt</w:t>
      </w:r>
      <w:proofErr w:type="spellEnd"/>
      <w:r w:rsidR="00785A1B">
        <w:rPr>
          <w:rFonts w:ascii="Times New Roman" w:hAnsi="Times New Roman" w:cs="Times New Roman"/>
          <w:sz w:val="18"/>
          <w:szCs w:val="18"/>
          <w:lang w:val="en-US"/>
        </w:rPr>
        <w:t xml:space="preserve"> KP. </w:t>
      </w:r>
      <w:r w:rsidR="00785A1B" w:rsidRPr="00785A1B">
        <w:rPr>
          <w:rFonts w:ascii="Times New Roman" w:hAnsi="Times New Roman" w:cs="Times New Roman"/>
          <w:sz w:val="18"/>
          <w:szCs w:val="18"/>
          <w:lang w:val="en-US"/>
        </w:rPr>
        <w:t>Clarifying the Meaning of Clinically Meaningful Benefit in Clinical Research</w:t>
      </w:r>
      <w:r w:rsidR="00785A1B" w:rsidRPr="00404F06">
        <w:rPr>
          <w:rFonts w:ascii="Times New Roman" w:hAnsi="Times New Roman" w:cs="Times New Roman"/>
          <w:sz w:val="18"/>
          <w:szCs w:val="18"/>
          <w:lang w:val="en-US"/>
        </w:rPr>
        <w:t>.</w:t>
      </w:r>
      <w:r w:rsidR="00785A1B"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 </w:t>
      </w:r>
      <w:r w:rsidR="00785A1B" w:rsidRPr="00785A1B">
        <w:rPr>
          <w:rFonts w:ascii="Times New Roman" w:hAnsi="Times New Roman" w:cs="Times New Roman"/>
          <w:i/>
          <w:iCs/>
          <w:sz w:val="18"/>
          <w:szCs w:val="18"/>
        </w:rPr>
        <w:t>JAMA. </w:t>
      </w:r>
      <w:r w:rsidR="00785A1B" w:rsidRPr="00785A1B">
        <w:rPr>
          <w:rFonts w:ascii="Times New Roman" w:hAnsi="Times New Roman" w:cs="Times New Roman"/>
          <w:sz w:val="18"/>
          <w:szCs w:val="18"/>
        </w:rPr>
        <w:t xml:space="preserve">2019;322(24):2381-2382. </w:t>
      </w:r>
    </w:p>
    <w:p w14:paraId="33277F83" w14:textId="02043CBF" w:rsidR="00785A1B" w:rsidRDefault="00CE0B82">
      <w:pPr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br w:type="page"/>
      </w:r>
    </w:p>
    <w:p w14:paraId="5016B36F" w14:textId="5A7979F1" w:rsidR="00464CE1" w:rsidRPr="00075623" w:rsidRDefault="00F9604B" w:rsidP="00464CE1">
      <w:pPr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lastRenderedPageBreak/>
        <w:t>Supplement</w:t>
      </w:r>
      <w:r w:rsidR="00CE0B82">
        <w:rPr>
          <w:rFonts w:ascii="Times New Roman" w:hAnsi="Times New Roman" w:cs="Times New Roman"/>
          <w:b/>
          <w:bCs/>
          <w:lang w:val="en-US"/>
        </w:rPr>
        <w:t xml:space="preserve"> Table 2. </w:t>
      </w:r>
      <w:r w:rsidR="00464CE1" w:rsidRPr="0040485D">
        <w:rPr>
          <w:rFonts w:ascii="Times New Roman" w:hAnsi="Times New Roman" w:cs="Times New Roman"/>
          <w:lang w:val="en-US"/>
        </w:rPr>
        <w:t xml:space="preserve">Exemplar </w:t>
      </w:r>
      <w:r w:rsidR="00312950" w:rsidRPr="0040485D">
        <w:rPr>
          <w:rFonts w:ascii="Times New Roman" w:hAnsi="Times New Roman" w:cs="Times New Roman"/>
          <w:lang w:val="en-US"/>
        </w:rPr>
        <w:t xml:space="preserve">WS </w:t>
      </w:r>
      <w:r w:rsidR="00464CE1" w:rsidRPr="0040485D">
        <w:rPr>
          <w:rFonts w:ascii="Times New Roman" w:hAnsi="Times New Roman" w:cs="Times New Roman"/>
          <w:lang w:val="en-US"/>
        </w:rPr>
        <w:t>calculation</w:t>
      </w:r>
      <w:r w:rsidR="00312950" w:rsidRPr="0040485D">
        <w:rPr>
          <w:rFonts w:ascii="Times New Roman" w:hAnsi="Times New Roman" w:cs="Times New Roman"/>
          <w:lang w:val="en-US"/>
        </w:rPr>
        <w:t>.</w:t>
      </w:r>
      <w:r w:rsidR="00464CE1" w:rsidRPr="00075623">
        <w:rPr>
          <w:rFonts w:ascii="Times New Roman" w:hAnsi="Times New Roman" w:cs="Times New Roman"/>
          <w:b/>
          <w:bCs/>
          <w:lang w:val="en-US"/>
        </w:rPr>
        <w:t xml:space="preserve"> </w:t>
      </w:r>
    </w:p>
    <w:p w14:paraId="793DF778" w14:textId="77777777" w:rsidR="00A009E1" w:rsidRPr="00075623" w:rsidRDefault="00A009E1" w:rsidP="00464CE1">
      <w:pPr>
        <w:rPr>
          <w:rFonts w:ascii="Times New Roman" w:hAnsi="Times New Roman" w:cs="Times New Roman"/>
          <w:b/>
          <w:bCs/>
          <w:lang w:val="en-US"/>
        </w:rPr>
      </w:pPr>
    </w:p>
    <w:tbl>
      <w:tblPr>
        <w:tblStyle w:val="Tabellagriglia7acolori-colore4"/>
        <w:tblW w:w="0" w:type="auto"/>
        <w:tblLook w:val="04A0" w:firstRow="1" w:lastRow="0" w:firstColumn="1" w:lastColumn="0" w:noHBand="0" w:noVBand="1"/>
      </w:tblPr>
      <w:tblGrid>
        <w:gridCol w:w="2788"/>
        <w:gridCol w:w="1451"/>
        <w:gridCol w:w="1194"/>
        <w:gridCol w:w="1194"/>
        <w:gridCol w:w="1696"/>
        <w:gridCol w:w="1574"/>
        <w:gridCol w:w="1215"/>
        <w:gridCol w:w="1463"/>
        <w:gridCol w:w="730"/>
        <w:gridCol w:w="982"/>
      </w:tblGrid>
      <w:tr w:rsidR="00464CE1" w:rsidRPr="00075623" w14:paraId="48DA22B5" w14:textId="77777777" w:rsidTr="00CD6F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</w:tcPr>
          <w:p w14:paraId="543E4FD4" w14:textId="77777777" w:rsidR="00312950" w:rsidRDefault="00312950" w:rsidP="00C44C65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Outcome:</w:t>
            </w:r>
          </w:p>
          <w:p w14:paraId="11EE8C62" w14:textId="32B0FDB1" w:rsidR="00464CE1" w:rsidRPr="00075623" w:rsidRDefault="00312950" w:rsidP="00C44C65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“Transformation to blast phase”</w:t>
            </w:r>
          </w:p>
        </w:tc>
        <w:tc>
          <w:tcPr>
            <w:tcW w:w="0" w:type="auto"/>
          </w:tcPr>
          <w:p w14:paraId="078C4407" w14:textId="77777777" w:rsidR="00464CE1" w:rsidRPr="00075623" w:rsidRDefault="00464CE1" w:rsidP="00C44C65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075623">
              <w:rPr>
                <w:rFonts w:ascii="Times New Roman" w:hAnsi="Times New Roman" w:cs="Times New Roman"/>
                <w:lang w:val="en-US"/>
              </w:rPr>
              <w:t>Modifiability</w:t>
            </w:r>
          </w:p>
        </w:tc>
        <w:tc>
          <w:tcPr>
            <w:tcW w:w="0" w:type="auto"/>
          </w:tcPr>
          <w:p w14:paraId="2B1A6B67" w14:textId="77777777" w:rsidR="00464CE1" w:rsidRPr="00075623" w:rsidRDefault="00464CE1" w:rsidP="00C44C65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075623">
              <w:rPr>
                <w:rFonts w:ascii="Times New Roman" w:hAnsi="Times New Roman" w:cs="Times New Roman"/>
                <w:lang w:val="en-US"/>
              </w:rPr>
              <w:t>Feasibility</w:t>
            </w:r>
          </w:p>
        </w:tc>
        <w:tc>
          <w:tcPr>
            <w:tcW w:w="0" w:type="auto"/>
          </w:tcPr>
          <w:p w14:paraId="2F97245D" w14:textId="77777777" w:rsidR="00464CE1" w:rsidRPr="00075623" w:rsidRDefault="00464CE1" w:rsidP="00C44C65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075623">
              <w:rPr>
                <w:rFonts w:ascii="Times New Roman" w:hAnsi="Times New Roman" w:cs="Times New Roman"/>
                <w:lang w:val="en-US"/>
              </w:rPr>
              <w:t>Reliability</w:t>
            </w:r>
          </w:p>
        </w:tc>
        <w:tc>
          <w:tcPr>
            <w:tcW w:w="0" w:type="auto"/>
          </w:tcPr>
          <w:p w14:paraId="545AC45F" w14:textId="77777777" w:rsidR="00464CE1" w:rsidRPr="00075623" w:rsidRDefault="00464CE1" w:rsidP="00C44C65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075623">
              <w:rPr>
                <w:rFonts w:ascii="Times New Roman" w:hAnsi="Times New Roman" w:cs="Times New Roman"/>
                <w:lang w:val="en-US"/>
              </w:rPr>
              <w:t>Meaningfulness</w:t>
            </w:r>
          </w:p>
        </w:tc>
        <w:tc>
          <w:tcPr>
            <w:tcW w:w="0" w:type="auto"/>
          </w:tcPr>
          <w:p w14:paraId="392C6061" w14:textId="77777777" w:rsidR="00464CE1" w:rsidRPr="00075623" w:rsidRDefault="00464CE1" w:rsidP="00C44C65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075623">
              <w:rPr>
                <w:rFonts w:ascii="Times New Roman" w:hAnsi="Times New Roman" w:cs="Times New Roman"/>
                <w:lang w:val="en-US"/>
              </w:rPr>
              <w:t>Decisional value</w:t>
            </w:r>
          </w:p>
        </w:tc>
        <w:tc>
          <w:tcPr>
            <w:tcW w:w="0" w:type="auto"/>
          </w:tcPr>
          <w:p w14:paraId="767A4A58" w14:textId="77777777" w:rsidR="00464CE1" w:rsidRPr="00075623" w:rsidRDefault="00464CE1" w:rsidP="00C44C65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075623">
              <w:rPr>
                <w:rFonts w:ascii="Times New Roman" w:hAnsi="Times New Roman" w:cs="Times New Roman"/>
                <w:lang w:val="en-US"/>
              </w:rPr>
              <w:t>Frequency</w:t>
            </w:r>
          </w:p>
        </w:tc>
        <w:tc>
          <w:tcPr>
            <w:tcW w:w="0" w:type="auto"/>
          </w:tcPr>
          <w:p w14:paraId="4C82FB64" w14:textId="77777777" w:rsidR="00464CE1" w:rsidRPr="00075623" w:rsidRDefault="00464CE1" w:rsidP="00C44C65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075623">
              <w:rPr>
                <w:rFonts w:ascii="Times New Roman" w:hAnsi="Times New Roman" w:cs="Times New Roman"/>
                <w:lang w:val="en-US"/>
              </w:rPr>
              <w:t>Acceptability</w:t>
            </w:r>
          </w:p>
        </w:tc>
        <w:tc>
          <w:tcPr>
            <w:tcW w:w="0" w:type="auto"/>
          </w:tcPr>
          <w:p w14:paraId="57F31B0C" w14:textId="77777777" w:rsidR="00464CE1" w:rsidRPr="00075623" w:rsidRDefault="00464CE1" w:rsidP="00C44C65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075623">
              <w:rPr>
                <w:rFonts w:ascii="Times New Roman" w:hAnsi="Times New Roman" w:cs="Times New Roman"/>
                <w:lang w:val="en-US"/>
              </w:rPr>
              <w:t>Costs</w:t>
            </w:r>
          </w:p>
        </w:tc>
        <w:tc>
          <w:tcPr>
            <w:tcW w:w="0" w:type="auto"/>
          </w:tcPr>
          <w:p w14:paraId="24616E88" w14:textId="77777777" w:rsidR="00464CE1" w:rsidRPr="00075623" w:rsidRDefault="00464CE1" w:rsidP="00C44C65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075623">
              <w:rPr>
                <w:rFonts w:ascii="Times New Roman" w:hAnsi="Times New Roman" w:cs="Times New Roman"/>
                <w:lang w:val="en-US"/>
              </w:rPr>
              <w:t>Average</w:t>
            </w:r>
          </w:p>
        </w:tc>
      </w:tr>
      <w:tr w:rsidR="00464CE1" w:rsidRPr="00075623" w14:paraId="25DA74B5" w14:textId="77777777" w:rsidTr="00CD6F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37268A5" w14:textId="77777777" w:rsidR="00464CE1" w:rsidRPr="00075623" w:rsidRDefault="00464CE1" w:rsidP="00C44C65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075623">
              <w:rPr>
                <w:rFonts w:ascii="Times New Roman" w:hAnsi="Times New Roman" w:cs="Times New Roman"/>
                <w:lang w:val="en-US"/>
              </w:rPr>
              <w:t>Accomplished</w:t>
            </w:r>
          </w:p>
        </w:tc>
        <w:tc>
          <w:tcPr>
            <w:tcW w:w="0" w:type="auto"/>
          </w:tcPr>
          <w:p w14:paraId="07257B8E" w14:textId="77777777" w:rsidR="00464CE1" w:rsidRPr="00075623" w:rsidRDefault="00464CE1" w:rsidP="00C44C6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075623">
              <w:rPr>
                <w:rFonts w:ascii="Times New Roman" w:hAnsi="Times New Roman" w:cs="Times New Roman"/>
                <w:lang w:val="en-US"/>
              </w:rPr>
              <w:t>50%</w:t>
            </w:r>
          </w:p>
        </w:tc>
        <w:tc>
          <w:tcPr>
            <w:tcW w:w="0" w:type="auto"/>
          </w:tcPr>
          <w:p w14:paraId="4401A292" w14:textId="77777777" w:rsidR="00464CE1" w:rsidRPr="00075623" w:rsidRDefault="00464CE1" w:rsidP="00C44C6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075623">
              <w:rPr>
                <w:rFonts w:ascii="Times New Roman" w:hAnsi="Times New Roman" w:cs="Times New Roman"/>
                <w:lang w:val="en-US"/>
              </w:rPr>
              <w:t>83%</w:t>
            </w:r>
          </w:p>
        </w:tc>
        <w:tc>
          <w:tcPr>
            <w:tcW w:w="0" w:type="auto"/>
          </w:tcPr>
          <w:p w14:paraId="0DC6866C" w14:textId="77777777" w:rsidR="00464CE1" w:rsidRPr="00075623" w:rsidRDefault="00464CE1" w:rsidP="00C44C6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075623">
              <w:rPr>
                <w:rFonts w:ascii="Times New Roman" w:hAnsi="Times New Roman" w:cs="Times New Roman"/>
                <w:lang w:val="en-US"/>
              </w:rPr>
              <w:t>92%</w:t>
            </w:r>
          </w:p>
        </w:tc>
        <w:tc>
          <w:tcPr>
            <w:tcW w:w="0" w:type="auto"/>
          </w:tcPr>
          <w:p w14:paraId="141F865F" w14:textId="77777777" w:rsidR="00464CE1" w:rsidRPr="00075623" w:rsidRDefault="00464CE1" w:rsidP="00C44C6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075623">
              <w:rPr>
                <w:rFonts w:ascii="Times New Roman" w:hAnsi="Times New Roman" w:cs="Times New Roman"/>
                <w:lang w:val="en-US"/>
              </w:rPr>
              <w:t>100%</w:t>
            </w:r>
          </w:p>
        </w:tc>
        <w:tc>
          <w:tcPr>
            <w:tcW w:w="0" w:type="auto"/>
          </w:tcPr>
          <w:p w14:paraId="1872B9A4" w14:textId="77777777" w:rsidR="00464CE1" w:rsidRPr="00075623" w:rsidRDefault="00464CE1" w:rsidP="00C44C6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075623">
              <w:rPr>
                <w:rFonts w:ascii="Times New Roman" w:hAnsi="Times New Roman" w:cs="Times New Roman"/>
                <w:lang w:val="en-US"/>
              </w:rPr>
              <w:t>92%</w:t>
            </w:r>
          </w:p>
        </w:tc>
        <w:tc>
          <w:tcPr>
            <w:tcW w:w="0" w:type="auto"/>
          </w:tcPr>
          <w:p w14:paraId="044874DD" w14:textId="77777777" w:rsidR="00464CE1" w:rsidRPr="00075623" w:rsidRDefault="00464CE1" w:rsidP="00C44C6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075623">
              <w:rPr>
                <w:rFonts w:ascii="Times New Roman" w:hAnsi="Times New Roman" w:cs="Times New Roman"/>
                <w:lang w:val="en-US"/>
              </w:rPr>
              <w:t>67%</w:t>
            </w:r>
          </w:p>
        </w:tc>
        <w:tc>
          <w:tcPr>
            <w:tcW w:w="0" w:type="auto"/>
          </w:tcPr>
          <w:p w14:paraId="6AB8032C" w14:textId="77777777" w:rsidR="00464CE1" w:rsidRPr="00075623" w:rsidRDefault="00464CE1" w:rsidP="00C44C6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075623">
              <w:rPr>
                <w:rFonts w:ascii="Times New Roman" w:hAnsi="Times New Roman" w:cs="Times New Roman"/>
                <w:lang w:val="en-US"/>
              </w:rPr>
              <w:t>83%</w:t>
            </w:r>
          </w:p>
        </w:tc>
        <w:tc>
          <w:tcPr>
            <w:tcW w:w="0" w:type="auto"/>
          </w:tcPr>
          <w:p w14:paraId="305E945D" w14:textId="77777777" w:rsidR="00464CE1" w:rsidRPr="00075623" w:rsidRDefault="00464CE1" w:rsidP="00C44C6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075623">
              <w:rPr>
                <w:rFonts w:ascii="Times New Roman" w:hAnsi="Times New Roman" w:cs="Times New Roman"/>
                <w:lang w:val="en-US"/>
              </w:rPr>
              <w:t>58%</w:t>
            </w:r>
          </w:p>
        </w:tc>
        <w:tc>
          <w:tcPr>
            <w:tcW w:w="0" w:type="auto"/>
          </w:tcPr>
          <w:p w14:paraId="376E8469" w14:textId="77777777" w:rsidR="00464CE1" w:rsidRPr="00075623" w:rsidRDefault="00464CE1" w:rsidP="00C44C6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64CE1" w:rsidRPr="00075623" w14:paraId="5A2F523E" w14:textId="77777777" w:rsidTr="00CD6F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8BBFEF2" w14:textId="77777777" w:rsidR="00464CE1" w:rsidRPr="00075623" w:rsidRDefault="00464CE1" w:rsidP="00C44C65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075623">
              <w:rPr>
                <w:rFonts w:ascii="Times New Roman" w:hAnsi="Times New Roman" w:cs="Times New Roman"/>
                <w:lang w:val="en-US"/>
              </w:rPr>
              <w:t>Weight</w:t>
            </w:r>
          </w:p>
        </w:tc>
        <w:tc>
          <w:tcPr>
            <w:tcW w:w="0" w:type="auto"/>
          </w:tcPr>
          <w:p w14:paraId="6F3076C8" w14:textId="77777777" w:rsidR="00464CE1" w:rsidRPr="00075623" w:rsidRDefault="00464CE1" w:rsidP="00C44C6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075623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0" w:type="auto"/>
          </w:tcPr>
          <w:p w14:paraId="3149D3F0" w14:textId="77777777" w:rsidR="00464CE1" w:rsidRPr="00075623" w:rsidRDefault="00464CE1" w:rsidP="00C44C6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075623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0" w:type="auto"/>
          </w:tcPr>
          <w:p w14:paraId="78546CA2" w14:textId="77777777" w:rsidR="00464CE1" w:rsidRPr="00075623" w:rsidRDefault="00464CE1" w:rsidP="00C44C6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075623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0" w:type="auto"/>
          </w:tcPr>
          <w:p w14:paraId="59D889DF" w14:textId="77777777" w:rsidR="00464CE1" w:rsidRPr="00075623" w:rsidRDefault="00464CE1" w:rsidP="00C44C6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075623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0" w:type="auto"/>
          </w:tcPr>
          <w:p w14:paraId="632E1623" w14:textId="77777777" w:rsidR="00464CE1" w:rsidRPr="00075623" w:rsidRDefault="00464CE1" w:rsidP="00C44C6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075623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0" w:type="auto"/>
          </w:tcPr>
          <w:p w14:paraId="7A142CA8" w14:textId="77777777" w:rsidR="00464CE1" w:rsidRPr="00075623" w:rsidRDefault="00464CE1" w:rsidP="00C44C6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075623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0" w:type="auto"/>
          </w:tcPr>
          <w:p w14:paraId="7302111B" w14:textId="77777777" w:rsidR="00464CE1" w:rsidRPr="00075623" w:rsidRDefault="00464CE1" w:rsidP="00C44C6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075623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0" w:type="auto"/>
          </w:tcPr>
          <w:p w14:paraId="31571E30" w14:textId="77777777" w:rsidR="00464CE1" w:rsidRPr="00075623" w:rsidRDefault="00464CE1" w:rsidP="00C44C6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075623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0" w:type="auto"/>
          </w:tcPr>
          <w:p w14:paraId="762DE822" w14:textId="77777777" w:rsidR="00464CE1" w:rsidRPr="00075623" w:rsidRDefault="00464CE1" w:rsidP="00C44C6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64CE1" w:rsidRPr="00075623" w14:paraId="072E567C" w14:textId="77777777" w:rsidTr="00CD6F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472F1F5" w14:textId="77777777" w:rsidR="00464CE1" w:rsidRPr="00075623" w:rsidRDefault="00464CE1" w:rsidP="00C44C65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075623">
              <w:rPr>
                <w:rFonts w:ascii="Times New Roman" w:hAnsi="Times New Roman" w:cs="Times New Roman"/>
                <w:lang w:val="en-US"/>
              </w:rPr>
              <w:t>Score</w:t>
            </w:r>
          </w:p>
        </w:tc>
        <w:tc>
          <w:tcPr>
            <w:tcW w:w="0" w:type="auto"/>
          </w:tcPr>
          <w:p w14:paraId="28B93140" w14:textId="77777777" w:rsidR="00464CE1" w:rsidRPr="00075623" w:rsidRDefault="00464CE1" w:rsidP="00C44C6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075623">
              <w:rPr>
                <w:rFonts w:ascii="Times New Roman" w:hAnsi="Times New Roman" w:cs="Times New Roman"/>
                <w:lang w:val="en-US"/>
              </w:rPr>
              <w:t>4.0</w:t>
            </w:r>
          </w:p>
        </w:tc>
        <w:tc>
          <w:tcPr>
            <w:tcW w:w="0" w:type="auto"/>
          </w:tcPr>
          <w:p w14:paraId="63A337A5" w14:textId="77777777" w:rsidR="00464CE1" w:rsidRPr="00075623" w:rsidRDefault="00464CE1" w:rsidP="00C44C65">
            <w:pPr>
              <w:tabs>
                <w:tab w:val="left" w:pos="420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075623">
              <w:rPr>
                <w:rFonts w:ascii="Times New Roman" w:hAnsi="Times New Roman" w:cs="Times New Roman"/>
                <w:lang w:val="en-US"/>
              </w:rPr>
              <w:t>6.6</w:t>
            </w:r>
          </w:p>
        </w:tc>
        <w:tc>
          <w:tcPr>
            <w:tcW w:w="0" w:type="auto"/>
          </w:tcPr>
          <w:p w14:paraId="079A9527" w14:textId="77777777" w:rsidR="00464CE1" w:rsidRPr="00075623" w:rsidRDefault="00464CE1" w:rsidP="00C44C6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075623">
              <w:rPr>
                <w:rFonts w:ascii="Times New Roman" w:hAnsi="Times New Roman" w:cs="Times New Roman"/>
                <w:lang w:val="en-US"/>
              </w:rPr>
              <w:t>7.4</w:t>
            </w:r>
          </w:p>
        </w:tc>
        <w:tc>
          <w:tcPr>
            <w:tcW w:w="0" w:type="auto"/>
          </w:tcPr>
          <w:p w14:paraId="5058B556" w14:textId="77777777" w:rsidR="00464CE1" w:rsidRPr="00075623" w:rsidRDefault="00464CE1" w:rsidP="00C44C6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075623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0" w:type="auto"/>
          </w:tcPr>
          <w:p w14:paraId="7631789C" w14:textId="77777777" w:rsidR="00464CE1" w:rsidRPr="00075623" w:rsidRDefault="00464CE1" w:rsidP="00C44C6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075623">
              <w:rPr>
                <w:rFonts w:ascii="Times New Roman" w:hAnsi="Times New Roman" w:cs="Times New Roman"/>
                <w:lang w:val="en-US"/>
              </w:rPr>
              <w:t>2.7</w:t>
            </w:r>
          </w:p>
        </w:tc>
        <w:tc>
          <w:tcPr>
            <w:tcW w:w="0" w:type="auto"/>
          </w:tcPr>
          <w:p w14:paraId="62ECE6BD" w14:textId="77777777" w:rsidR="00464CE1" w:rsidRPr="00075623" w:rsidRDefault="00464CE1" w:rsidP="00C44C6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075623">
              <w:rPr>
                <w:rFonts w:ascii="Times New Roman" w:hAnsi="Times New Roman" w:cs="Times New Roman"/>
                <w:lang w:val="en-US"/>
              </w:rPr>
              <w:t>6.7</w:t>
            </w:r>
          </w:p>
        </w:tc>
        <w:tc>
          <w:tcPr>
            <w:tcW w:w="0" w:type="auto"/>
          </w:tcPr>
          <w:p w14:paraId="355CDA6B" w14:textId="77777777" w:rsidR="00464CE1" w:rsidRPr="00075623" w:rsidRDefault="00464CE1" w:rsidP="00C44C6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075623">
              <w:rPr>
                <w:rFonts w:ascii="Times New Roman" w:hAnsi="Times New Roman" w:cs="Times New Roman"/>
                <w:lang w:val="en-US"/>
              </w:rPr>
              <w:t>2.5</w:t>
            </w:r>
          </w:p>
        </w:tc>
        <w:tc>
          <w:tcPr>
            <w:tcW w:w="0" w:type="auto"/>
          </w:tcPr>
          <w:p w14:paraId="46341B14" w14:textId="77777777" w:rsidR="00464CE1" w:rsidRPr="00075623" w:rsidRDefault="00464CE1" w:rsidP="00C44C6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075623">
              <w:rPr>
                <w:rFonts w:ascii="Times New Roman" w:hAnsi="Times New Roman" w:cs="Times New Roman"/>
                <w:lang w:val="en-US"/>
              </w:rPr>
              <w:t>0.58</w:t>
            </w:r>
          </w:p>
        </w:tc>
        <w:tc>
          <w:tcPr>
            <w:tcW w:w="0" w:type="auto"/>
          </w:tcPr>
          <w:p w14:paraId="57FFB0CC" w14:textId="77777777" w:rsidR="00464CE1" w:rsidRPr="00075623" w:rsidRDefault="00464CE1" w:rsidP="00C44C6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075623">
              <w:rPr>
                <w:rFonts w:ascii="Times New Roman" w:hAnsi="Times New Roman" w:cs="Times New Roman"/>
                <w:lang w:val="en-US"/>
              </w:rPr>
              <w:t>3.7</w:t>
            </w:r>
          </w:p>
        </w:tc>
      </w:tr>
    </w:tbl>
    <w:p w14:paraId="0B30BA74" w14:textId="77777777" w:rsidR="004E224F" w:rsidRDefault="004E224F" w:rsidP="00464CE1">
      <w:pPr>
        <w:rPr>
          <w:rFonts w:ascii="Times New Roman" w:hAnsi="Times New Roman" w:cs="Times New Roman"/>
          <w:lang w:val="en-US"/>
        </w:rPr>
      </w:pPr>
    </w:p>
    <w:p w14:paraId="17B87465" w14:textId="3F670873" w:rsidR="00464CE1" w:rsidRPr="00075623" w:rsidRDefault="004E224F" w:rsidP="00464CE1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Legend to </w:t>
      </w:r>
      <w:r w:rsidR="00F9604B">
        <w:rPr>
          <w:rFonts w:ascii="Times New Roman" w:hAnsi="Times New Roman" w:cs="Times New Roman"/>
          <w:lang w:val="en-US"/>
        </w:rPr>
        <w:t>Supplement</w:t>
      </w:r>
      <w:r>
        <w:rPr>
          <w:rFonts w:ascii="Times New Roman" w:hAnsi="Times New Roman" w:cs="Times New Roman"/>
          <w:lang w:val="en-US"/>
        </w:rPr>
        <w:t xml:space="preserve"> Table 2. Experts </w:t>
      </w:r>
      <w:proofErr w:type="gramStart"/>
      <w:r>
        <w:rPr>
          <w:rFonts w:ascii="Times New Roman" w:hAnsi="Times New Roman" w:cs="Times New Roman"/>
          <w:lang w:val="en-US"/>
        </w:rPr>
        <w:t>voted</w:t>
      </w:r>
      <w:proofErr w:type="gramEnd"/>
      <w:r>
        <w:rPr>
          <w:rFonts w:ascii="Times New Roman" w:hAnsi="Times New Roman" w:cs="Times New Roman"/>
          <w:lang w:val="en-US"/>
        </w:rPr>
        <w:t xml:space="preserve"> </w:t>
      </w:r>
      <w:r w:rsidR="00396FD6">
        <w:rPr>
          <w:rFonts w:ascii="Times New Roman" w:hAnsi="Times New Roman" w:cs="Times New Roman"/>
          <w:lang w:val="en-US"/>
        </w:rPr>
        <w:t xml:space="preserve">each pair outcome-desirability dimension by a semi-quantitative </w:t>
      </w:r>
      <w:r>
        <w:rPr>
          <w:rFonts w:ascii="Times New Roman" w:hAnsi="Times New Roman" w:cs="Times New Roman"/>
          <w:lang w:val="en-US"/>
        </w:rPr>
        <w:t>Likert</w:t>
      </w:r>
      <w:r w:rsidR="00396FD6">
        <w:rPr>
          <w:rFonts w:ascii="Times New Roman" w:hAnsi="Times New Roman" w:cs="Times New Roman"/>
          <w:lang w:val="en-US"/>
        </w:rPr>
        <w:t xml:space="preserve"> scale</w:t>
      </w:r>
      <w:r>
        <w:rPr>
          <w:rFonts w:ascii="Times New Roman" w:hAnsi="Times New Roman" w:cs="Times New Roman"/>
          <w:lang w:val="en-US"/>
        </w:rPr>
        <w:t xml:space="preserve"> score ranging from 1 to 7.</w:t>
      </w:r>
    </w:p>
    <w:p w14:paraId="1A55F3A7" w14:textId="77777777" w:rsidR="00464CE1" w:rsidRPr="00075623" w:rsidRDefault="00464CE1" w:rsidP="00464CE1">
      <w:pPr>
        <w:jc w:val="both"/>
        <w:rPr>
          <w:rFonts w:ascii="Times New Roman" w:hAnsi="Times New Roman" w:cs="Times New Roman"/>
          <w:b/>
          <w:bCs/>
          <w:lang w:val="en-US"/>
        </w:rPr>
      </w:pPr>
    </w:p>
    <w:p w14:paraId="6E71008B" w14:textId="2B493EC4" w:rsidR="00464CE1" w:rsidRPr="00075623" w:rsidRDefault="00464CE1" w:rsidP="00464CE1">
      <w:pPr>
        <w:rPr>
          <w:rFonts w:ascii="Times New Roman" w:hAnsi="Times New Roman" w:cs="Times New Roman"/>
          <w:b/>
          <w:bCs/>
          <w:lang w:val="en-US"/>
        </w:rPr>
      </w:pPr>
      <w:r w:rsidRPr="00075623">
        <w:rPr>
          <w:rFonts w:ascii="Times New Roman" w:hAnsi="Times New Roman" w:cs="Times New Roman"/>
          <w:b/>
          <w:bCs/>
          <w:lang w:val="en-US"/>
        </w:rPr>
        <w:br w:type="page"/>
      </w:r>
    </w:p>
    <w:p w14:paraId="1C61481E" w14:textId="3B42C773" w:rsidR="00A009E1" w:rsidRPr="00075623" w:rsidRDefault="00F9604B" w:rsidP="00464CE1">
      <w:pPr>
        <w:jc w:val="bot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lastRenderedPageBreak/>
        <w:t>Supplement</w:t>
      </w:r>
      <w:r w:rsidR="00464CE1" w:rsidRPr="00075623">
        <w:rPr>
          <w:rFonts w:ascii="Times New Roman" w:hAnsi="Times New Roman" w:cs="Times New Roman"/>
          <w:b/>
          <w:bCs/>
          <w:lang w:val="en-US"/>
        </w:rPr>
        <w:t xml:space="preserve"> Table </w:t>
      </w:r>
      <w:r w:rsidR="0040485D">
        <w:rPr>
          <w:rFonts w:ascii="Times New Roman" w:hAnsi="Times New Roman" w:cs="Times New Roman"/>
          <w:b/>
          <w:bCs/>
          <w:lang w:val="en-US"/>
        </w:rPr>
        <w:t>3</w:t>
      </w:r>
      <w:r w:rsidR="00464CE1" w:rsidRPr="00075623">
        <w:rPr>
          <w:rFonts w:ascii="Times New Roman" w:hAnsi="Times New Roman" w:cs="Times New Roman"/>
          <w:b/>
          <w:bCs/>
          <w:lang w:val="en-US"/>
        </w:rPr>
        <w:t xml:space="preserve">. </w:t>
      </w:r>
      <w:r w:rsidR="00312950" w:rsidRPr="0040485D">
        <w:rPr>
          <w:rFonts w:ascii="Times New Roman" w:hAnsi="Times New Roman" w:cs="Times New Roman"/>
          <w:lang w:val="en-US"/>
        </w:rPr>
        <w:t xml:space="preserve">Assessment of outcome </w:t>
      </w:r>
      <w:r w:rsidR="0042012F">
        <w:rPr>
          <w:rFonts w:ascii="Times New Roman" w:hAnsi="Times New Roman" w:cs="Times New Roman"/>
          <w:lang w:val="en-US"/>
        </w:rPr>
        <w:t>desirability.</w:t>
      </w:r>
    </w:p>
    <w:p w14:paraId="64B38F8D" w14:textId="77777777" w:rsidR="00C44C65" w:rsidRPr="00075623" w:rsidRDefault="00C44C65" w:rsidP="00464CE1">
      <w:pPr>
        <w:jc w:val="both"/>
        <w:rPr>
          <w:rFonts w:ascii="Times New Roman" w:hAnsi="Times New Roman" w:cs="Times New Roman"/>
          <w:b/>
          <w:bCs/>
          <w:lang w:val="en-US"/>
        </w:rPr>
      </w:pPr>
    </w:p>
    <w:tbl>
      <w:tblPr>
        <w:tblStyle w:val="Tabellagriglia7acolori-colore4"/>
        <w:tblW w:w="0" w:type="auto"/>
        <w:tblLook w:val="04A0" w:firstRow="1" w:lastRow="0" w:firstColumn="1" w:lastColumn="0" w:noHBand="0" w:noVBand="1"/>
      </w:tblPr>
      <w:tblGrid>
        <w:gridCol w:w="3809"/>
        <w:gridCol w:w="1451"/>
        <w:gridCol w:w="1194"/>
        <w:gridCol w:w="1194"/>
        <w:gridCol w:w="1696"/>
        <w:gridCol w:w="1535"/>
        <w:gridCol w:w="1215"/>
        <w:gridCol w:w="1463"/>
        <w:gridCol w:w="730"/>
      </w:tblGrid>
      <w:tr w:rsidR="00464CE1" w:rsidRPr="00075623" w14:paraId="6D60963C" w14:textId="77777777" w:rsidTr="00CD6F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</w:tcPr>
          <w:p w14:paraId="1BCE74F4" w14:textId="77777777" w:rsidR="00464CE1" w:rsidRPr="00075623" w:rsidRDefault="00464CE1" w:rsidP="00C44C65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075623">
              <w:rPr>
                <w:rFonts w:ascii="Times New Roman" w:hAnsi="Times New Roman" w:cs="Times New Roman"/>
                <w:lang w:val="en-US"/>
              </w:rPr>
              <w:t>Outcome</w:t>
            </w:r>
          </w:p>
        </w:tc>
        <w:tc>
          <w:tcPr>
            <w:tcW w:w="0" w:type="auto"/>
          </w:tcPr>
          <w:p w14:paraId="5A696771" w14:textId="77777777" w:rsidR="00464CE1" w:rsidRPr="00075623" w:rsidRDefault="00464CE1" w:rsidP="00C44C65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075623">
              <w:rPr>
                <w:rFonts w:ascii="Times New Roman" w:hAnsi="Times New Roman" w:cs="Times New Roman"/>
                <w:lang w:val="en-US"/>
              </w:rPr>
              <w:t>Modifiability</w:t>
            </w:r>
          </w:p>
        </w:tc>
        <w:tc>
          <w:tcPr>
            <w:tcW w:w="0" w:type="auto"/>
          </w:tcPr>
          <w:p w14:paraId="18B24820" w14:textId="77777777" w:rsidR="00464CE1" w:rsidRPr="00075623" w:rsidRDefault="00464CE1" w:rsidP="00C44C65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075623">
              <w:rPr>
                <w:rFonts w:ascii="Times New Roman" w:hAnsi="Times New Roman" w:cs="Times New Roman"/>
                <w:lang w:val="en-US"/>
              </w:rPr>
              <w:t>Feasibility</w:t>
            </w:r>
          </w:p>
        </w:tc>
        <w:tc>
          <w:tcPr>
            <w:tcW w:w="0" w:type="auto"/>
          </w:tcPr>
          <w:p w14:paraId="0A85A096" w14:textId="77777777" w:rsidR="00464CE1" w:rsidRPr="00075623" w:rsidRDefault="00464CE1" w:rsidP="00C44C65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075623">
              <w:rPr>
                <w:rFonts w:ascii="Times New Roman" w:hAnsi="Times New Roman" w:cs="Times New Roman"/>
                <w:lang w:val="en-US"/>
              </w:rPr>
              <w:t>Reliability</w:t>
            </w:r>
          </w:p>
        </w:tc>
        <w:tc>
          <w:tcPr>
            <w:tcW w:w="0" w:type="auto"/>
          </w:tcPr>
          <w:p w14:paraId="436E4D5E" w14:textId="77777777" w:rsidR="00464CE1" w:rsidRPr="00075623" w:rsidRDefault="00464CE1" w:rsidP="00C44C65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075623">
              <w:rPr>
                <w:rFonts w:ascii="Times New Roman" w:hAnsi="Times New Roman" w:cs="Times New Roman"/>
                <w:lang w:val="en-US"/>
              </w:rPr>
              <w:t>Meaningfulness</w:t>
            </w:r>
          </w:p>
        </w:tc>
        <w:tc>
          <w:tcPr>
            <w:tcW w:w="0" w:type="auto"/>
          </w:tcPr>
          <w:p w14:paraId="799AF5CC" w14:textId="77777777" w:rsidR="00464CE1" w:rsidRPr="00075623" w:rsidRDefault="00464CE1" w:rsidP="00C44C65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075623">
              <w:rPr>
                <w:rFonts w:ascii="Times New Roman" w:hAnsi="Times New Roman" w:cs="Times New Roman"/>
                <w:lang w:val="en-US"/>
              </w:rPr>
              <w:t>Decisional value</w:t>
            </w:r>
          </w:p>
        </w:tc>
        <w:tc>
          <w:tcPr>
            <w:tcW w:w="0" w:type="auto"/>
          </w:tcPr>
          <w:p w14:paraId="48D48D78" w14:textId="77777777" w:rsidR="00464CE1" w:rsidRPr="00075623" w:rsidRDefault="00464CE1" w:rsidP="00C44C65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075623">
              <w:rPr>
                <w:rFonts w:ascii="Times New Roman" w:hAnsi="Times New Roman" w:cs="Times New Roman"/>
                <w:lang w:val="en-US"/>
              </w:rPr>
              <w:t>Frequency</w:t>
            </w:r>
          </w:p>
        </w:tc>
        <w:tc>
          <w:tcPr>
            <w:tcW w:w="0" w:type="auto"/>
          </w:tcPr>
          <w:p w14:paraId="1D43FFE6" w14:textId="77777777" w:rsidR="00464CE1" w:rsidRPr="00075623" w:rsidRDefault="00464CE1" w:rsidP="00C44C65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075623">
              <w:rPr>
                <w:rFonts w:ascii="Times New Roman" w:hAnsi="Times New Roman" w:cs="Times New Roman"/>
                <w:lang w:val="en-US"/>
              </w:rPr>
              <w:t>Acceptability</w:t>
            </w:r>
          </w:p>
        </w:tc>
        <w:tc>
          <w:tcPr>
            <w:tcW w:w="0" w:type="auto"/>
          </w:tcPr>
          <w:p w14:paraId="54BCE316" w14:textId="77777777" w:rsidR="00464CE1" w:rsidRPr="00075623" w:rsidRDefault="00464CE1" w:rsidP="00C44C65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075623">
              <w:rPr>
                <w:rFonts w:ascii="Times New Roman" w:hAnsi="Times New Roman" w:cs="Times New Roman"/>
                <w:lang w:val="en-US"/>
              </w:rPr>
              <w:t>Costs</w:t>
            </w:r>
          </w:p>
        </w:tc>
      </w:tr>
      <w:tr w:rsidR="00464CE1" w:rsidRPr="00075623" w14:paraId="06AFE021" w14:textId="77777777" w:rsidTr="00CD6F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D70746F" w14:textId="77777777" w:rsidR="00464CE1" w:rsidRPr="00075623" w:rsidRDefault="00464CE1" w:rsidP="00C44C65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075623">
              <w:rPr>
                <w:rFonts w:ascii="Times New Roman" w:hAnsi="Times New Roman" w:cs="Times New Roman"/>
                <w:lang w:val="en-US"/>
              </w:rPr>
              <w:t>Blast phase</w:t>
            </w:r>
          </w:p>
        </w:tc>
        <w:tc>
          <w:tcPr>
            <w:tcW w:w="0" w:type="auto"/>
          </w:tcPr>
          <w:p w14:paraId="4E2F8AE2" w14:textId="77777777" w:rsidR="00464CE1" w:rsidRPr="00075623" w:rsidRDefault="00464CE1" w:rsidP="00C44C6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075623">
              <w:rPr>
                <w:rFonts w:ascii="Times New Roman" w:hAnsi="Times New Roman" w:cs="Times New Roman"/>
                <w:lang w:val="en-US"/>
              </w:rPr>
              <w:t>50%</w:t>
            </w:r>
          </w:p>
        </w:tc>
        <w:tc>
          <w:tcPr>
            <w:tcW w:w="0" w:type="auto"/>
          </w:tcPr>
          <w:p w14:paraId="10EFE1A9" w14:textId="77777777" w:rsidR="00464CE1" w:rsidRPr="00075623" w:rsidRDefault="00464CE1" w:rsidP="00C44C6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075623">
              <w:rPr>
                <w:rFonts w:ascii="Times New Roman" w:hAnsi="Times New Roman" w:cs="Times New Roman"/>
                <w:lang w:val="en-US"/>
              </w:rPr>
              <w:t>83%</w:t>
            </w:r>
          </w:p>
        </w:tc>
        <w:tc>
          <w:tcPr>
            <w:tcW w:w="0" w:type="auto"/>
          </w:tcPr>
          <w:p w14:paraId="5DB0D6E7" w14:textId="77777777" w:rsidR="00464CE1" w:rsidRPr="00075623" w:rsidRDefault="00464CE1" w:rsidP="00C44C6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075623">
              <w:rPr>
                <w:rFonts w:ascii="Times New Roman" w:hAnsi="Times New Roman" w:cs="Times New Roman"/>
                <w:lang w:val="en-US"/>
              </w:rPr>
              <w:t>92%</w:t>
            </w:r>
          </w:p>
        </w:tc>
        <w:tc>
          <w:tcPr>
            <w:tcW w:w="0" w:type="auto"/>
          </w:tcPr>
          <w:p w14:paraId="643132D5" w14:textId="77777777" w:rsidR="00464CE1" w:rsidRPr="00075623" w:rsidRDefault="00464CE1" w:rsidP="00C44C6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075623">
              <w:rPr>
                <w:rFonts w:ascii="Times New Roman" w:hAnsi="Times New Roman" w:cs="Times New Roman"/>
                <w:lang w:val="en-US"/>
              </w:rPr>
              <w:t>100%</w:t>
            </w:r>
          </w:p>
        </w:tc>
        <w:tc>
          <w:tcPr>
            <w:tcW w:w="0" w:type="auto"/>
          </w:tcPr>
          <w:p w14:paraId="4E780A31" w14:textId="77777777" w:rsidR="00464CE1" w:rsidRPr="00075623" w:rsidRDefault="00464CE1" w:rsidP="00C44C6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075623">
              <w:rPr>
                <w:rFonts w:ascii="Times New Roman" w:hAnsi="Times New Roman" w:cs="Times New Roman"/>
                <w:lang w:val="en-US"/>
              </w:rPr>
              <w:t>92%</w:t>
            </w:r>
          </w:p>
        </w:tc>
        <w:tc>
          <w:tcPr>
            <w:tcW w:w="0" w:type="auto"/>
          </w:tcPr>
          <w:p w14:paraId="6E2BDA75" w14:textId="77777777" w:rsidR="00464CE1" w:rsidRPr="00075623" w:rsidRDefault="00464CE1" w:rsidP="00C44C6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075623">
              <w:rPr>
                <w:rFonts w:ascii="Times New Roman" w:hAnsi="Times New Roman" w:cs="Times New Roman"/>
                <w:lang w:val="en-US"/>
              </w:rPr>
              <w:t>67%</w:t>
            </w:r>
          </w:p>
        </w:tc>
        <w:tc>
          <w:tcPr>
            <w:tcW w:w="0" w:type="auto"/>
          </w:tcPr>
          <w:p w14:paraId="2368A07C" w14:textId="77777777" w:rsidR="00464CE1" w:rsidRPr="00075623" w:rsidRDefault="00464CE1" w:rsidP="00C44C6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075623">
              <w:rPr>
                <w:rFonts w:ascii="Times New Roman" w:hAnsi="Times New Roman" w:cs="Times New Roman"/>
                <w:lang w:val="en-US"/>
              </w:rPr>
              <w:t>83%</w:t>
            </w:r>
          </w:p>
        </w:tc>
        <w:tc>
          <w:tcPr>
            <w:tcW w:w="0" w:type="auto"/>
          </w:tcPr>
          <w:p w14:paraId="7FE170C3" w14:textId="77777777" w:rsidR="00464CE1" w:rsidRPr="00075623" w:rsidRDefault="00464CE1" w:rsidP="00C44C6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075623">
              <w:rPr>
                <w:rFonts w:ascii="Times New Roman" w:hAnsi="Times New Roman" w:cs="Times New Roman"/>
                <w:lang w:val="en-US"/>
              </w:rPr>
              <w:t>58%</w:t>
            </w:r>
          </w:p>
        </w:tc>
      </w:tr>
      <w:tr w:rsidR="00464CE1" w:rsidRPr="00075623" w14:paraId="1E49C8FD" w14:textId="77777777" w:rsidTr="00CD6F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4360C0F" w14:textId="77777777" w:rsidR="00464CE1" w:rsidRPr="00075623" w:rsidRDefault="00464CE1" w:rsidP="00C44C65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075623">
              <w:rPr>
                <w:rFonts w:ascii="Times New Roman" w:hAnsi="Times New Roman" w:cs="Times New Roman"/>
                <w:lang w:val="en-US"/>
              </w:rPr>
              <w:t>Accelerated phase</w:t>
            </w:r>
          </w:p>
        </w:tc>
        <w:tc>
          <w:tcPr>
            <w:tcW w:w="0" w:type="auto"/>
          </w:tcPr>
          <w:p w14:paraId="48796C85" w14:textId="77777777" w:rsidR="00464CE1" w:rsidRPr="00075623" w:rsidRDefault="00464CE1" w:rsidP="00C44C6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075623">
              <w:rPr>
                <w:rFonts w:ascii="Times New Roman" w:hAnsi="Times New Roman" w:cs="Times New Roman"/>
                <w:color w:val="000000"/>
              </w:rPr>
              <w:t>46%</w:t>
            </w:r>
          </w:p>
        </w:tc>
        <w:tc>
          <w:tcPr>
            <w:tcW w:w="0" w:type="auto"/>
          </w:tcPr>
          <w:p w14:paraId="754518AF" w14:textId="77777777" w:rsidR="00464CE1" w:rsidRPr="00075623" w:rsidRDefault="00464CE1" w:rsidP="00C44C6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075623">
              <w:rPr>
                <w:rFonts w:ascii="Times New Roman" w:hAnsi="Times New Roman" w:cs="Times New Roman"/>
                <w:color w:val="000000"/>
              </w:rPr>
              <w:t>77%</w:t>
            </w:r>
          </w:p>
        </w:tc>
        <w:tc>
          <w:tcPr>
            <w:tcW w:w="0" w:type="auto"/>
          </w:tcPr>
          <w:p w14:paraId="76D0E0C4" w14:textId="77777777" w:rsidR="00464CE1" w:rsidRPr="00075623" w:rsidRDefault="00464CE1" w:rsidP="00C44C6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075623">
              <w:rPr>
                <w:rFonts w:ascii="Times New Roman" w:hAnsi="Times New Roman" w:cs="Times New Roman"/>
                <w:color w:val="000000"/>
              </w:rPr>
              <w:t>69%</w:t>
            </w:r>
          </w:p>
        </w:tc>
        <w:tc>
          <w:tcPr>
            <w:tcW w:w="0" w:type="auto"/>
          </w:tcPr>
          <w:p w14:paraId="464BAE52" w14:textId="77777777" w:rsidR="00464CE1" w:rsidRPr="00075623" w:rsidRDefault="00464CE1" w:rsidP="00C44C6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075623">
              <w:rPr>
                <w:rFonts w:ascii="Times New Roman" w:hAnsi="Times New Roman" w:cs="Times New Roman"/>
                <w:color w:val="000000"/>
              </w:rPr>
              <w:t>85%</w:t>
            </w:r>
          </w:p>
        </w:tc>
        <w:tc>
          <w:tcPr>
            <w:tcW w:w="0" w:type="auto"/>
          </w:tcPr>
          <w:p w14:paraId="606B6803" w14:textId="77777777" w:rsidR="00464CE1" w:rsidRPr="00075623" w:rsidRDefault="00464CE1" w:rsidP="00C44C6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075623">
              <w:rPr>
                <w:rFonts w:ascii="Times New Roman" w:hAnsi="Times New Roman" w:cs="Times New Roman"/>
                <w:color w:val="000000"/>
              </w:rPr>
              <w:t>77%</w:t>
            </w:r>
          </w:p>
        </w:tc>
        <w:tc>
          <w:tcPr>
            <w:tcW w:w="0" w:type="auto"/>
          </w:tcPr>
          <w:p w14:paraId="13822E55" w14:textId="77777777" w:rsidR="00464CE1" w:rsidRPr="00075623" w:rsidRDefault="00464CE1" w:rsidP="00C44C6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075623">
              <w:rPr>
                <w:rFonts w:ascii="Times New Roman" w:hAnsi="Times New Roman" w:cs="Times New Roman"/>
                <w:color w:val="000000"/>
              </w:rPr>
              <w:t>54%</w:t>
            </w:r>
          </w:p>
        </w:tc>
        <w:tc>
          <w:tcPr>
            <w:tcW w:w="0" w:type="auto"/>
          </w:tcPr>
          <w:p w14:paraId="0438344C" w14:textId="77777777" w:rsidR="00464CE1" w:rsidRPr="00075623" w:rsidRDefault="00464CE1" w:rsidP="00C44C6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075623">
              <w:rPr>
                <w:rFonts w:ascii="Times New Roman" w:hAnsi="Times New Roman" w:cs="Times New Roman"/>
                <w:color w:val="000000"/>
              </w:rPr>
              <w:t>77%</w:t>
            </w:r>
          </w:p>
        </w:tc>
        <w:tc>
          <w:tcPr>
            <w:tcW w:w="0" w:type="auto"/>
          </w:tcPr>
          <w:p w14:paraId="7B3AEAAC" w14:textId="77777777" w:rsidR="00464CE1" w:rsidRPr="00075623" w:rsidRDefault="00464CE1" w:rsidP="00C44C6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075623">
              <w:rPr>
                <w:rFonts w:ascii="Times New Roman" w:hAnsi="Times New Roman" w:cs="Times New Roman"/>
                <w:color w:val="000000"/>
              </w:rPr>
              <w:t>46%</w:t>
            </w:r>
          </w:p>
        </w:tc>
      </w:tr>
      <w:tr w:rsidR="00464CE1" w:rsidRPr="00075623" w14:paraId="06A39BAF" w14:textId="77777777" w:rsidTr="00CD6F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FB0592C" w14:textId="77777777" w:rsidR="00464CE1" w:rsidRPr="00075623" w:rsidRDefault="00464CE1" w:rsidP="00C44C65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075623">
              <w:rPr>
                <w:rFonts w:ascii="Times New Roman" w:hAnsi="Times New Roman" w:cs="Times New Roman"/>
                <w:lang w:val="en-US"/>
              </w:rPr>
              <w:t>TD anemia</w:t>
            </w:r>
          </w:p>
        </w:tc>
        <w:tc>
          <w:tcPr>
            <w:tcW w:w="0" w:type="auto"/>
          </w:tcPr>
          <w:p w14:paraId="7B59967E" w14:textId="77777777" w:rsidR="00464CE1" w:rsidRPr="00075623" w:rsidRDefault="00464CE1" w:rsidP="00C44C6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075623">
              <w:rPr>
                <w:rFonts w:ascii="Times New Roman" w:hAnsi="Times New Roman" w:cs="Times New Roman"/>
                <w:color w:val="000000"/>
              </w:rPr>
              <w:t>92%</w:t>
            </w:r>
          </w:p>
        </w:tc>
        <w:tc>
          <w:tcPr>
            <w:tcW w:w="0" w:type="auto"/>
          </w:tcPr>
          <w:p w14:paraId="36EF51BE" w14:textId="77777777" w:rsidR="00464CE1" w:rsidRPr="00075623" w:rsidRDefault="00464CE1" w:rsidP="00C44C6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075623">
              <w:rPr>
                <w:rFonts w:ascii="Times New Roman" w:hAnsi="Times New Roman" w:cs="Times New Roman"/>
                <w:color w:val="000000"/>
              </w:rPr>
              <w:t>83%</w:t>
            </w:r>
          </w:p>
        </w:tc>
        <w:tc>
          <w:tcPr>
            <w:tcW w:w="0" w:type="auto"/>
          </w:tcPr>
          <w:p w14:paraId="161FA424" w14:textId="77777777" w:rsidR="00464CE1" w:rsidRPr="00075623" w:rsidRDefault="00464CE1" w:rsidP="00C44C6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075623">
              <w:rPr>
                <w:rFonts w:ascii="Times New Roman" w:hAnsi="Times New Roman" w:cs="Times New Roman"/>
                <w:color w:val="000000"/>
              </w:rPr>
              <w:t>67%</w:t>
            </w:r>
          </w:p>
        </w:tc>
        <w:tc>
          <w:tcPr>
            <w:tcW w:w="0" w:type="auto"/>
          </w:tcPr>
          <w:p w14:paraId="56E8C2CE" w14:textId="77777777" w:rsidR="00464CE1" w:rsidRPr="00075623" w:rsidRDefault="00464CE1" w:rsidP="00C44C6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075623">
              <w:rPr>
                <w:rFonts w:ascii="Times New Roman" w:hAnsi="Times New Roman" w:cs="Times New Roman"/>
                <w:color w:val="000000"/>
              </w:rPr>
              <w:t>83%</w:t>
            </w:r>
          </w:p>
        </w:tc>
        <w:tc>
          <w:tcPr>
            <w:tcW w:w="0" w:type="auto"/>
          </w:tcPr>
          <w:p w14:paraId="3A864ED9" w14:textId="77777777" w:rsidR="00464CE1" w:rsidRPr="00075623" w:rsidRDefault="00464CE1" w:rsidP="00C44C6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075623">
              <w:rPr>
                <w:rFonts w:ascii="Times New Roman" w:hAnsi="Times New Roman" w:cs="Times New Roman"/>
                <w:color w:val="000000"/>
              </w:rPr>
              <w:t>67%</w:t>
            </w:r>
          </w:p>
        </w:tc>
        <w:tc>
          <w:tcPr>
            <w:tcW w:w="0" w:type="auto"/>
          </w:tcPr>
          <w:p w14:paraId="4D8BB7E4" w14:textId="77777777" w:rsidR="00464CE1" w:rsidRPr="00075623" w:rsidRDefault="00464CE1" w:rsidP="00C44C6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075623">
              <w:rPr>
                <w:rFonts w:ascii="Times New Roman" w:hAnsi="Times New Roman" w:cs="Times New Roman"/>
                <w:color w:val="000000"/>
              </w:rPr>
              <w:t>67%</w:t>
            </w:r>
          </w:p>
        </w:tc>
        <w:tc>
          <w:tcPr>
            <w:tcW w:w="0" w:type="auto"/>
          </w:tcPr>
          <w:p w14:paraId="041A9699" w14:textId="77777777" w:rsidR="00464CE1" w:rsidRPr="00075623" w:rsidRDefault="00464CE1" w:rsidP="00C44C6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075623">
              <w:rPr>
                <w:rFonts w:ascii="Times New Roman" w:hAnsi="Times New Roman" w:cs="Times New Roman"/>
                <w:color w:val="000000"/>
              </w:rPr>
              <w:t>75%</w:t>
            </w:r>
          </w:p>
        </w:tc>
        <w:tc>
          <w:tcPr>
            <w:tcW w:w="0" w:type="auto"/>
          </w:tcPr>
          <w:p w14:paraId="0B102D39" w14:textId="77777777" w:rsidR="00464CE1" w:rsidRPr="00075623" w:rsidRDefault="00464CE1" w:rsidP="00C44C6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075623">
              <w:rPr>
                <w:rFonts w:ascii="Times New Roman" w:hAnsi="Times New Roman" w:cs="Times New Roman"/>
                <w:color w:val="000000"/>
              </w:rPr>
              <w:t>42%</w:t>
            </w:r>
          </w:p>
        </w:tc>
      </w:tr>
      <w:tr w:rsidR="00464CE1" w:rsidRPr="00075623" w14:paraId="6B2EC67B" w14:textId="77777777" w:rsidTr="00CD6F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D982FFC" w14:textId="3E0C3927" w:rsidR="00464CE1" w:rsidRPr="00075623" w:rsidRDefault="00464CE1" w:rsidP="00C44C65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075623">
              <w:rPr>
                <w:rFonts w:ascii="Times New Roman" w:hAnsi="Times New Roman" w:cs="Times New Roman"/>
                <w:lang w:val="en-US"/>
              </w:rPr>
              <w:t xml:space="preserve">Severe </w:t>
            </w:r>
            <w:proofErr w:type="gramStart"/>
            <w:r w:rsidRPr="00075623">
              <w:rPr>
                <w:rFonts w:ascii="Times New Roman" w:hAnsi="Times New Roman" w:cs="Times New Roman"/>
                <w:lang w:val="en-US"/>
              </w:rPr>
              <w:t xml:space="preserve">non </w:t>
            </w:r>
            <w:r w:rsidR="00646299">
              <w:rPr>
                <w:rFonts w:ascii="Times New Roman" w:hAnsi="Times New Roman" w:cs="Times New Roman"/>
                <w:lang w:val="en-US"/>
              </w:rPr>
              <w:t>transfusion</w:t>
            </w:r>
            <w:proofErr w:type="gramEnd"/>
            <w:r w:rsidR="00646299">
              <w:rPr>
                <w:rFonts w:ascii="Times New Roman" w:hAnsi="Times New Roman" w:cs="Times New Roman"/>
                <w:lang w:val="en-US"/>
              </w:rPr>
              <w:t>-dependent</w:t>
            </w:r>
            <w:r w:rsidRPr="00075623">
              <w:rPr>
                <w:rFonts w:ascii="Times New Roman" w:hAnsi="Times New Roman" w:cs="Times New Roman"/>
                <w:lang w:val="en-US"/>
              </w:rPr>
              <w:t xml:space="preserve"> anemia</w:t>
            </w:r>
          </w:p>
        </w:tc>
        <w:tc>
          <w:tcPr>
            <w:tcW w:w="0" w:type="auto"/>
          </w:tcPr>
          <w:p w14:paraId="6275C537" w14:textId="77777777" w:rsidR="00464CE1" w:rsidRPr="00075623" w:rsidRDefault="00464CE1" w:rsidP="00C44C6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075623">
              <w:rPr>
                <w:rFonts w:ascii="Times New Roman" w:hAnsi="Times New Roman" w:cs="Times New Roman"/>
                <w:color w:val="000000"/>
              </w:rPr>
              <w:t>91%</w:t>
            </w:r>
          </w:p>
        </w:tc>
        <w:tc>
          <w:tcPr>
            <w:tcW w:w="0" w:type="auto"/>
          </w:tcPr>
          <w:p w14:paraId="5B1BB3AF" w14:textId="77777777" w:rsidR="00464CE1" w:rsidRPr="00075623" w:rsidRDefault="00464CE1" w:rsidP="00C44C6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075623">
              <w:rPr>
                <w:rFonts w:ascii="Times New Roman" w:hAnsi="Times New Roman" w:cs="Times New Roman"/>
                <w:color w:val="000000"/>
              </w:rPr>
              <w:t>73%</w:t>
            </w:r>
          </w:p>
        </w:tc>
        <w:tc>
          <w:tcPr>
            <w:tcW w:w="0" w:type="auto"/>
          </w:tcPr>
          <w:p w14:paraId="50C91F35" w14:textId="77777777" w:rsidR="00464CE1" w:rsidRPr="00075623" w:rsidRDefault="00464CE1" w:rsidP="00C44C6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075623">
              <w:rPr>
                <w:rFonts w:ascii="Times New Roman" w:hAnsi="Times New Roman" w:cs="Times New Roman"/>
                <w:color w:val="000000"/>
              </w:rPr>
              <w:t>73%</w:t>
            </w:r>
          </w:p>
        </w:tc>
        <w:tc>
          <w:tcPr>
            <w:tcW w:w="0" w:type="auto"/>
          </w:tcPr>
          <w:p w14:paraId="4EBF1DE7" w14:textId="77777777" w:rsidR="00464CE1" w:rsidRPr="00075623" w:rsidRDefault="00464CE1" w:rsidP="00C44C6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075623">
              <w:rPr>
                <w:rFonts w:ascii="Times New Roman" w:hAnsi="Times New Roman" w:cs="Times New Roman"/>
                <w:color w:val="000000"/>
              </w:rPr>
              <w:t>82%</w:t>
            </w:r>
          </w:p>
        </w:tc>
        <w:tc>
          <w:tcPr>
            <w:tcW w:w="0" w:type="auto"/>
          </w:tcPr>
          <w:p w14:paraId="14EB051B" w14:textId="77777777" w:rsidR="00464CE1" w:rsidRPr="00075623" w:rsidRDefault="00464CE1" w:rsidP="00C44C6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075623">
              <w:rPr>
                <w:rFonts w:ascii="Times New Roman" w:hAnsi="Times New Roman" w:cs="Times New Roman"/>
                <w:color w:val="000000"/>
              </w:rPr>
              <w:t>64%</w:t>
            </w:r>
          </w:p>
        </w:tc>
        <w:tc>
          <w:tcPr>
            <w:tcW w:w="0" w:type="auto"/>
          </w:tcPr>
          <w:p w14:paraId="172F9CA6" w14:textId="77777777" w:rsidR="00464CE1" w:rsidRPr="00075623" w:rsidRDefault="00464CE1" w:rsidP="00C44C6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075623">
              <w:rPr>
                <w:rFonts w:ascii="Times New Roman" w:hAnsi="Times New Roman" w:cs="Times New Roman"/>
                <w:color w:val="000000"/>
              </w:rPr>
              <w:t>64%</w:t>
            </w:r>
          </w:p>
        </w:tc>
        <w:tc>
          <w:tcPr>
            <w:tcW w:w="0" w:type="auto"/>
          </w:tcPr>
          <w:p w14:paraId="18995CDB" w14:textId="77777777" w:rsidR="00464CE1" w:rsidRPr="00075623" w:rsidRDefault="00464CE1" w:rsidP="00C44C6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075623">
              <w:rPr>
                <w:rFonts w:ascii="Times New Roman" w:hAnsi="Times New Roman" w:cs="Times New Roman"/>
                <w:color w:val="000000"/>
              </w:rPr>
              <w:t>82%</w:t>
            </w:r>
          </w:p>
        </w:tc>
        <w:tc>
          <w:tcPr>
            <w:tcW w:w="0" w:type="auto"/>
          </w:tcPr>
          <w:p w14:paraId="4E8BFB26" w14:textId="77777777" w:rsidR="00464CE1" w:rsidRPr="00075623" w:rsidRDefault="00464CE1" w:rsidP="00C44C6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075623">
              <w:rPr>
                <w:rFonts w:ascii="Times New Roman" w:hAnsi="Times New Roman" w:cs="Times New Roman"/>
                <w:color w:val="000000"/>
              </w:rPr>
              <w:t>36%</w:t>
            </w:r>
          </w:p>
        </w:tc>
      </w:tr>
      <w:tr w:rsidR="00464CE1" w:rsidRPr="00075623" w14:paraId="6FB1137A" w14:textId="77777777" w:rsidTr="00CD6F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C81492D" w14:textId="77777777" w:rsidR="00464CE1" w:rsidRPr="00075623" w:rsidRDefault="00464CE1" w:rsidP="00C44C65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075623">
              <w:rPr>
                <w:rFonts w:ascii="Times New Roman" w:hAnsi="Times New Roman" w:cs="Times New Roman"/>
                <w:lang w:val="en-US"/>
              </w:rPr>
              <w:t>Worsening non-severe anemia</w:t>
            </w:r>
          </w:p>
        </w:tc>
        <w:tc>
          <w:tcPr>
            <w:tcW w:w="0" w:type="auto"/>
          </w:tcPr>
          <w:p w14:paraId="06E14427" w14:textId="77777777" w:rsidR="00464CE1" w:rsidRPr="00075623" w:rsidRDefault="00464CE1" w:rsidP="00C44C6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075623">
              <w:rPr>
                <w:rFonts w:ascii="Times New Roman" w:hAnsi="Times New Roman" w:cs="Times New Roman"/>
                <w:color w:val="000000"/>
              </w:rPr>
              <w:t>82%</w:t>
            </w:r>
          </w:p>
        </w:tc>
        <w:tc>
          <w:tcPr>
            <w:tcW w:w="0" w:type="auto"/>
          </w:tcPr>
          <w:p w14:paraId="0B0048F0" w14:textId="77777777" w:rsidR="00464CE1" w:rsidRPr="00075623" w:rsidRDefault="00464CE1" w:rsidP="00C44C6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075623">
              <w:rPr>
                <w:rFonts w:ascii="Times New Roman" w:hAnsi="Times New Roman" w:cs="Times New Roman"/>
                <w:color w:val="000000"/>
              </w:rPr>
              <w:t>64%</w:t>
            </w:r>
          </w:p>
        </w:tc>
        <w:tc>
          <w:tcPr>
            <w:tcW w:w="0" w:type="auto"/>
          </w:tcPr>
          <w:p w14:paraId="24FADE94" w14:textId="77777777" w:rsidR="00464CE1" w:rsidRPr="00075623" w:rsidRDefault="00464CE1" w:rsidP="00C44C6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075623">
              <w:rPr>
                <w:rFonts w:ascii="Times New Roman" w:hAnsi="Times New Roman" w:cs="Times New Roman"/>
                <w:color w:val="000000"/>
              </w:rPr>
              <w:t>64%</w:t>
            </w:r>
          </w:p>
        </w:tc>
        <w:tc>
          <w:tcPr>
            <w:tcW w:w="0" w:type="auto"/>
          </w:tcPr>
          <w:p w14:paraId="4739A0DE" w14:textId="77777777" w:rsidR="00464CE1" w:rsidRPr="00075623" w:rsidRDefault="00464CE1" w:rsidP="00C44C6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075623">
              <w:rPr>
                <w:rFonts w:ascii="Times New Roman" w:hAnsi="Times New Roman" w:cs="Times New Roman"/>
                <w:color w:val="000000"/>
              </w:rPr>
              <w:t>82%</w:t>
            </w:r>
          </w:p>
        </w:tc>
        <w:tc>
          <w:tcPr>
            <w:tcW w:w="0" w:type="auto"/>
          </w:tcPr>
          <w:p w14:paraId="08DD3AF8" w14:textId="77777777" w:rsidR="00464CE1" w:rsidRPr="00075623" w:rsidRDefault="00464CE1" w:rsidP="00C44C6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075623">
              <w:rPr>
                <w:rFonts w:ascii="Times New Roman" w:hAnsi="Times New Roman" w:cs="Times New Roman"/>
                <w:color w:val="000000"/>
              </w:rPr>
              <w:t>55%</w:t>
            </w:r>
          </w:p>
        </w:tc>
        <w:tc>
          <w:tcPr>
            <w:tcW w:w="0" w:type="auto"/>
          </w:tcPr>
          <w:p w14:paraId="2A2BF929" w14:textId="77777777" w:rsidR="00464CE1" w:rsidRPr="00075623" w:rsidRDefault="00464CE1" w:rsidP="00C44C6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075623">
              <w:rPr>
                <w:rFonts w:ascii="Times New Roman" w:hAnsi="Times New Roman" w:cs="Times New Roman"/>
                <w:color w:val="000000"/>
              </w:rPr>
              <w:t>55%</w:t>
            </w:r>
          </w:p>
        </w:tc>
        <w:tc>
          <w:tcPr>
            <w:tcW w:w="0" w:type="auto"/>
          </w:tcPr>
          <w:p w14:paraId="74027528" w14:textId="77777777" w:rsidR="00464CE1" w:rsidRPr="00075623" w:rsidRDefault="00464CE1" w:rsidP="00C44C6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075623">
              <w:rPr>
                <w:rFonts w:ascii="Times New Roman" w:hAnsi="Times New Roman" w:cs="Times New Roman"/>
                <w:color w:val="000000"/>
              </w:rPr>
              <w:t>73%</w:t>
            </w:r>
          </w:p>
        </w:tc>
        <w:tc>
          <w:tcPr>
            <w:tcW w:w="0" w:type="auto"/>
          </w:tcPr>
          <w:p w14:paraId="1D556284" w14:textId="77777777" w:rsidR="00464CE1" w:rsidRPr="00075623" w:rsidRDefault="00464CE1" w:rsidP="00C44C6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075623">
              <w:rPr>
                <w:rFonts w:ascii="Times New Roman" w:hAnsi="Times New Roman" w:cs="Times New Roman"/>
                <w:color w:val="000000"/>
              </w:rPr>
              <w:t>36%</w:t>
            </w:r>
          </w:p>
        </w:tc>
      </w:tr>
      <w:tr w:rsidR="00464CE1" w:rsidRPr="00075623" w14:paraId="6EC521B7" w14:textId="77777777" w:rsidTr="00CD6F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74531FE" w14:textId="77777777" w:rsidR="00464CE1" w:rsidRPr="00075623" w:rsidRDefault="00464CE1" w:rsidP="00C44C65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075623">
              <w:rPr>
                <w:rFonts w:ascii="Times New Roman" w:hAnsi="Times New Roman" w:cs="Times New Roman"/>
                <w:lang w:val="en-US"/>
              </w:rPr>
              <w:t>Stable non-severe anemia</w:t>
            </w:r>
          </w:p>
        </w:tc>
        <w:tc>
          <w:tcPr>
            <w:tcW w:w="0" w:type="auto"/>
          </w:tcPr>
          <w:p w14:paraId="349BD516" w14:textId="77777777" w:rsidR="00464CE1" w:rsidRPr="00075623" w:rsidRDefault="00464CE1" w:rsidP="00C44C6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075623">
              <w:rPr>
                <w:rFonts w:ascii="Times New Roman" w:hAnsi="Times New Roman" w:cs="Times New Roman"/>
                <w:color w:val="000000"/>
              </w:rPr>
              <w:t>82%</w:t>
            </w:r>
          </w:p>
        </w:tc>
        <w:tc>
          <w:tcPr>
            <w:tcW w:w="0" w:type="auto"/>
          </w:tcPr>
          <w:p w14:paraId="594A718D" w14:textId="77777777" w:rsidR="00464CE1" w:rsidRPr="00075623" w:rsidRDefault="00464CE1" w:rsidP="00C44C6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075623">
              <w:rPr>
                <w:rFonts w:ascii="Times New Roman" w:hAnsi="Times New Roman" w:cs="Times New Roman"/>
                <w:color w:val="000000"/>
              </w:rPr>
              <w:t>73%</w:t>
            </w:r>
          </w:p>
        </w:tc>
        <w:tc>
          <w:tcPr>
            <w:tcW w:w="0" w:type="auto"/>
          </w:tcPr>
          <w:p w14:paraId="17F30FC8" w14:textId="77777777" w:rsidR="00464CE1" w:rsidRPr="00075623" w:rsidRDefault="00464CE1" w:rsidP="00C44C6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075623">
              <w:rPr>
                <w:rFonts w:ascii="Times New Roman" w:hAnsi="Times New Roman" w:cs="Times New Roman"/>
                <w:color w:val="000000"/>
              </w:rPr>
              <w:t>73%</w:t>
            </w:r>
          </w:p>
        </w:tc>
        <w:tc>
          <w:tcPr>
            <w:tcW w:w="0" w:type="auto"/>
          </w:tcPr>
          <w:p w14:paraId="62B13229" w14:textId="77777777" w:rsidR="00464CE1" w:rsidRPr="00075623" w:rsidRDefault="00464CE1" w:rsidP="00C44C6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075623">
              <w:rPr>
                <w:rFonts w:ascii="Times New Roman" w:hAnsi="Times New Roman" w:cs="Times New Roman"/>
                <w:color w:val="000000"/>
              </w:rPr>
              <w:t>45%</w:t>
            </w:r>
          </w:p>
        </w:tc>
        <w:tc>
          <w:tcPr>
            <w:tcW w:w="0" w:type="auto"/>
          </w:tcPr>
          <w:p w14:paraId="42DE4C2D" w14:textId="77777777" w:rsidR="00464CE1" w:rsidRPr="00075623" w:rsidRDefault="00464CE1" w:rsidP="00C44C6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075623">
              <w:rPr>
                <w:rFonts w:ascii="Times New Roman" w:hAnsi="Times New Roman" w:cs="Times New Roman"/>
                <w:color w:val="000000"/>
              </w:rPr>
              <w:t>18%</w:t>
            </w:r>
          </w:p>
        </w:tc>
        <w:tc>
          <w:tcPr>
            <w:tcW w:w="0" w:type="auto"/>
          </w:tcPr>
          <w:p w14:paraId="651D28CC" w14:textId="77777777" w:rsidR="00464CE1" w:rsidRPr="00075623" w:rsidRDefault="00464CE1" w:rsidP="00C44C6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075623">
              <w:rPr>
                <w:rFonts w:ascii="Times New Roman" w:hAnsi="Times New Roman" w:cs="Times New Roman"/>
                <w:color w:val="000000"/>
              </w:rPr>
              <w:t>55%</w:t>
            </w:r>
          </w:p>
        </w:tc>
        <w:tc>
          <w:tcPr>
            <w:tcW w:w="0" w:type="auto"/>
          </w:tcPr>
          <w:p w14:paraId="2AB2FAC5" w14:textId="77777777" w:rsidR="00464CE1" w:rsidRPr="00075623" w:rsidRDefault="00464CE1" w:rsidP="00C44C6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075623">
              <w:rPr>
                <w:rFonts w:ascii="Times New Roman" w:hAnsi="Times New Roman" w:cs="Times New Roman"/>
                <w:color w:val="000000"/>
              </w:rPr>
              <w:t>73%</w:t>
            </w:r>
          </w:p>
        </w:tc>
        <w:tc>
          <w:tcPr>
            <w:tcW w:w="0" w:type="auto"/>
          </w:tcPr>
          <w:p w14:paraId="2F4B172F" w14:textId="77777777" w:rsidR="00464CE1" w:rsidRPr="00075623" w:rsidRDefault="00464CE1" w:rsidP="00C44C6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075623">
              <w:rPr>
                <w:rFonts w:ascii="Times New Roman" w:hAnsi="Times New Roman" w:cs="Times New Roman"/>
                <w:color w:val="000000"/>
              </w:rPr>
              <w:t>36%</w:t>
            </w:r>
          </w:p>
        </w:tc>
      </w:tr>
      <w:tr w:rsidR="00464CE1" w:rsidRPr="00075623" w14:paraId="22AD6823" w14:textId="77777777" w:rsidTr="00CD6F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BAB59CD" w14:textId="77777777" w:rsidR="00464CE1" w:rsidRPr="00075623" w:rsidRDefault="00464CE1" w:rsidP="00C44C65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075623">
              <w:rPr>
                <w:rFonts w:ascii="Times New Roman" w:hAnsi="Times New Roman" w:cs="Times New Roman"/>
                <w:lang w:val="en-US"/>
              </w:rPr>
              <w:t>Severe thrombocytopenia</w:t>
            </w:r>
          </w:p>
        </w:tc>
        <w:tc>
          <w:tcPr>
            <w:tcW w:w="0" w:type="auto"/>
          </w:tcPr>
          <w:p w14:paraId="17A0CBBE" w14:textId="77777777" w:rsidR="00464CE1" w:rsidRPr="00075623" w:rsidRDefault="00464CE1" w:rsidP="00C44C6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075623">
              <w:rPr>
                <w:rFonts w:ascii="Times New Roman" w:hAnsi="Times New Roman" w:cs="Times New Roman"/>
                <w:color w:val="000000"/>
              </w:rPr>
              <w:t>67%</w:t>
            </w:r>
          </w:p>
        </w:tc>
        <w:tc>
          <w:tcPr>
            <w:tcW w:w="0" w:type="auto"/>
          </w:tcPr>
          <w:p w14:paraId="0EB4E954" w14:textId="77777777" w:rsidR="00464CE1" w:rsidRPr="00075623" w:rsidRDefault="00464CE1" w:rsidP="00C44C6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075623">
              <w:rPr>
                <w:rFonts w:ascii="Times New Roman" w:hAnsi="Times New Roman" w:cs="Times New Roman"/>
                <w:color w:val="000000"/>
              </w:rPr>
              <w:t>75%</w:t>
            </w:r>
          </w:p>
        </w:tc>
        <w:tc>
          <w:tcPr>
            <w:tcW w:w="0" w:type="auto"/>
          </w:tcPr>
          <w:p w14:paraId="4D6802EC" w14:textId="77777777" w:rsidR="00464CE1" w:rsidRPr="00075623" w:rsidRDefault="00464CE1" w:rsidP="00C44C6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075623">
              <w:rPr>
                <w:rFonts w:ascii="Times New Roman" w:hAnsi="Times New Roman" w:cs="Times New Roman"/>
                <w:color w:val="000000"/>
              </w:rPr>
              <w:t>83%</w:t>
            </w:r>
          </w:p>
        </w:tc>
        <w:tc>
          <w:tcPr>
            <w:tcW w:w="0" w:type="auto"/>
          </w:tcPr>
          <w:p w14:paraId="2A44F58C" w14:textId="77777777" w:rsidR="00464CE1" w:rsidRPr="00075623" w:rsidRDefault="00464CE1" w:rsidP="00C44C6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075623">
              <w:rPr>
                <w:rFonts w:ascii="Times New Roman" w:hAnsi="Times New Roman" w:cs="Times New Roman"/>
                <w:color w:val="000000"/>
              </w:rPr>
              <w:t>83%</w:t>
            </w:r>
          </w:p>
        </w:tc>
        <w:tc>
          <w:tcPr>
            <w:tcW w:w="0" w:type="auto"/>
          </w:tcPr>
          <w:p w14:paraId="328CBF39" w14:textId="77777777" w:rsidR="00464CE1" w:rsidRPr="00075623" w:rsidRDefault="00464CE1" w:rsidP="00C44C6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075623">
              <w:rPr>
                <w:rFonts w:ascii="Times New Roman" w:hAnsi="Times New Roman" w:cs="Times New Roman"/>
                <w:color w:val="000000"/>
              </w:rPr>
              <w:t>67%</w:t>
            </w:r>
          </w:p>
        </w:tc>
        <w:tc>
          <w:tcPr>
            <w:tcW w:w="0" w:type="auto"/>
          </w:tcPr>
          <w:p w14:paraId="5C90AC7F" w14:textId="77777777" w:rsidR="00464CE1" w:rsidRPr="00075623" w:rsidRDefault="00464CE1" w:rsidP="00C44C6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075623">
              <w:rPr>
                <w:rFonts w:ascii="Times New Roman" w:hAnsi="Times New Roman" w:cs="Times New Roman"/>
                <w:color w:val="000000"/>
              </w:rPr>
              <w:t>58%</w:t>
            </w:r>
          </w:p>
        </w:tc>
        <w:tc>
          <w:tcPr>
            <w:tcW w:w="0" w:type="auto"/>
          </w:tcPr>
          <w:p w14:paraId="35366638" w14:textId="77777777" w:rsidR="00464CE1" w:rsidRPr="00075623" w:rsidRDefault="00464CE1" w:rsidP="00C44C6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075623">
              <w:rPr>
                <w:rFonts w:ascii="Times New Roman" w:hAnsi="Times New Roman" w:cs="Times New Roman"/>
                <w:color w:val="000000"/>
              </w:rPr>
              <w:t>75%</w:t>
            </w:r>
          </w:p>
        </w:tc>
        <w:tc>
          <w:tcPr>
            <w:tcW w:w="0" w:type="auto"/>
          </w:tcPr>
          <w:p w14:paraId="02FC4345" w14:textId="77777777" w:rsidR="00464CE1" w:rsidRPr="00075623" w:rsidRDefault="00464CE1" w:rsidP="00C44C6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075623">
              <w:rPr>
                <w:rFonts w:ascii="Times New Roman" w:hAnsi="Times New Roman" w:cs="Times New Roman"/>
                <w:color w:val="000000"/>
              </w:rPr>
              <w:t>67%</w:t>
            </w:r>
          </w:p>
        </w:tc>
      </w:tr>
      <w:tr w:rsidR="00464CE1" w:rsidRPr="00075623" w14:paraId="1D022A7B" w14:textId="77777777" w:rsidTr="00CD6F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180D7C9" w14:textId="77777777" w:rsidR="00464CE1" w:rsidRPr="00075623" w:rsidRDefault="00464CE1" w:rsidP="00C44C65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075623">
              <w:rPr>
                <w:rFonts w:ascii="Times New Roman" w:hAnsi="Times New Roman" w:cs="Times New Roman"/>
                <w:lang w:val="en-US"/>
              </w:rPr>
              <w:t>Stroke</w:t>
            </w:r>
          </w:p>
        </w:tc>
        <w:tc>
          <w:tcPr>
            <w:tcW w:w="0" w:type="auto"/>
          </w:tcPr>
          <w:p w14:paraId="76E33F64" w14:textId="77777777" w:rsidR="00464CE1" w:rsidRPr="00075623" w:rsidRDefault="00464CE1" w:rsidP="00C44C6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075623">
              <w:rPr>
                <w:rFonts w:ascii="Times New Roman" w:hAnsi="Times New Roman" w:cs="Times New Roman"/>
                <w:color w:val="000000"/>
              </w:rPr>
              <w:t>91%</w:t>
            </w:r>
          </w:p>
        </w:tc>
        <w:tc>
          <w:tcPr>
            <w:tcW w:w="0" w:type="auto"/>
          </w:tcPr>
          <w:p w14:paraId="0703C576" w14:textId="77777777" w:rsidR="00464CE1" w:rsidRPr="00075623" w:rsidRDefault="00464CE1" w:rsidP="00C44C6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075623">
              <w:rPr>
                <w:rFonts w:ascii="Times New Roman" w:hAnsi="Times New Roman" w:cs="Times New Roman"/>
                <w:color w:val="000000"/>
              </w:rPr>
              <w:t>82%</w:t>
            </w:r>
          </w:p>
        </w:tc>
        <w:tc>
          <w:tcPr>
            <w:tcW w:w="0" w:type="auto"/>
          </w:tcPr>
          <w:p w14:paraId="36BAE329" w14:textId="77777777" w:rsidR="00464CE1" w:rsidRPr="00075623" w:rsidRDefault="00464CE1" w:rsidP="00C44C6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075623">
              <w:rPr>
                <w:rFonts w:ascii="Times New Roman" w:hAnsi="Times New Roman" w:cs="Times New Roman"/>
                <w:color w:val="000000"/>
              </w:rPr>
              <w:t>82%</w:t>
            </w:r>
          </w:p>
        </w:tc>
        <w:tc>
          <w:tcPr>
            <w:tcW w:w="0" w:type="auto"/>
          </w:tcPr>
          <w:p w14:paraId="3AA96493" w14:textId="77777777" w:rsidR="00464CE1" w:rsidRPr="00075623" w:rsidRDefault="00464CE1" w:rsidP="00C44C6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075623">
              <w:rPr>
                <w:rFonts w:ascii="Times New Roman" w:hAnsi="Times New Roman" w:cs="Times New Roman"/>
                <w:color w:val="000000"/>
              </w:rPr>
              <w:t>82%</w:t>
            </w:r>
          </w:p>
        </w:tc>
        <w:tc>
          <w:tcPr>
            <w:tcW w:w="0" w:type="auto"/>
          </w:tcPr>
          <w:p w14:paraId="0F843C96" w14:textId="77777777" w:rsidR="00464CE1" w:rsidRPr="00075623" w:rsidRDefault="00464CE1" w:rsidP="00C44C6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075623">
              <w:rPr>
                <w:rFonts w:ascii="Times New Roman" w:hAnsi="Times New Roman" w:cs="Times New Roman"/>
                <w:color w:val="000000"/>
              </w:rPr>
              <w:t>55%</w:t>
            </w:r>
          </w:p>
        </w:tc>
        <w:tc>
          <w:tcPr>
            <w:tcW w:w="0" w:type="auto"/>
          </w:tcPr>
          <w:p w14:paraId="5F151085" w14:textId="77777777" w:rsidR="00464CE1" w:rsidRPr="00075623" w:rsidRDefault="00464CE1" w:rsidP="00C44C6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075623">
              <w:rPr>
                <w:rFonts w:ascii="Times New Roman" w:hAnsi="Times New Roman" w:cs="Times New Roman"/>
                <w:color w:val="000000"/>
              </w:rPr>
              <w:t>55%</w:t>
            </w:r>
          </w:p>
        </w:tc>
        <w:tc>
          <w:tcPr>
            <w:tcW w:w="0" w:type="auto"/>
          </w:tcPr>
          <w:p w14:paraId="4627A9D7" w14:textId="77777777" w:rsidR="00464CE1" w:rsidRPr="00075623" w:rsidRDefault="00464CE1" w:rsidP="00C44C6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075623">
              <w:rPr>
                <w:rFonts w:ascii="Times New Roman" w:hAnsi="Times New Roman" w:cs="Times New Roman"/>
                <w:color w:val="000000"/>
              </w:rPr>
              <w:t>82%</w:t>
            </w:r>
          </w:p>
        </w:tc>
        <w:tc>
          <w:tcPr>
            <w:tcW w:w="0" w:type="auto"/>
          </w:tcPr>
          <w:p w14:paraId="7AAB69AE" w14:textId="77777777" w:rsidR="00464CE1" w:rsidRPr="00075623" w:rsidRDefault="00464CE1" w:rsidP="00C44C6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075623">
              <w:rPr>
                <w:rFonts w:ascii="Times New Roman" w:hAnsi="Times New Roman" w:cs="Times New Roman"/>
                <w:color w:val="000000"/>
              </w:rPr>
              <w:t>36%</w:t>
            </w:r>
          </w:p>
        </w:tc>
      </w:tr>
      <w:tr w:rsidR="00464CE1" w:rsidRPr="00075623" w14:paraId="39DC978A" w14:textId="77777777" w:rsidTr="00CD6F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724644E" w14:textId="77777777" w:rsidR="00464CE1" w:rsidRPr="00075623" w:rsidRDefault="00464CE1" w:rsidP="00C44C65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075623">
              <w:rPr>
                <w:rFonts w:ascii="Times New Roman" w:hAnsi="Times New Roman" w:cs="Times New Roman"/>
                <w:lang w:val="en-US"/>
              </w:rPr>
              <w:t>Pulmonary embolism</w:t>
            </w:r>
          </w:p>
        </w:tc>
        <w:tc>
          <w:tcPr>
            <w:tcW w:w="0" w:type="auto"/>
          </w:tcPr>
          <w:p w14:paraId="4A290A4F" w14:textId="77777777" w:rsidR="00464CE1" w:rsidRPr="00075623" w:rsidRDefault="00464CE1" w:rsidP="00C44C6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075623">
              <w:rPr>
                <w:rFonts w:ascii="Times New Roman" w:hAnsi="Times New Roman" w:cs="Times New Roman"/>
                <w:color w:val="000000"/>
              </w:rPr>
              <w:t>91%</w:t>
            </w:r>
          </w:p>
        </w:tc>
        <w:tc>
          <w:tcPr>
            <w:tcW w:w="0" w:type="auto"/>
          </w:tcPr>
          <w:p w14:paraId="237D49D9" w14:textId="77777777" w:rsidR="00464CE1" w:rsidRPr="00075623" w:rsidRDefault="00464CE1" w:rsidP="00C44C6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075623">
              <w:rPr>
                <w:rFonts w:ascii="Times New Roman" w:hAnsi="Times New Roman" w:cs="Times New Roman"/>
                <w:color w:val="000000"/>
              </w:rPr>
              <w:t>82%</w:t>
            </w:r>
          </w:p>
        </w:tc>
        <w:tc>
          <w:tcPr>
            <w:tcW w:w="0" w:type="auto"/>
          </w:tcPr>
          <w:p w14:paraId="1886D8CF" w14:textId="77777777" w:rsidR="00464CE1" w:rsidRPr="00075623" w:rsidRDefault="00464CE1" w:rsidP="00C44C6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075623">
              <w:rPr>
                <w:rFonts w:ascii="Times New Roman" w:hAnsi="Times New Roman" w:cs="Times New Roman"/>
                <w:color w:val="000000"/>
              </w:rPr>
              <w:t>82%</w:t>
            </w:r>
          </w:p>
        </w:tc>
        <w:tc>
          <w:tcPr>
            <w:tcW w:w="0" w:type="auto"/>
          </w:tcPr>
          <w:p w14:paraId="083841EA" w14:textId="77777777" w:rsidR="00464CE1" w:rsidRPr="00075623" w:rsidRDefault="00464CE1" w:rsidP="00C44C6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075623">
              <w:rPr>
                <w:rFonts w:ascii="Times New Roman" w:hAnsi="Times New Roman" w:cs="Times New Roman"/>
                <w:color w:val="000000"/>
              </w:rPr>
              <w:t>82%</w:t>
            </w:r>
          </w:p>
        </w:tc>
        <w:tc>
          <w:tcPr>
            <w:tcW w:w="0" w:type="auto"/>
          </w:tcPr>
          <w:p w14:paraId="714550C6" w14:textId="77777777" w:rsidR="00464CE1" w:rsidRPr="00075623" w:rsidRDefault="00464CE1" w:rsidP="00C44C6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075623">
              <w:rPr>
                <w:rFonts w:ascii="Times New Roman" w:hAnsi="Times New Roman" w:cs="Times New Roman"/>
                <w:color w:val="000000"/>
              </w:rPr>
              <w:t>55%</w:t>
            </w:r>
          </w:p>
        </w:tc>
        <w:tc>
          <w:tcPr>
            <w:tcW w:w="0" w:type="auto"/>
          </w:tcPr>
          <w:p w14:paraId="0B38A090" w14:textId="77777777" w:rsidR="00464CE1" w:rsidRPr="00075623" w:rsidRDefault="00464CE1" w:rsidP="00C44C6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075623">
              <w:rPr>
                <w:rFonts w:ascii="Times New Roman" w:hAnsi="Times New Roman" w:cs="Times New Roman"/>
                <w:color w:val="000000"/>
              </w:rPr>
              <w:t>55%</w:t>
            </w:r>
          </w:p>
        </w:tc>
        <w:tc>
          <w:tcPr>
            <w:tcW w:w="0" w:type="auto"/>
          </w:tcPr>
          <w:p w14:paraId="167465B1" w14:textId="77777777" w:rsidR="00464CE1" w:rsidRPr="00075623" w:rsidRDefault="00464CE1" w:rsidP="00C44C6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075623">
              <w:rPr>
                <w:rFonts w:ascii="Times New Roman" w:hAnsi="Times New Roman" w:cs="Times New Roman"/>
                <w:color w:val="000000"/>
              </w:rPr>
              <w:t>82%</w:t>
            </w:r>
          </w:p>
        </w:tc>
        <w:tc>
          <w:tcPr>
            <w:tcW w:w="0" w:type="auto"/>
          </w:tcPr>
          <w:p w14:paraId="0A6E05AE" w14:textId="77777777" w:rsidR="00464CE1" w:rsidRPr="00075623" w:rsidRDefault="00464CE1" w:rsidP="00C44C6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075623">
              <w:rPr>
                <w:rFonts w:ascii="Times New Roman" w:hAnsi="Times New Roman" w:cs="Times New Roman"/>
                <w:color w:val="000000"/>
              </w:rPr>
              <w:t>36%</w:t>
            </w:r>
          </w:p>
        </w:tc>
      </w:tr>
      <w:tr w:rsidR="00464CE1" w:rsidRPr="00075623" w14:paraId="0E32E004" w14:textId="77777777" w:rsidTr="00CD6F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EAE4CDE" w14:textId="77777777" w:rsidR="00464CE1" w:rsidRPr="00075623" w:rsidRDefault="00464CE1" w:rsidP="00C44C65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075623">
              <w:rPr>
                <w:rFonts w:ascii="Times New Roman" w:hAnsi="Times New Roman" w:cs="Times New Roman"/>
                <w:lang w:val="en-US"/>
              </w:rPr>
              <w:t>Myocardial infarction</w:t>
            </w:r>
          </w:p>
        </w:tc>
        <w:tc>
          <w:tcPr>
            <w:tcW w:w="0" w:type="auto"/>
          </w:tcPr>
          <w:p w14:paraId="5FC7C247" w14:textId="77777777" w:rsidR="00464CE1" w:rsidRPr="00075623" w:rsidRDefault="00464CE1" w:rsidP="00C44C6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075623">
              <w:rPr>
                <w:rFonts w:ascii="Times New Roman" w:hAnsi="Times New Roman" w:cs="Times New Roman"/>
                <w:color w:val="000000"/>
              </w:rPr>
              <w:t>83%</w:t>
            </w:r>
          </w:p>
        </w:tc>
        <w:tc>
          <w:tcPr>
            <w:tcW w:w="0" w:type="auto"/>
          </w:tcPr>
          <w:p w14:paraId="0D7511A3" w14:textId="77777777" w:rsidR="00464CE1" w:rsidRPr="00075623" w:rsidRDefault="00464CE1" w:rsidP="00C44C6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075623">
              <w:rPr>
                <w:rFonts w:ascii="Times New Roman" w:hAnsi="Times New Roman" w:cs="Times New Roman"/>
                <w:color w:val="000000"/>
              </w:rPr>
              <w:t>75%</w:t>
            </w:r>
          </w:p>
        </w:tc>
        <w:tc>
          <w:tcPr>
            <w:tcW w:w="0" w:type="auto"/>
          </w:tcPr>
          <w:p w14:paraId="5F3246A5" w14:textId="77777777" w:rsidR="00464CE1" w:rsidRPr="00075623" w:rsidRDefault="00464CE1" w:rsidP="00C44C6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075623">
              <w:rPr>
                <w:rFonts w:ascii="Times New Roman" w:hAnsi="Times New Roman" w:cs="Times New Roman"/>
                <w:color w:val="000000"/>
              </w:rPr>
              <w:t>75%</w:t>
            </w:r>
          </w:p>
        </w:tc>
        <w:tc>
          <w:tcPr>
            <w:tcW w:w="0" w:type="auto"/>
          </w:tcPr>
          <w:p w14:paraId="26CD1D22" w14:textId="77777777" w:rsidR="00464CE1" w:rsidRPr="00075623" w:rsidRDefault="00464CE1" w:rsidP="00C44C6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075623">
              <w:rPr>
                <w:rFonts w:ascii="Times New Roman" w:hAnsi="Times New Roman" w:cs="Times New Roman"/>
                <w:color w:val="000000"/>
              </w:rPr>
              <w:t>75%</w:t>
            </w:r>
          </w:p>
        </w:tc>
        <w:tc>
          <w:tcPr>
            <w:tcW w:w="0" w:type="auto"/>
          </w:tcPr>
          <w:p w14:paraId="25E35820" w14:textId="77777777" w:rsidR="00464CE1" w:rsidRPr="00075623" w:rsidRDefault="00464CE1" w:rsidP="00C44C6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075623">
              <w:rPr>
                <w:rFonts w:ascii="Times New Roman" w:hAnsi="Times New Roman" w:cs="Times New Roman"/>
                <w:color w:val="000000"/>
              </w:rPr>
              <w:t>58%</w:t>
            </w:r>
          </w:p>
        </w:tc>
        <w:tc>
          <w:tcPr>
            <w:tcW w:w="0" w:type="auto"/>
          </w:tcPr>
          <w:p w14:paraId="1DB89500" w14:textId="77777777" w:rsidR="00464CE1" w:rsidRPr="00075623" w:rsidRDefault="00464CE1" w:rsidP="00C44C6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075623">
              <w:rPr>
                <w:rFonts w:ascii="Times New Roman" w:hAnsi="Times New Roman" w:cs="Times New Roman"/>
                <w:color w:val="000000"/>
              </w:rPr>
              <w:t>50%</w:t>
            </w:r>
          </w:p>
        </w:tc>
        <w:tc>
          <w:tcPr>
            <w:tcW w:w="0" w:type="auto"/>
          </w:tcPr>
          <w:p w14:paraId="4D38DE84" w14:textId="77777777" w:rsidR="00464CE1" w:rsidRPr="00075623" w:rsidRDefault="00464CE1" w:rsidP="00C44C6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075623">
              <w:rPr>
                <w:rFonts w:ascii="Times New Roman" w:hAnsi="Times New Roman" w:cs="Times New Roman"/>
                <w:color w:val="000000"/>
              </w:rPr>
              <w:t>75%</w:t>
            </w:r>
          </w:p>
        </w:tc>
        <w:tc>
          <w:tcPr>
            <w:tcW w:w="0" w:type="auto"/>
          </w:tcPr>
          <w:p w14:paraId="19BD4CAA" w14:textId="77777777" w:rsidR="00464CE1" w:rsidRPr="00075623" w:rsidRDefault="00464CE1" w:rsidP="00C44C6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075623">
              <w:rPr>
                <w:rFonts w:ascii="Times New Roman" w:hAnsi="Times New Roman" w:cs="Times New Roman"/>
                <w:color w:val="000000"/>
              </w:rPr>
              <w:t>33%</w:t>
            </w:r>
          </w:p>
        </w:tc>
      </w:tr>
      <w:tr w:rsidR="00464CE1" w:rsidRPr="00075623" w14:paraId="5E57290D" w14:textId="77777777" w:rsidTr="00CD6F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0C8AD27" w14:textId="77777777" w:rsidR="00464CE1" w:rsidRPr="00075623" w:rsidRDefault="00464CE1" w:rsidP="00C44C65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075623">
              <w:rPr>
                <w:rFonts w:ascii="Times New Roman" w:hAnsi="Times New Roman" w:cs="Times New Roman"/>
                <w:lang w:val="en-US"/>
              </w:rPr>
              <w:t>Deep venous thrombosis</w:t>
            </w:r>
          </w:p>
        </w:tc>
        <w:tc>
          <w:tcPr>
            <w:tcW w:w="0" w:type="auto"/>
          </w:tcPr>
          <w:p w14:paraId="3DA797BF" w14:textId="77777777" w:rsidR="00464CE1" w:rsidRPr="00075623" w:rsidRDefault="00464CE1" w:rsidP="00C44C6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075623">
              <w:rPr>
                <w:rFonts w:ascii="Times New Roman" w:hAnsi="Times New Roman" w:cs="Times New Roman"/>
                <w:color w:val="000000"/>
              </w:rPr>
              <w:t>92%</w:t>
            </w:r>
          </w:p>
        </w:tc>
        <w:tc>
          <w:tcPr>
            <w:tcW w:w="0" w:type="auto"/>
          </w:tcPr>
          <w:p w14:paraId="61754769" w14:textId="77777777" w:rsidR="00464CE1" w:rsidRPr="00075623" w:rsidRDefault="00464CE1" w:rsidP="00C44C6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075623">
              <w:rPr>
                <w:rFonts w:ascii="Times New Roman" w:hAnsi="Times New Roman" w:cs="Times New Roman"/>
                <w:color w:val="000000"/>
              </w:rPr>
              <w:t>75%</w:t>
            </w:r>
          </w:p>
        </w:tc>
        <w:tc>
          <w:tcPr>
            <w:tcW w:w="0" w:type="auto"/>
          </w:tcPr>
          <w:p w14:paraId="6B417CDB" w14:textId="77777777" w:rsidR="00464CE1" w:rsidRPr="00075623" w:rsidRDefault="00464CE1" w:rsidP="00C44C6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075623">
              <w:rPr>
                <w:rFonts w:ascii="Times New Roman" w:hAnsi="Times New Roman" w:cs="Times New Roman"/>
                <w:color w:val="000000"/>
              </w:rPr>
              <w:t>75%</w:t>
            </w:r>
          </w:p>
        </w:tc>
        <w:tc>
          <w:tcPr>
            <w:tcW w:w="0" w:type="auto"/>
          </w:tcPr>
          <w:p w14:paraId="4A5FC51C" w14:textId="77777777" w:rsidR="00464CE1" w:rsidRPr="00075623" w:rsidRDefault="00464CE1" w:rsidP="00C44C6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075623">
              <w:rPr>
                <w:rFonts w:ascii="Times New Roman" w:hAnsi="Times New Roman" w:cs="Times New Roman"/>
                <w:color w:val="000000"/>
              </w:rPr>
              <w:t>67%</w:t>
            </w:r>
          </w:p>
        </w:tc>
        <w:tc>
          <w:tcPr>
            <w:tcW w:w="0" w:type="auto"/>
          </w:tcPr>
          <w:p w14:paraId="57199E35" w14:textId="77777777" w:rsidR="00464CE1" w:rsidRPr="00075623" w:rsidRDefault="00464CE1" w:rsidP="00C44C6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075623">
              <w:rPr>
                <w:rFonts w:ascii="Times New Roman" w:hAnsi="Times New Roman" w:cs="Times New Roman"/>
                <w:color w:val="000000"/>
              </w:rPr>
              <w:t>50%</w:t>
            </w:r>
          </w:p>
        </w:tc>
        <w:tc>
          <w:tcPr>
            <w:tcW w:w="0" w:type="auto"/>
          </w:tcPr>
          <w:p w14:paraId="0CD74BB2" w14:textId="77777777" w:rsidR="00464CE1" w:rsidRPr="00075623" w:rsidRDefault="00464CE1" w:rsidP="00C44C6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075623">
              <w:rPr>
                <w:rFonts w:ascii="Times New Roman" w:hAnsi="Times New Roman" w:cs="Times New Roman"/>
                <w:color w:val="000000"/>
              </w:rPr>
              <w:t>42%</w:t>
            </w:r>
          </w:p>
        </w:tc>
        <w:tc>
          <w:tcPr>
            <w:tcW w:w="0" w:type="auto"/>
          </w:tcPr>
          <w:p w14:paraId="3A7FA97B" w14:textId="77777777" w:rsidR="00464CE1" w:rsidRPr="00075623" w:rsidRDefault="00464CE1" w:rsidP="00C44C6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075623">
              <w:rPr>
                <w:rFonts w:ascii="Times New Roman" w:hAnsi="Times New Roman" w:cs="Times New Roman"/>
                <w:color w:val="000000"/>
              </w:rPr>
              <w:t>75%</w:t>
            </w:r>
          </w:p>
        </w:tc>
        <w:tc>
          <w:tcPr>
            <w:tcW w:w="0" w:type="auto"/>
          </w:tcPr>
          <w:p w14:paraId="4E95A7E7" w14:textId="77777777" w:rsidR="00464CE1" w:rsidRPr="00075623" w:rsidRDefault="00464CE1" w:rsidP="00C44C6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075623">
              <w:rPr>
                <w:rFonts w:ascii="Times New Roman" w:hAnsi="Times New Roman" w:cs="Times New Roman"/>
                <w:color w:val="000000"/>
              </w:rPr>
              <w:t>33%</w:t>
            </w:r>
          </w:p>
        </w:tc>
      </w:tr>
      <w:tr w:rsidR="00464CE1" w:rsidRPr="00075623" w14:paraId="7267E6EC" w14:textId="77777777" w:rsidTr="00CD6F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0CEB349" w14:textId="77777777" w:rsidR="00464CE1" w:rsidRPr="00075623" w:rsidRDefault="00464CE1" w:rsidP="00C44C65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075623">
              <w:rPr>
                <w:rFonts w:ascii="Times New Roman" w:hAnsi="Times New Roman" w:cs="Times New Roman"/>
                <w:lang w:val="en-US"/>
              </w:rPr>
              <w:t>Major bleedings</w:t>
            </w:r>
          </w:p>
        </w:tc>
        <w:tc>
          <w:tcPr>
            <w:tcW w:w="0" w:type="auto"/>
          </w:tcPr>
          <w:p w14:paraId="24C0D003" w14:textId="77777777" w:rsidR="00464CE1" w:rsidRPr="00075623" w:rsidRDefault="00464CE1" w:rsidP="00C44C6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075623">
              <w:rPr>
                <w:rFonts w:ascii="Times New Roman" w:hAnsi="Times New Roman" w:cs="Times New Roman"/>
                <w:color w:val="000000"/>
              </w:rPr>
              <w:t>91%</w:t>
            </w:r>
          </w:p>
        </w:tc>
        <w:tc>
          <w:tcPr>
            <w:tcW w:w="0" w:type="auto"/>
          </w:tcPr>
          <w:p w14:paraId="13F8CA6D" w14:textId="77777777" w:rsidR="00464CE1" w:rsidRPr="00075623" w:rsidRDefault="00464CE1" w:rsidP="00C44C6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075623">
              <w:rPr>
                <w:rFonts w:ascii="Times New Roman" w:hAnsi="Times New Roman" w:cs="Times New Roman"/>
                <w:color w:val="000000"/>
              </w:rPr>
              <w:t>73%</w:t>
            </w:r>
          </w:p>
        </w:tc>
        <w:tc>
          <w:tcPr>
            <w:tcW w:w="0" w:type="auto"/>
          </w:tcPr>
          <w:p w14:paraId="4A7A6813" w14:textId="77777777" w:rsidR="00464CE1" w:rsidRPr="00075623" w:rsidRDefault="00464CE1" w:rsidP="00C44C6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075623">
              <w:rPr>
                <w:rFonts w:ascii="Times New Roman" w:hAnsi="Times New Roman" w:cs="Times New Roman"/>
                <w:color w:val="000000"/>
              </w:rPr>
              <w:t>73%</w:t>
            </w:r>
          </w:p>
        </w:tc>
        <w:tc>
          <w:tcPr>
            <w:tcW w:w="0" w:type="auto"/>
          </w:tcPr>
          <w:p w14:paraId="54F78EBF" w14:textId="77777777" w:rsidR="00464CE1" w:rsidRPr="00075623" w:rsidRDefault="00464CE1" w:rsidP="00C44C6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075623">
              <w:rPr>
                <w:rFonts w:ascii="Times New Roman" w:hAnsi="Times New Roman" w:cs="Times New Roman"/>
                <w:color w:val="000000"/>
              </w:rPr>
              <w:t>91%</w:t>
            </w:r>
          </w:p>
        </w:tc>
        <w:tc>
          <w:tcPr>
            <w:tcW w:w="0" w:type="auto"/>
          </w:tcPr>
          <w:p w14:paraId="382C1A2B" w14:textId="77777777" w:rsidR="00464CE1" w:rsidRPr="00075623" w:rsidRDefault="00464CE1" w:rsidP="00C44C6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075623">
              <w:rPr>
                <w:rFonts w:ascii="Times New Roman" w:hAnsi="Times New Roman" w:cs="Times New Roman"/>
                <w:color w:val="000000"/>
              </w:rPr>
              <w:t>64%</w:t>
            </w:r>
          </w:p>
        </w:tc>
        <w:tc>
          <w:tcPr>
            <w:tcW w:w="0" w:type="auto"/>
          </w:tcPr>
          <w:p w14:paraId="0EF4A2DD" w14:textId="77777777" w:rsidR="00464CE1" w:rsidRPr="00075623" w:rsidRDefault="00464CE1" w:rsidP="00C44C6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075623">
              <w:rPr>
                <w:rFonts w:ascii="Times New Roman" w:hAnsi="Times New Roman" w:cs="Times New Roman"/>
                <w:color w:val="000000"/>
              </w:rPr>
              <w:t>45%</w:t>
            </w:r>
          </w:p>
        </w:tc>
        <w:tc>
          <w:tcPr>
            <w:tcW w:w="0" w:type="auto"/>
          </w:tcPr>
          <w:p w14:paraId="5A18B773" w14:textId="77777777" w:rsidR="00464CE1" w:rsidRPr="00075623" w:rsidRDefault="00464CE1" w:rsidP="00C44C6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075623">
              <w:rPr>
                <w:rFonts w:ascii="Times New Roman" w:hAnsi="Times New Roman" w:cs="Times New Roman"/>
                <w:color w:val="000000"/>
              </w:rPr>
              <w:t>73%</w:t>
            </w:r>
          </w:p>
        </w:tc>
        <w:tc>
          <w:tcPr>
            <w:tcW w:w="0" w:type="auto"/>
          </w:tcPr>
          <w:p w14:paraId="01429557" w14:textId="77777777" w:rsidR="00464CE1" w:rsidRPr="00075623" w:rsidRDefault="00464CE1" w:rsidP="00C44C6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075623">
              <w:rPr>
                <w:rFonts w:ascii="Times New Roman" w:hAnsi="Times New Roman" w:cs="Times New Roman"/>
                <w:color w:val="000000"/>
              </w:rPr>
              <w:t>35%</w:t>
            </w:r>
          </w:p>
        </w:tc>
      </w:tr>
      <w:tr w:rsidR="00464CE1" w:rsidRPr="00075623" w14:paraId="075242C8" w14:textId="77777777" w:rsidTr="00CD6F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712CE0B" w14:textId="77777777" w:rsidR="00464CE1" w:rsidRPr="00075623" w:rsidRDefault="00464CE1" w:rsidP="00C44C65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075623">
              <w:rPr>
                <w:rFonts w:ascii="Times New Roman" w:hAnsi="Times New Roman" w:cs="Times New Roman"/>
                <w:lang w:val="en-US"/>
              </w:rPr>
              <w:t>Very severe symptom burden</w:t>
            </w:r>
          </w:p>
        </w:tc>
        <w:tc>
          <w:tcPr>
            <w:tcW w:w="0" w:type="auto"/>
          </w:tcPr>
          <w:p w14:paraId="47774700" w14:textId="77777777" w:rsidR="00464CE1" w:rsidRPr="00075623" w:rsidRDefault="00464CE1" w:rsidP="00C44C6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075623">
              <w:rPr>
                <w:rFonts w:ascii="Times New Roman" w:hAnsi="Times New Roman" w:cs="Times New Roman"/>
                <w:color w:val="000000"/>
              </w:rPr>
              <w:t>82%</w:t>
            </w:r>
          </w:p>
        </w:tc>
        <w:tc>
          <w:tcPr>
            <w:tcW w:w="0" w:type="auto"/>
          </w:tcPr>
          <w:p w14:paraId="45EB9E05" w14:textId="77777777" w:rsidR="00464CE1" w:rsidRPr="00075623" w:rsidRDefault="00464CE1" w:rsidP="00C44C6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075623">
              <w:rPr>
                <w:rFonts w:ascii="Times New Roman" w:hAnsi="Times New Roman" w:cs="Times New Roman"/>
                <w:color w:val="000000"/>
              </w:rPr>
              <w:t>73%</w:t>
            </w:r>
          </w:p>
        </w:tc>
        <w:tc>
          <w:tcPr>
            <w:tcW w:w="0" w:type="auto"/>
          </w:tcPr>
          <w:p w14:paraId="7B1A098B" w14:textId="77777777" w:rsidR="00464CE1" w:rsidRPr="00075623" w:rsidRDefault="00464CE1" w:rsidP="00C44C6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075623">
              <w:rPr>
                <w:rFonts w:ascii="Times New Roman" w:hAnsi="Times New Roman" w:cs="Times New Roman"/>
                <w:color w:val="000000"/>
              </w:rPr>
              <w:t>64%</w:t>
            </w:r>
          </w:p>
        </w:tc>
        <w:tc>
          <w:tcPr>
            <w:tcW w:w="0" w:type="auto"/>
          </w:tcPr>
          <w:p w14:paraId="30ED10A2" w14:textId="77777777" w:rsidR="00464CE1" w:rsidRPr="00075623" w:rsidRDefault="00464CE1" w:rsidP="00C44C6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075623">
              <w:rPr>
                <w:rFonts w:ascii="Times New Roman" w:hAnsi="Times New Roman" w:cs="Times New Roman"/>
                <w:color w:val="000000"/>
              </w:rPr>
              <w:t>91%</w:t>
            </w:r>
          </w:p>
        </w:tc>
        <w:tc>
          <w:tcPr>
            <w:tcW w:w="0" w:type="auto"/>
          </w:tcPr>
          <w:p w14:paraId="11A3E980" w14:textId="77777777" w:rsidR="00464CE1" w:rsidRPr="00075623" w:rsidRDefault="00464CE1" w:rsidP="00C44C6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075623">
              <w:rPr>
                <w:rFonts w:ascii="Times New Roman" w:hAnsi="Times New Roman" w:cs="Times New Roman"/>
                <w:color w:val="000000"/>
              </w:rPr>
              <w:t>55%</w:t>
            </w:r>
          </w:p>
        </w:tc>
        <w:tc>
          <w:tcPr>
            <w:tcW w:w="0" w:type="auto"/>
          </w:tcPr>
          <w:p w14:paraId="58419463" w14:textId="77777777" w:rsidR="00464CE1" w:rsidRPr="00075623" w:rsidRDefault="00464CE1" w:rsidP="00C44C6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075623">
              <w:rPr>
                <w:rFonts w:ascii="Times New Roman" w:hAnsi="Times New Roman" w:cs="Times New Roman"/>
                <w:color w:val="000000"/>
              </w:rPr>
              <w:t>55%</w:t>
            </w:r>
          </w:p>
        </w:tc>
        <w:tc>
          <w:tcPr>
            <w:tcW w:w="0" w:type="auto"/>
          </w:tcPr>
          <w:p w14:paraId="66E67F57" w14:textId="77777777" w:rsidR="00464CE1" w:rsidRPr="00075623" w:rsidRDefault="00464CE1" w:rsidP="00C44C6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075623">
              <w:rPr>
                <w:rFonts w:ascii="Times New Roman" w:hAnsi="Times New Roman" w:cs="Times New Roman"/>
                <w:color w:val="000000"/>
              </w:rPr>
              <w:t>73%</w:t>
            </w:r>
          </w:p>
        </w:tc>
        <w:tc>
          <w:tcPr>
            <w:tcW w:w="0" w:type="auto"/>
          </w:tcPr>
          <w:p w14:paraId="33B02398" w14:textId="77777777" w:rsidR="00464CE1" w:rsidRPr="00075623" w:rsidRDefault="00464CE1" w:rsidP="00C44C6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075623">
              <w:rPr>
                <w:rFonts w:ascii="Times New Roman" w:hAnsi="Times New Roman" w:cs="Times New Roman"/>
                <w:color w:val="000000"/>
              </w:rPr>
              <w:t>36%</w:t>
            </w:r>
          </w:p>
        </w:tc>
      </w:tr>
      <w:tr w:rsidR="00464CE1" w:rsidRPr="00075623" w14:paraId="4546FF0F" w14:textId="77777777" w:rsidTr="00CD6F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9D8ADD9" w14:textId="77777777" w:rsidR="00464CE1" w:rsidRPr="00075623" w:rsidRDefault="00464CE1" w:rsidP="00C44C65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075623">
              <w:rPr>
                <w:rFonts w:ascii="Times New Roman" w:hAnsi="Times New Roman" w:cs="Times New Roman"/>
                <w:lang w:val="en-US"/>
              </w:rPr>
              <w:t>Worsening symptoms</w:t>
            </w:r>
          </w:p>
        </w:tc>
        <w:tc>
          <w:tcPr>
            <w:tcW w:w="0" w:type="auto"/>
          </w:tcPr>
          <w:p w14:paraId="08924AB5" w14:textId="77777777" w:rsidR="00464CE1" w:rsidRPr="00075623" w:rsidRDefault="00464CE1" w:rsidP="00C44C6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075623">
              <w:rPr>
                <w:rFonts w:ascii="Times New Roman" w:hAnsi="Times New Roman" w:cs="Times New Roman"/>
                <w:color w:val="000000"/>
              </w:rPr>
              <w:t>83%</w:t>
            </w:r>
          </w:p>
        </w:tc>
        <w:tc>
          <w:tcPr>
            <w:tcW w:w="0" w:type="auto"/>
          </w:tcPr>
          <w:p w14:paraId="6F48B261" w14:textId="77777777" w:rsidR="00464CE1" w:rsidRPr="00075623" w:rsidRDefault="00464CE1" w:rsidP="00C44C6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075623">
              <w:rPr>
                <w:rFonts w:ascii="Times New Roman" w:hAnsi="Times New Roman" w:cs="Times New Roman"/>
                <w:color w:val="000000"/>
              </w:rPr>
              <w:t>75%</w:t>
            </w:r>
          </w:p>
        </w:tc>
        <w:tc>
          <w:tcPr>
            <w:tcW w:w="0" w:type="auto"/>
          </w:tcPr>
          <w:p w14:paraId="52F02F05" w14:textId="77777777" w:rsidR="00464CE1" w:rsidRPr="00075623" w:rsidRDefault="00464CE1" w:rsidP="00C44C6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075623">
              <w:rPr>
                <w:rFonts w:ascii="Times New Roman" w:hAnsi="Times New Roman" w:cs="Times New Roman"/>
                <w:color w:val="000000"/>
              </w:rPr>
              <w:t>50%</w:t>
            </w:r>
          </w:p>
        </w:tc>
        <w:tc>
          <w:tcPr>
            <w:tcW w:w="0" w:type="auto"/>
          </w:tcPr>
          <w:p w14:paraId="6348AF5A" w14:textId="77777777" w:rsidR="00464CE1" w:rsidRPr="00075623" w:rsidRDefault="00464CE1" w:rsidP="00C44C6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075623">
              <w:rPr>
                <w:rFonts w:ascii="Times New Roman" w:hAnsi="Times New Roman" w:cs="Times New Roman"/>
                <w:color w:val="000000"/>
              </w:rPr>
              <w:t>83%</w:t>
            </w:r>
          </w:p>
        </w:tc>
        <w:tc>
          <w:tcPr>
            <w:tcW w:w="0" w:type="auto"/>
          </w:tcPr>
          <w:p w14:paraId="767BF60B" w14:textId="77777777" w:rsidR="00464CE1" w:rsidRPr="00075623" w:rsidRDefault="00464CE1" w:rsidP="00C44C6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075623">
              <w:rPr>
                <w:rFonts w:ascii="Times New Roman" w:hAnsi="Times New Roman" w:cs="Times New Roman"/>
                <w:color w:val="000000"/>
              </w:rPr>
              <w:t>58%</w:t>
            </w:r>
          </w:p>
        </w:tc>
        <w:tc>
          <w:tcPr>
            <w:tcW w:w="0" w:type="auto"/>
          </w:tcPr>
          <w:p w14:paraId="0C9B08D9" w14:textId="77777777" w:rsidR="00464CE1" w:rsidRPr="00075623" w:rsidRDefault="00464CE1" w:rsidP="00C44C6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075623">
              <w:rPr>
                <w:rFonts w:ascii="Times New Roman" w:hAnsi="Times New Roman" w:cs="Times New Roman"/>
                <w:color w:val="000000"/>
              </w:rPr>
              <w:t>58%</w:t>
            </w:r>
          </w:p>
        </w:tc>
        <w:tc>
          <w:tcPr>
            <w:tcW w:w="0" w:type="auto"/>
          </w:tcPr>
          <w:p w14:paraId="32AF2242" w14:textId="77777777" w:rsidR="00464CE1" w:rsidRPr="00075623" w:rsidRDefault="00464CE1" w:rsidP="00C44C6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075623">
              <w:rPr>
                <w:rFonts w:ascii="Times New Roman" w:hAnsi="Times New Roman" w:cs="Times New Roman"/>
                <w:color w:val="000000"/>
              </w:rPr>
              <w:t>67%</w:t>
            </w:r>
          </w:p>
        </w:tc>
        <w:tc>
          <w:tcPr>
            <w:tcW w:w="0" w:type="auto"/>
          </w:tcPr>
          <w:p w14:paraId="03C20503" w14:textId="77777777" w:rsidR="00464CE1" w:rsidRPr="00075623" w:rsidRDefault="00464CE1" w:rsidP="00C44C6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075623">
              <w:rPr>
                <w:rFonts w:ascii="Times New Roman" w:hAnsi="Times New Roman" w:cs="Times New Roman"/>
                <w:color w:val="000000"/>
              </w:rPr>
              <w:t>33%</w:t>
            </w:r>
          </w:p>
        </w:tc>
      </w:tr>
      <w:tr w:rsidR="00464CE1" w:rsidRPr="00075623" w14:paraId="1C308D21" w14:textId="77777777" w:rsidTr="00CD6F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FB3BA6A" w14:textId="77777777" w:rsidR="00464CE1" w:rsidRPr="00075623" w:rsidRDefault="00464CE1" w:rsidP="00C44C65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075623">
              <w:rPr>
                <w:rFonts w:ascii="Times New Roman" w:hAnsi="Times New Roman" w:cs="Times New Roman"/>
                <w:lang w:val="en-US"/>
              </w:rPr>
              <w:t>Severe stable symptoms</w:t>
            </w:r>
          </w:p>
        </w:tc>
        <w:tc>
          <w:tcPr>
            <w:tcW w:w="0" w:type="auto"/>
          </w:tcPr>
          <w:p w14:paraId="3D0357CA" w14:textId="77777777" w:rsidR="00464CE1" w:rsidRPr="00075623" w:rsidRDefault="00464CE1" w:rsidP="00C44C6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075623">
              <w:rPr>
                <w:rFonts w:ascii="Times New Roman" w:hAnsi="Times New Roman" w:cs="Times New Roman"/>
                <w:color w:val="000000"/>
              </w:rPr>
              <w:t>82%</w:t>
            </w:r>
          </w:p>
        </w:tc>
        <w:tc>
          <w:tcPr>
            <w:tcW w:w="0" w:type="auto"/>
          </w:tcPr>
          <w:p w14:paraId="444BADB5" w14:textId="77777777" w:rsidR="00464CE1" w:rsidRPr="00075623" w:rsidRDefault="00464CE1" w:rsidP="00C44C6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075623">
              <w:rPr>
                <w:rFonts w:ascii="Times New Roman" w:hAnsi="Times New Roman" w:cs="Times New Roman"/>
                <w:color w:val="000000"/>
              </w:rPr>
              <w:t>73%</w:t>
            </w:r>
          </w:p>
        </w:tc>
        <w:tc>
          <w:tcPr>
            <w:tcW w:w="0" w:type="auto"/>
          </w:tcPr>
          <w:p w14:paraId="2653E3FA" w14:textId="77777777" w:rsidR="00464CE1" w:rsidRPr="00075623" w:rsidRDefault="00464CE1" w:rsidP="00C44C6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075623">
              <w:rPr>
                <w:rFonts w:ascii="Times New Roman" w:hAnsi="Times New Roman" w:cs="Times New Roman"/>
                <w:color w:val="000000"/>
              </w:rPr>
              <w:t>64%</w:t>
            </w:r>
          </w:p>
        </w:tc>
        <w:tc>
          <w:tcPr>
            <w:tcW w:w="0" w:type="auto"/>
          </w:tcPr>
          <w:p w14:paraId="7B5DC4E2" w14:textId="77777777" w:rsidR="00464CE1" w:rsidRPr="00075623" w:rsidRDefault="00464CE1" w:rsidP="00C44C6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075623">
              <w:rPr>
                <w:rFonts w:ascii="Times New Roman" w:hAnsi="Times New Roman" w:cs="Times New Roman"/>
                <w:color w:val="000000"/>
              </w:rPr>
              <w:t>82%</w:t>
            </w:r>
          </w:p>
        </w:tc>
        <w:tc>
          <w:tcPr>
            <w:tcW w:w="0" w:type="auto"/>
          </w:tcPr>
          <w:p w14:paraId="575714DA" w14:textId="77777777" w:rsidR="00464CE1" w:rsidRPr="00075623" w:rsidRDefault="00464CE1" w:rsidP="00C44C6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075623">
              <w:rPr>
                <w:rFonts w:ascii="Times New Roman" w:hAnsi="Times New Roman" w:cs="Times New Roman"/>
                <w:color w:val="000000"/>
              </w:rPr>
              <w:t>55%</w:t>
            </w:r>
          </w:p>
        </w:tc>
        <w:tc>
          <w:tcPr>
            <w:tcW w:w="0" w:type="auto"/>
          </w:tcPr>
          <w:p w14:paraId="42C7C7B0" w14:textId="77777777" w:rsidR="00464CE1" w:rsidRPr="00075623" w:rsidRDefault="00464CE1" w:rsidP="00C44C6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075623">
              <w:rPr>
                <w:rFonts w:ascii="Times New Roman" w:hAnsi="Times New Roman" w:cs="Times New Roman"/>
                <w:color w:val="000000"/>
              </w:rPr>
              <w:t>55%</w:t>
            </w:r>
          </w:p>
        </w:tc>
        <w:tc>
          <w:tcPr>
            <w:tcW w:w="0" w:type="auto"/>
          </w:tcPr>
          <w:p w14:paraId="05447246" w14:textId="77777777" w:rsidR="00464CE1" w:rsidRPr="00075623" w:rsidRDefault="00464CE1" w:rsidP="00C44C6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075623">
              <w:rPr>
                <w:rFonts w:ascii="Times New Roman" w:hAnsi="Times New Roman" w:cs="Times New Roman"/>
                <w:color w:val="000000"/>
              </w:rPr>
              <w:t>73%</w:t>
            </w:r>
          </w:p>
        </w:tc>
        <w:tc>
          <w:tcPr>
            <w:tcW w:w="0" w:type="auto"/>
          </w:tcPr>
          <w:p w14:paraId="2DE097E9" w14:textId="77777777" w:rsidR="00464CE1" w:rsidRPr="00075623" w:rsidRDefault="00464CE1" w:rsidP="00C44C6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075623">
              <w:rPr>
                <w:rFonts w:ascii="Times New Roman" w:hAnsi="Times New Roman" w:cs="Times New Roman"/>
                <w:color w:val="000000"/>
              </w:rPr>
              <w:t>36%</w:t>
            </w:r>
          </w:p>
        </w:tc>
      </w:tr>
      <w:tr w:rsidR="00464CE1" w:rsidRPr="00075623" w14:paraId="763FC000" w14:textId="77777777" w:rsidTr="00CD6F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DA2E968" w14:textId="77777777" w:rsidR="00464CE1" w:rsidRPr="00075623" w:rsidRDefault="00464CE1" w:rsidP="00C44C65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075623">
              <w:rPr>
                <w:rFonts w:ascii="Times New Roman" w:hAnsi="Times New Roman" w:cs="Times New Roman"/>
                <w:lang w:val="en-US"/>
              </w:rPr>
              <w:t>Severe and symptomatic splenomegaly</w:t>
            </w:r>
          </w:p>
        </w:tc>
        <w:tc>
          <w:tcPr>
            <w:tcW w:w="0" w:type="auto"/>
          </w:tcPr>
          <w:p w14:paraId="3DE0FA05" w14:textId="77777777" w:rsidR="00464CE1" w:rsidRPr="00075623" w:rsidRDefault="00464CE1" w:rsidP="00C44C6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075623">
              <w:rPr>
                <w:rFonts w:ascii="Times New Roman" w:hAnsi="Times New Roman" w:cs="Times New Roman"/>
                <w:color w:val="000000"/>
              </w:rPr>
              <w:t>91%</w:t>
            </w:r>
          </w:p>
        </w:tc>
        <w:tc>
          <w:tcPr>
            <w:tcW w:w="0" w:type="auto"/>
          </w:tcPr>
          <w:p w14:paraId="7AE47757" w14:textId="77777777" w:rsidR="00464CE1" w:rsidRPr="00075623" w:rsidRDefault="00464CE1" w:rsidP="00C44C6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075623">
              <w:rPr>
                <w:rFonts w:ascii="Times New Roman" w:hAnsi="Times New Roman" w:cs="Times New Roman"/>
                <w:color w:val="000000"/>
              </w:rPr>
              <w:t>82%</w:t>
            </w:r>
          </w:p>
        </w:tc>
        <w:tc>
          <w:tcPr>
            <w:tcW w:w="0" w:type="auto"/>
          </w:tcPr>
          <w:p w14:paraId="29C34988" w14:textId="77777777" w:rsidR="00464CE1" w:rsidRPr="00075623" w:rsidRDefault="00464CE1" w:rsidP="00C44C6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075623">
              <w:rPr>
                <w:rFonts w:ascii="Times New Roman" w:hAnsi="Times New Roman" w:cs="Times New Roman"/>
                <w:color w:val="000000"/>
              </w:rPr>
              <w:t>73%</w:t>
            </w:r>
          </w:p>
        </w:tc>
        <w:tc>
          <w:tcPr>
            <w:tcW w:w="0" w:type="auto"/>
          </w:tcPr>
          <w:p w14:paraId="43E8A2E0" w14:textId="77777777" w:rsidR="00464CE1" w:rsidRPr="00075623" w:rsidRDefault="00464CE1" w:rsidP="00C44C6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075623">
              <w:rPr>
                <w:rFonts w:ascii="Times New Roman" w:hAnsi="Times New Roman" w:cs="Times New Roman"/>
                <w:color w:val="000000"/>
              </w:rPr>
              <w:t>82%</w:t>
            </w:r>
          </w:p>
        </w:tc>
        <w:tc>
          <w:tcPr>
            <w:tcW w:w="0" w:type="auto"/>
          </w:tcPr>
          <w:p w14:paraId="4EBD3541" w14:textId="77777777" w:rsidR="00464CE1" w:rsidRPr="00075623" w:rsidRDefault="00464CE1" w:rsidP="00C44C6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075623">
              <w:rPr>
                <w:rFonts w:ascii="Times New Roman" w:hAnsi="Times New Roman" w:cs="Times New Roman"/>
                <w:color w:val="000000"/>
              </w:rPr>
              <w:t>73%</w:t>
            </w:r>
          </w:p>
        </w:tc>
        <w:tc>
          <w:tcPr>
            <w:tcW w:w="0" w:type="auto"/>
          </w:tcPr>
          <w:p w14:paraId="4BB0DC33" w14:textId="77777777" w:rsidR="00464CE1" w:rsidRPr="00075623" w:rsidRDefault="00464CE1" w:rsidP="00C44C6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075623">
              <w:rPr>
                <w:rFonts w:ascii="Times New Roman" w:hAnsi="Times New Roman" w:cs="Times New Roman"/>
                <w:color w:val="000000"/>
              </w:rPr>
              <w:t>55%</w:t>
            </w:r>
          </w:p>
        </w:tc>
        <w:tc>
          <w:tcPr>
            <w:tcW w:w="0" w:type="auto"/>
          </w:tcPr>
          <w:p w14:paraId="5AFC6558" w14:textId="77777777" w:rsidR="00464CE1" w:rsidRPr="00075623" w:rsidRDefault="00464CE1" w:rsidP="00C44C6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075623">
              <w:rPr>
                <w:rFonts w:ascii="Times New Roman" w:hAnsi="Times New Roman" w:cs="Times New Roman"/>
                <w:color w:val="000000"/>
              </w:rPr>
              <w:t>82%</w:t>
            </w:r>
          </w:p>
        </w:tc>
        <w:tc>
          <w:tcPr>
            <w:tcW w:w="0" w:type="auto"/>
          </w:tcPr>
          <w:p w14:paraId="1FC8D27D" w14:textId="77777777" w:rsidR="00464CE1" w:rsidRPr="00075623" w:rsidRDefault="00464CE1" w:rsidP="00C44C6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075623">
              <w:rPr>
                <w:rFonts w:ascii="Times New Roman" w:hAnsi="Times New Roman" w:cs="Times New Roman"/>
                <w:color w:val="000000"/>
              </w:rPr>
              <w:t>33%</w:t>
            </w:r>
          </w:p>
        </w:tc>
      </w:tr>
      <w:tr w:rsidR="00464CE1" w:rsidRPr="00075623" w14:paraId="09788654" w14:textId="77777777" w:rsidTr="00CD6F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6B5C1DB" w14:textId="77777777" w:rsidR="00464CE1" w:rsidRPr="00075623" w:rsidRDefault="00464CE1" w:rsidP="00C44C65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075623">
              <w:rPr>
                <w:rFonts w:ascii="Times New Roman" w:hAnsi="Times New Roman" w:cs="Times New Roman"/>
                <w:lang w:val="en-US"/>
              </w:rPr>
              <w:t>Severe asymptomatic splenomegaly</w:t>
            </w:r>
          </w:p>
        </w:tc>
        <w:tc>
          <w:tcPr>
            <w:tcW w:w="0" w:type="auto"/>
          </w:tcPr>
          <w:p w14:paraId="05DA99CC" w14:textId="77777777" w:rsidR="00464CE1" w:rsidRPr="00075623" w:rsidRDefault="00464CE1" w:rsidP="00C44C6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075623">
              <w:rPr>
                <w:rFonts w:ascii="Times New Roman" w:hAnsi="Times New Roman" w:cs="Times New Roman"/>
                <w:color w:val="000000"/>
              </w:rPr>
              <w:t>83%</w:t>
            </w:r>
          </w:p>
        </w:tc>
        <w:tc>
          <w:tcPr>
            <w:tcW w:w="0" w:type="auto"/>
          </w:tcPr>
          <w:p w14:paraId="2E4AD32B" w14:textId="77777777" w:rsidR="00464CE1" w:rsidRPr="00075623" w:rsidRDefault="00464CE1" w:rsidP="00C44C6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075623">
              <w:rPr>
                <w:rFonts w:ascii="Times New Roman" w:hAnsi="Times New Roman" w:cs="Times New Roman"/>
                <w:color w:val="000000"/>
              </w:rPr>
              <w:t>82%</w:t>
            </w:r>
          </w:p>
        </w:tc>
        <w:tc>
          <w:tcPr>
            <w:tcW w:w="0" w:type="auto"/>
          </w:tcPr>
          <w:p w14:paraId="0793EAF9" w14:textId="77777777" w:rsidR="00464CE1" w:rsidRPr="00075623" w:rsidRDefault="00464CE1" w:rsidP="00C44C6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075623">
              <w:rPr>
                <w:rFonts w:ascii="Times New Roman" w:hAnsi="Times New Roman" w:cs="Times New Roman"/>
                <w:color w:val="000000"/>
              </w:rPr>
              <w:t>64%</w:t>
            </w:r>
          </w:p>
        </w:tc>
        <w:tc>
          <w:tcPr>
            <w:tcW w:w="0" w:type="auto"/>
          </w:tcPr>
          <w:p w14:paraId="50A9F779" w14:textId="77777777" w:rsidR="00464CE1" w:rsidRPr="00075623" w:rsidRDefault="00464CE1" w:rsidP="00C44C6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075623">
              <w:rPr>
                <w:rFonts w:ascii="Times New Roman" w:hAnsi="Times New Roman" w:cs="Times New Roman"/>
                <w:color w:val="000000"/>
              </w:rPr>
              <w:t>45%</w:t>
            </w:r>
          </w:p>
        </w:tc>
        <w:tc>
          <w:tcPr>
            <w:tcW w:w="0" w:type="auto"/>
          </w:tcPr>
          <w:p w14:paraId="2387AC75" w14:textId="77777777" w:rsidR="00464CE1" w:rsidRPr="00075623" w:rsidRDefault="00464CE1" w:rsidP="00C44C6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075623">
              <w:rPr>
                <w:rFonts w:ascii="Times New Roman" w:hAnsi="Times New Roman" w:cs="Times New Roman"/>
                <w:color w:val="000000"/>
              </w:rPr>
              <w:t>45%</w:t>
            </w:r>
          </w:p>
        </w:tc>
        <w:tc>
          <w:tcPr>
            <w:tcW w:w="0" w:type="auto"/>
          </w:tcPr>
          <w:p w14:paraId="26EFD3A1" w14:textId="77777777" w:rsidR="00464CE1" w:rsidRPr="00075623" w:rsidRDefault="00464CE1" w:rsidP="00C44C6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075623">
              <w:rPr>
                <w:rFonts w:ascii="Times New Roman" w:hAnsi="Times New Roman" w:cs="Times New Roman"/>
                <w:color w:val="000000"/>
              </w:rPr>
              <w:t>45%</w:t>
            </w:r>
          </w:p>
        </w:tc>
        <w:tc>
          <w:tcPr>
            <w:tcW w:w="0" w:type="auto"/>
          </w:tcPr>
          <w:p w14:paraId="59969A22" w14:textId="77777777" w:rsidR="00464CE1" w:rsidRPr="00075623" w:rsidRDefault="00464CE1" w:rsidP="00C44C6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075623">
              <w:rPr>
                <w:rFonts w:ascii="Times New Roman" w:hAnsi="Times New Roman" w:cs="Times New Roman"/>
                <w:color w:val="000000"/>
              </w:rPr>
              <w:t>64%</w:t>
            </w:r>
          </w:p>
        </w:tc>
        <w:tc>
          <w:tcPr>
            <w:tcW w:w="0" w:type="auto"/>
          </w:tcPr>
          <w:p w14:paraId="01A3F19B" w14:textId="77777777" w:rsidR="00464CE1" w:rsidRPr="00075623" w:rsidRDefault="00464CE1" w:rsidP="00C44C6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075623">
              <w:rPr>
                <w:rFonts w:ascii="Times New Roman" w:hAnsi="Times New Roman" w:cs="Times New Roman"/>
                <w:color w:val="000000"/>
              </w:rPr>
              <w:t>33%</w:t>
            </w:r>
          </w:p>
        </w:tc>
      </w:tr>
      <w:tr w:rsidR="00464CE1" w:rsidRPr="00075623" w14:paraId="13270A65" w14:textId="77777777" w:rsidTr="00CD6F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FC5EEC6" w14:textId="77777777" w:rsidR="00464CE1" w:rsidRPr="00075623" w:rsidRDefault="00464CE1" w:rsidP="00C44C65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075623">
              <w:rPr>
                <w:rFonts w:ascii="Times New Roman" w:hAnsi="Times New Roman" w:cs="Times New Roman"/>
                <w:lang w:val="en-US"/>
              </w:rPr>
              <w:t>Moderate worsening splenomegaly</w:t>
            </w:r>
          </w:p>
        </w:tc>
        <w:tc>
          <w:tcPr>
            <w:tcW w:w="0" w:type="auto"/>
          </w:tcPr>
          <w:p w14:paraId="1766185B" w14:textId="77777777" w:rsidR="00464CE1" w:rsidRPr="00075623" w:rsidRDefault="00464CE1" w:rsidP="00C44C6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075623">
              <w:rPr>
                <w:rFonts w:ascii="Times New Roman" w:hAnsi="Times New Roman" w:cs="Times New Roman"/>
                <w:color w:val="000000"/>
              </w:rPr>
              <w:t>83%</w:t>
            </w:r>
          </w:p>
        </w:tc>
        <w:tc>
          <w:tcPr>
            <w:tcW w:w="0" w:type="auto"/>
          </w:tcPr>
          <w:p w14:paraId="42C12503" w14:textId="77777777" w:rsidR="00464CE1" w:rsidRPr="00075623" w:rsidRDefault="00464CE1" w:rsidP="00C44C6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075623">
              <w:rPr>
                <w:rFonts w:ascii="Times New Roman" w:hAnsi="Times New Roman" w:cs="Times New Roman"/>
                <w:color w:val="000000"/>
              </w:rPr>
              <w:t>75%</w:t>
            </w:r>
          </w:p>
        </w:tc>
        <w:tc>
          <w:tcPr>
            <w:tcW w:w="0" w:type="auto"/>
          </w:tcPr>
          <w:p w14:paraId="06B5C8A6" w14:textId="77777777" w:rsidR="00464CE1" w:rsidRPr="00075623" w:rsidRDefault="00464CE1" w:rsidP="00C44C6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075623">
              <w:rPr>
                <w:rFonts w:ascii="Times New Roman" w:hAnsi="Times New Roman" w:cs="Times New Roman"/>
                <w:color w:val="000000"/>
              </w:rPr>
              <w:t>67%</w:t>
            </w:r>
          </w:p>
        </w:tc>
        <w:tc>
          <w:tcPr>
            <w:tcW w:w="0" w:type="auto"/>
          </w:tcPr>
          <w:p w14:paraId="06DF32A5" w14:textId="77777777" w:rsidR="00464CE1" w:rsidRPr="00075623" w:rsidRDefault="00464CE1" w:rsidP="00C44C6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075623">
              <w:rPr>
                <w:rFonts w:ascii="Times New Roman" w:hAnsi="Times New Roman" w:cs="Times New Roman"/>
                <w:color w:val="000000"/>
              </w:rPr>
              <w:t>58%</w:t>
            </w:r>
          </w:p>
        </w:tc>
        <w:tc>
          <w:tcPr>
            <w:tcW w:w="0" w:type="auto"/>
          </w:tcPr>
          <w:p w14:paraId="3BA6891B" w14:textId="77777777" w:rsidR="00464CE1" w:rsidRPr="00075623" w:rsidRDefault="00464CE1" w:rsidP="00C44C6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075623">
              <w:rPr>
                <w:rFonts w:ascii="Times New Roman" w:hAnsi="Times New Roman" w:cs="Times New Roman"/>
                <w:color w:val="000000"/>
              </w:rPr>
              <w:t>33%</w:t>
            </w:r>
          </w:p>
        </w:tc>
        <w:tc>
          <w:tcPr>
            <w:tcW w:w="0" w:type="auto"/>
          </w:tcPr>
          <w:p w14:paraId="7EE6AE3E" w14:textId="77777777" w:rsidR="00464CE1" w:rsidRPr="00075623" w:rsidRDefault="00464CE1" w:rsidP="00C44C6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075623">
              <w:rPr>
                <w:rFonts w:ascii="Times New Roman" w:hAnsi="Times New Roman" w:cs="Times New Roman"/>
                <w:color w:val="000000"/>
              </w:rPr>
              <w:t>58%</w:t>
            </w:r>
          </w:p>
        </w:tc>
        <w:tc>
          <w:tcPr>
            <w:tcW w:w="0" w:type="auto"/>
          </w:tcPr>
          <w:p w14:paraId="72B76DC4" w14:textId="77777777" w:rsidR="00464CE1" w:rsidRPr="00075623" w:rsidRDefault="00464CE1" w:rsidP="00C44C6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075623">
              <w:rPr>
                <w:rFonts w:ascii="Times New Roman" w:hAnsi="Times New Roman" w:cs="Times New Roman"/>
                <w:color w:val="000000"/>
              </w:rPr>
              <w:t>67%</w:t>
            </w:r>
          </w:p>
        </w:tc>
        <w:tc>
          <w:tcPr>
            <w:tcW w:w="0" w:type="auto"/>
          </w:tcPr>
          <w:p w14:paraId="01FAF21E" w14:textId="77777777" w:rsidR="00464CE1" w:rsidRPr="00075623" w:rsidRDefault="00464CE1" w:rsidP="00C44C6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075623">
              <w:rPr>
                <w:rFonts w:ascii="Times New Roman" w:hAnsi="Times New Roman" w:cs="Times New Roman"/>
                <w:color w:val="000000"/>
              </w:rPr>
              <w:t>36%</w:t>
            </w:r>
          </w:p>
        </w:tc>
      </w:tr>
      <w:tr w:rsidR="00464CE1" w:rsidRPr="00075623" w14:paraId="47E147AC" w14:textId="77777777" w:rsidTr="00CD6F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BC67F96" w14:textId="77777777" w:rsidR="00464CE1" w:rsidRPr="00075623" w:rsidRDefault="00464CE1" w:rsidP="00C44C65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075623">
              <w:rPr>
                <w:rFonts w:ascii="Times New Roman" w:hAnsi="Times New Roman" w:cs="Times New Roman"/>
                <w:lang w:val="en-US"/>
              </w:rPr>
              <w:t>Moderate stable splenomegaly</w:t>
            </w:r>
          </w:p>
        </w:tc>
        <w:tc>
          <w:tcPr>
            <w:tcW w:w="0" w:type="auto"/>
          </w:tcPr>
          <w:p w14:paraId="6919857E" w14:textId="77777777" w:rsidR="00464CE1" w:rsidRPr="00075623" w:rsidRDefault="00464CE1" w:rsidP="00C44C6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075623">
              <w:rPr>
                <w:rFonts w:ascii="Times New Roman" w:hAnsi="Times New Roman" w:cs="Times New Roman"/>
                <w:color w:val="000000"/>
              </w:rPr>
              <w:t>82%</w:t>
            </w:r>
          </w:p>
        </w:tc>
        <w:tc>
          <w:tcPr>
            <w:tcW w:w="0" w:type="auto"/>
          </w:tcPr>
          <w:p w14:paraId="1323111C" w14:textId="77777777" w:rsidR="00464CE1" w:rsidRPr="00075623" w:rsidRDefault="00464CE1" w:rsidP="00C44C6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075623">
              <w:rPr>
                <w:rFonts w:ascii="Times New Roman" w:hAnsi="Times New Roman" w:cs="Times New Roman"/>
                <w:color w:val="000000"/>
              </w:rPr>
              <w:t>73%</w:t>
            </w:r>
          </w:p>
        </w:tc>
        <w:tc>
          <w:tcPr>
            <w:tcW w:w="0" w:type="auto"/>
          </w:tcPr>
          <w:p w14:paraId="43542CF3" w14:textId="77777777" w:rsidR="00464CE1" w:rsidRPr="00075623" w:rsidRDefault="00464CE1" w:rsidP="00C44C6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075623">
              <w:rPr>
                <w:rFonts w:ascii="Times New Roman" w:hAnsi="Times New Roman" w:cs="Times New Roman"/>
                <w:color w:val="000000"/>
              </w:rPr>
              <w:t>73%</w:t>
            </w:r>
          </w:p>
        </w:tc>
        <w:tc>
          <w:tcPr>
            <w:tcW w:w="0" w:type="auto"/>
          </w:tcPr>
          <w:p w14:paraId="0F4D2E96" w14:textId="77777777" w:rsidR="00464CE1" w:rsidRPr="00075623" w:rsidRDefault="00464CE1" w:rsidP="00C44C6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075623">
              <w:rPr>
                <w:rFonts w:ascii="Times New Roman" w:hAnsi="Times New Roman" w:cs="Times New Roman"/>
                <w:color w:val="000000"/>
              </w:rPr>
              <w:t>27%</w:t>
            </w:r>
          </w:p>
        </w:tc>
        <w:tc>
          <w:tcPr>
            <w:tcW w:w="0" w:type="auto"/>
          </w:tcPr>
          <w:p w14:paraId="1F00EED6" w14:textId="77777777" w:rsidR="00464CE1" w:rsidRPr="00075623" w:rsidRDefault="00464CE1" w:rsidP="00C44C6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075623">
              <w:rPr>
                <w:rFonts w:ascii="Times New Roman" w:hAnsi="Times New Roman" w:cs="Times New Roman"/>
                <w:color w:val="000000"/>
              </w:rPr>
              <w:t>9%</w:t>
            </w:r>
          </w:p>
        </w:tc>
        <w:tc>
          <w:tcPr>
            <w:tcW w:w="0" w:type="auto"/>
          </w:tcPr>
          <w:p w14:paraId="01D74004" w14:textId="77777777" w:rsidR="00464CE1" w:rsidRPr="00075623" w:rsidRDefault="00464CE1" w:rsidP="00C44C6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075623">
              <w:rPr>
                <w:rFonts w:ascii="Times New Roman" w:hAnsi="Times New Roman" w:cs="Times New Roman"/>
                <w:color w:val="000000"/>
              </w:rPr>
              <w:t>45%</w:t>
            </w:r>
          </w:p>
        </w:tc>
        <w:tc>
          <w:tcPr>
            <w:tcW w:w="0" w:type="auto"/>
          </w:tcPr>
          <w:p w14:paraId="39BF9CBD" w14:textId="77777777" w:rsidR="00464CE1" w:rsidRPr="00075623" w:rsidRDefault="00464CE1" w:rsidP="00C44C6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075623">
              <w:rPr>
                <w:rFonts w:ascii="Times New Roman" w:hAnsi="Times New Roman" w:cs="Times New Roman"/>
                <w:color w:val="000000"/>
              </w:rPr>
              <w:t>73%</w:t>
            </w:r>
          </w:p>
        </w:tc>
        <w:tc>
          <w:tcPr>
            <w:tcW w:w="0" w:type="auto"/>
          </w:tcPr>
          <w:p w14:paraId="06ECDCDA" w14:textId="77777777" w:rsidR="00464CE1" w:rsidRPr="00075623" w:rsidRDefault="00464CE1" w:rsidP="00C44C6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075623">
              <w:rPr>
                <w:rFonts w:ascii="Times New Roman" w:hAnsi="Times New Roman" w:cs="Times New Roman"/>
                <w:color w:val="000000"/>
              </w:rPr>
              <w:t>36%</w:t>
            </w:r>
          </w:p>
        </w:tc>
      </w:tr>
      <w:tr w:rsidR="00464CE1" w:rsidRPr="00075623" w14:paraId="5F529757" w14:textId="77777777" w:rsidTr="00CD6F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8877F55" w14:textId="77777777" w:rsidR="00464CE1" w:rsidRPr="00075623" w:rsidRDefault="00464CE1" w:rsidP="00C44C65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075623">
              <w:rPr>
                <w:rFonts w:ascii="Times New Roman" w:hAnsi="Times New Roman" w:cs="Times New Roman"/>
                <w:lang w:val="en-US"/>
              </w:rPr>
              <w:lastRenderedPageBreak/>
              <w:t>Worsening mild splenomegaly</w:t>
            </w:r>
          </w:p>
        </w:tc>
        <w:tc>
          <w:tcPr>
            <w:tcW w:w="0" w:type="auto"/>
          </w:tcPr>
          <w:p w14:paraId="712C9E4B" w14:textId="77777777" w:rsidR="00464CE1" w:rsidRPr="00075623" w:rsidRDefault="00464CE1" w:rsidP="00C44C6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075623">
              <w:rPr>
                <w:rFonts w:ascii="Times New Roman" w:hAnsi="Times New Roman" w:cs="Times New Roman"/>
                <w:color w:val="000000"/>
              </w:rPr>
              <w:t>73%</w:t>
            </w:r>
          </w:p>
        </w:tc>
        <w:tc>
          <w:tcPr>
            <w:tcW w:w="0" w:type="auto"/>
          </w:tcPr>
          <w:p w14:paraId="57C188D9" w14:textId="77777777" w:rsidR="00464CE1" w:rsidRPr="00075623" w:rsidRDefault="00464CE1" w:rsidP="00C44C6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075623">
              <w:rPr>
                <w:rFonts w:ascii="Times New Roman" w:hAnsi="Times New Roman" w:cs="Times New Roman"/>
                <w:color w:val="000000"/>
              </w:rPr>
              <w:t>64%</w:t>
            </w:r>
          </w:p>
        </w:tc>
        <w:tc>
          <w:tcPr>
            <w:tcW w:w="0" w:type="auto"/>
          </w:tcPr>
          <w:p w14:paraId="36ABD25C" w14:textId="77777777" w:rsidR="00464CE1" w:rsidRPr="00075623" w:rsidRDefault="00464CE1" w:rsidP="00C44C6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075623">
              <w:rPr>
                <w:rFonts w:ascii="Times New Roman" w:hAnsi="Times New Roman" w:cs="Times New Roman"/>
                <w:color w:val="000000"/>
              </w:rPr>
              <w:t>64%</w:t>
            </w:r>
          </w:p>
        </w:tc>
        <w:tc>
          <w:tcPr>
            <w:tcW w:w="0" w:type="auto"/>
          </w:tcPr>
          <w:p w14:paraId="78B1F1FA" w14:textId="77777777" w:rsidR="00464CE1" w:rsidRPr="00075623" w:rsidRDefault="00464CE1" w:rsidP="00C44C6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075623">
              <w:rPr>
                <w:rFonts w:ascii="Times New Roman" w:hAnsi="Times New Roman" w:cs="Times New Roman"/>
                <w:color w:val="000000"/>
              </w:rPr>
              <w:t>36%</w:t>
            </w:r>
          </w:p>
        </w:tc>
        <w:tc>
          <w:tcPr>
            <w:tcW w:w="0" w:type="auto"/>
          </w:tcPr>
          <w:p w14:paraId="5D9D0CDD" w14:textId="77777777" w:rsidR="00464CE1" w:rsidRPr="00075623" w:rsidRDefault="00464CE1" w:rsidP="00C44C6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075623">
              <w:rPr>
                <w:rFonts w:ascii="Times New Roman" w:hAnsi="Times New Roman" w:cs="Times New Roman"/>
                <w:color w:val="000000"/>
              </w:rPr>
              <w:t>18%</w:t>
            </w:r>
          </w:p>
        </w:tc>
        <w:tc>
          <w:tcPr>
            <w:tcW w:w="0" w:type="auto"/>
          </w:tcPr>
          <w:p w14:paraId="6D035CAA" w14:textId="77777777" w:rsidR="00464CE1" w:rsidRPr="00075623" w:rsidRDefault="00464CE1" w:rsidP="00C44C6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075623">
              <w:rPr>
                <w:rFonts w:ascii="Times New Roman" w:hAnsi="Times New Roman" w:cs="Times New Roman"/>
                <w:color w:val="000000"/>
              </w:rPr>
              <w:t>55%</w:t>
            </w:r>
          </w:p>
        </w:tc>
        <w:tc>
          <w:tcPr>
            <w:tcW w:w="0" w:type="auto"/>
          </w:tcPr>
          <w:p w14:paraId="3506D28E" w14:textId="77777777" w:rsidR="00464CE1" w:rsidRPr="00075623" w:rsidRDefault="00464CE1" w:rsidP="00C44C6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075623">
              <w:rPr>
                <w:rFonts w:ascii="Times New Roman" w:hAnsi="Times New Roman" w:cs="Times New Roman"/>
                <w:color w:val="000000"/>
              </w:rPr>
              <w:t>64%</w:t>
            </w:r>
          </w:p>
        </w:tc>
        <w:tc>
          <w:tcPr>
            <w:tcW w:w="0" w:type="auto"/>
          </w:tcPr>
          <w:p w14:paraId="61C86188" w14:textId="77777777" w:rsidR="00464CE1" w:rsidRPr="00075623" w:rsidRDefault="00464CE1" w:rsidP="00C44C6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075623">
              <w:rPr>
                <w:rFonts w:ascii="Times New Roman" w:hAnsi="Times New Roman" w:cs="Times New Roman"/>
                <w:color w:val="000000"/>
              </w:rPr>
              <w:t>27%</w:t>
            </w:r>
          </w:p>
        </w:tc>
      </w:tr>
      <w:tr w:rsidR="00464CE1" w:rsidRPr="00075623" w14:paraId="3EE08A98" w14:textId="77777777" w:rsidTr="00CD6F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E84C4E3" w14:textId="77777777" w:rsidR="00464CE1" w:rsidRPr="00075623" w:rsidRDefault="00464CE1" w:rsidP="00C44C65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075623">
              <w:rPr>
                <w:rFonts w:ascii="Times New Roman" w:hAnsi="Times New Roman" w:cs="Times New Roman"/>
                <w:lang w:val="en-US"/>
              </w:rPr>
              <w:t>Worsening leukocytosis</w:t>
            </w:r>
          </w:p>
        </w:tc>
        <w:tc>
          <w:tcPr>
            <w:tcW w:w="0" w:type="auto"/>
          </w:tcPr>
          <w:p w14:paraId="468221F7" w14:textId="77777777" w:rsidR="00464CE1" w:rsidRPr="00075623" w:rsidRDefault="00464CE1" w:rsidP="00C44C6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075623">
              <w:rPr>
                <w:rFonts w:ascii="Times New Roman" w:hAnsi="Times New Roman" w:cs="Times New Roman"/>
                <w:color w:val="000000"/>
              </w:rPr>
              <w:t>83%</w:t>
            </w:r>
          </w:p>
        </w:tc>
        <w:tc>
          <w:tcPr>
            <w:tcW w:w="0" w:type="auto"/>
          </w:tcPr>
          <w:p w14:paraId="095DD0FB" w14:textId="77777777" w:rsidR="00464CE1" w:rsidRPr="00075623" w:rsidRDefault="00464CE1" w:rsidP="00C44C6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075623">
              <w:rPr>
                <w:rFonts w:ascii="Times New Roman" w:hAnsi="Times New Roman" w:cs="Times New Roman"/>
                <w:color w:val="000000"/>
              </w:rPr>
              <w:t>75%</w:t>
            </w:r>
          </w:p>
        </w:tc>
        <w:tc>
          <w:tcPr>
            <w:tcW w:w="0" w:type="auto"/>
          </w:tcPr>
          <w:p w14:paraId="6F26F543" w14:textId="77777777" w:rsidR="00464CE1" w:rsidRPr="00075623" w:rsidRDefault="00464CE1" w:rsidP="00C44C6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075623">
              <w:rPr>
                <w:rFonts w:ascii="Times New Roman" w:hAnsi="Times New Roman" w:cs="Times New Roman"/>
                <w:color w:val="000000"/>
              </w:rPr>
              <w:t>58%</w:t>
            </w:r>
          </w:p>
        </w:tc>
        <w:tc>
          <w:tcPr>
            <w:tcW w:w="0" w:type="auto"/>
          </w:tcPr>
          <w:p w14:paraId="449C0180" w14:textId="77777777" w:rsidR="00464CE1" w:rsidRPr="00075623" w:rsidRDefault="00464CE1" w:rsidP="00C44C6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075623">
              <w:rPr>
                <w:rFonts w:ascii="Times New Roman" w:hAnsi="Times New Roman" w:cs="Times New Roman"/>
                <w:color w:val="000000"/>
              </w:rPr>
              <w:t>25%</w:t>
            </w:r>
          </w:p>
        </w:tc>
        <w:tc>
          <w:tcPr>
            <w:tcW w:w="0" w:type="auto"/>
          </w:tcPr>
          <w:p w14:paraId="2FF27693" w14:textId="77777777" w:rsidR="00464CE1" w:rsidRPr="00075623" w:rsidRDefault="00464CE1" w:rsidP="00C44C6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075623">
              <w:rPr>
                <w:rFonts w:ascii="Times New Roman" w:hAnsi="Times New Roman" w:cs="Times New Roman"/>
                <w:color w:val="000000"/>
              </w:rPr>
              <w:t>33%</w:t>
            </w:r>
          </w:p>
        </w:tc>
        <w:tc>
          <w:tcPr>
            <w:tcW w:w="0" w:type="auto"/>
          </w:tcPr>
          <w:p w14:paraId="03BBAE89" w14:textId="77777777" w:rsidR="00464CE1" w:rsidRPr="00075623" w:rsidRDefault="00464CE1" w:rsidP="00C44C6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075623">
              <w:rPr>
                <w:rFonts w:ascii="Times New Roman" w:hAnsi="Times New Roman" w:cs="Times New Roman"/>
                <w:color w:val="000000"/>
              </w:rPr>
              <w:t>42%</w:t>
            </w:r>
          </w:p>
        </w:tc>
        <w:tc>
          <w:tcPr>
            <w:tcW w:w="0" w:type="auto"/>
          </w:tcPr>
          <w:p w14:paraId="52237C09" w14:textId="77777777" w:rsidR="00464CE1" w:rsidRPr="00075623" w:rsidRDefault="00464CE1" w:rsidP="00C44C6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075623">
              <w:rPr>
                <w:rFonts w:ascii="Times New Roman" w:hAnsi="Times New Roman" w:cs="Times New Roman"/>
                <w:color w:val="000000"/>
              </w:rPr>
              <w:t>67%</w:t>
            </w:r>
          </w:p>
        </w:tc>
        <w:tc>
          <w:tcPr>
            <w:tcW w:w="0" w:type="auto"/>
          </w:tcPr>
          <w:p w14:paraId="365A3CF0" w14:textId="77777777" w:rsidR="00464CE1" w:rsidRPr="00075623" w:rsidRDefault="00464CE1" w:rsidP="00C44C6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075623">
              <w:rPr>
                <w:rFonts w:ascii="Times New Roman" w:hAnsi="Times New Roman" w:cs="Times New Roman"/>
                <w:color w:val="000000"/>
              </w:rPr>
              <w:t>42%</w:t>
            </w:r>
          </w:p>
        </w:tc>
      </w:tr>
      <w:tr w:rsidR="00464CE1" w:rsidRPr="00075623" w14:paraId="70EE2066" w14:textId="77777777" w:rsidTr="00CD6F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731C707" w14:textId="77777777" w:rsidR="00464CE1" w:rsidRPr="00075623" w:rsidRDefault="00464CE1" w:rsidP="00C44C65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075623">
              <w:rPr>
                <w:rFonts w:ascii="Times New Roman" w:hAnsi="Times New Roman" w:cs="Times New Roman"/>
                <w:lang w:val="en-US"/>
              </w:rPr>
              <w:t>Worsening thrombocytosis</w:t>
            </w:r>
          </w:p>
        </w:tc>
        <w:tc>
          <w:tcPr>
            <w:tcW w:w="0" w:type="auto"/>
          </w:tcPr>
          <w:p w14:paraId="5BAD4144" w14:textId="77777777" w:rsidR="00464CE1" w:rsidRPr="00075623" w:rsidRDefault="00464CE1" w:rsidP="00C44C6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075623">
              <w:rPr>
                <w:rFonts w:ascii="Times New Roman" w:hAnsi="Times New Roman" w:cs="Times New Roman"/>
                <w:color w:val="000000"/>
              </w:rPr>
              <w:t>83%</w:t>
            </w:r>
          </w:p>
        </w:tc>
        <w:tc>
          <w:tcPr>
            <w:tcW w:w="0" w:type="auto"/>
          </w:tcPr>
          <w:p w14:paraId="20ADB2DC" w14:textId="77777777" w:rsidR="00464CE1" w:rsidRPr="00075623" w:rsidRDefault="00464CE1" w:rsidP="00C44C6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075623">
              <w:rPr>
                <w:rFonts w:ascii="Times New Roman" w:hAnsi="Times New Roman" w:cs="Times New Roman"/>
                <w:color w:val="000000"/>
              </w:rPr>
              <w:t>75%</w:t>
            </w:r>
          </w:p>
        </w:tc>
        <w:tc>
          <w:tcPr>
            <w:tcW w:w="0" w:type="auto"/>
          </w:tcPr>
          <w:p w14:paraId="42B35DA4" w14:textId="77777777" w:rsidR="00464CE1" w:rsidRPr="00075623" w:rsidRDefault="00464CE1" w:rsidP="00C44C6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075623">
              <w:rPr>
                <w:rFonts w:ascii="Times New Roman" w:hAnsi="Times New Roman" w:cs="Times New Roman"/>
                <w:color w:val="000000"/>
              </w:rPr>
              <w:t>83%</w:t>
            </w:r>
          </w:p>
        </w:tc>
        <w:tc>
          <w:tcPr>
            <w:tcW w:w="0" w:type="auto"/>
          </w:tcPr>
          <w:p w14:paraId="761C2D7F" w14:textId="77777777" w:rsidR="00464CE1" w:rsidRPr="00075623" w:rsidRDefault="00464CE1" w:rsidP="00C44C6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075623">
              <w:rPr>
                <w:rFonts w:ascii="Times New Roman" w:hAnsi="Times New Roman" w:cs="Times New Roman"/>
                <w:color w:val="000000"/>
              </w:rPr>
              <w:t>17%</w:t>
            </w:r>
          </w:p>
        </w:tc>
        <w:tc>
          <w:tcPr>
            <w:tcW w:w="0" w:type="auto"/>
          </w:tcPr>
          <w:p w14:paraId="320A67EF" w14:textId="77777777" w:rsidR="00464CE1" w:rsidRPr="00075623" w:rsidRDefault="00464CE1" w:rsidP="00C44C6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075623">
              <w:rPr>
                <w:rFonts w:ascii="Times New Roman" w:hAnsi="Times New Roman" w:cs="Times New Roman"/>
                <w:color w:val="000000"/>
              </w:rPr>
              <w:t>17%</w:t>
            </w:r>
          </w:p>
        </w:tc>
        <w:tc>
          <w:tcPr>
            <w:tcW w:w="0" w:type="auto"/>
          </w:tcPr>
          <w:p w14:paraId="54420CF8" w14:textId="77777777" w:rsidR="00464CE1" w:rsidRPr="00075623" w:rsidRDefault="00464CE1" w:rsidP="00C44C6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075623">
              <w:rPr>
                <w:rFonts w:ascii="Times New Roman" w:hAnsi="Times New Roman" w:cs="Times New Roman"/>
                <w:color w:val="000000"/>
              </w:rPr>
              <w:t>50%</w:t>
            </w:r>
          </w:p>
        </w:tc>
        <w:tc>
          <w:tcPr>
            <w:tcW w:w="0" w:type="auto"/>
          </w:tcPr>
          <w:p w14:paraId="04F87B6F" w14:textId="77777777" w:rsidR="00464CE1" w:rsidRPr="00075623" w:rsidRDefault="00464CE1" w:rsidP="00C44C6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075623">
              <w:rPr>
                <w:rFonts w:ascii="Times New Roman" w:hAnsi="Times New Roman" w:cs="Times New Roman"/>
                <w:color w:val="000000"/>
              </w:rPr>
              <w:t>58%</w:t>
            </w:r>
          </w:p>
        </w:tc>
        <w:tc>
          <w:tcPr>
            <w:tcW w:w="0" w:type="auto"/>
          </w:tcPr>
          <w:p w14:paraId="4BA41608" w14:textId="77777777" w:rsidR="00464CE1" w:rsidRPr="00075623" w:rsidRDefault="00464CE1" w:rsidP="00C44C6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075623">
              <w:rPr>
                <w:rFonts w:ascii="Times New Roman" w:hAnsi="Times New Roman" w:cs="Times New Roman"/>
                <w:color w:val="000000"/>
              </w:rPr>
              <w:t>33%</w:t>
            </w:r>
          </w:p>
        </w:tc>
      </w:tr>
      <w:tr w:rsidR="00464CE1" w:rsidRPr="00075623" w14:paraId="2C59CDFA" w14:textId="77777777" w:rsidTr="00CD6F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A5DCDAE" w14:textId="77777777" w:rsidR="00464CE1" w:rsidRPr="00075623" w:rsidRDefault="00464CE1" w:rsidP="00C44C65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075623">
              <w:rPr>
                <w:rFonts w:ascii="Times New Roman" w:hAnsi="Times New Roman" w:cs="Times New Roman"/>
                <w:lang w:val="en-US"/>
              </w:rPr>
              <w:t>Persistent bone marrow fibrosis</w:t>
            </w:r>
          </w:p>
        </w:tc>
        <w:tc>
          <w:tcPr>
            <w:tcW w:w="0" w:type="auto"/>
          </w:tcPr>
          <w:p w14:paraId="7BA88A50" w14:textId="77777777" w:rsidR="00464CE1" w:rsidRPr="00075623" w:rsidRDefault="00464CE1" w:rsidP="00C44C6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075623">
              <w:rPr>
                <w:rFonts w:ascii="Times New Roman" w:hAnsi="Times New Roman" w:cs="Times New Roman"/>
                <w:color w:val="000000"/>
              </w:rPr>
              <w:t>50%</w:t>
            </w:r>
          </w:p>
        </w:tc>
        <w:tc>
          <w:tcPr>
            <w:tcW w:w="0" w:type="auto"/>
          </w:tcPr>
          <w:p w14:paraId="0BCF13E1" w14:textId="77777777" w:rsidR="00464CE1" w:rsidRPr="00075623" w:rsidRDefault="00464CE1" w:rsidP="00C44C6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075623">
              <w:rPr>
                <w:rFonts w:ascii="Times New Roman" w:hAnsi="Times New Roman" w:cs="Times New Roman"/>
                <w:color w:val="000000"/>
              </w:rPr>
              <w:t>67%</w:t>
            </w:r>
          </w:p>
        </w:tc>
        <w:tc>
          <w:tcPr>
            <w:tcW w:w="0" w:type="auto"/>
          </w:tcPr>
          <w:p w14:paraId="223A591C" w14:textId="77777777" w:rsidR="00464CE1" w:rsidRPr="00075623" w:rsidRDefault="00464CE1" w:rsidP="00C44C6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075623">
              <w:rPr>
                <w:rFonts w:ascii="Times New Roman" w:hAnsi="Times New Roman" w:cs="Times New Roman"/>
                <w:color w:val="000000"/>
              </w:rPr>
              <w:t>42%</w:t>
            </w:r>
          </w:p>
        </w:tc>
        <w:tc>
          <w:tcPr>
            <w:tcW w:w="0" w:type="auto"/>
          </w:tcPr>
          <w:p w14:paraId="33794DC1" w14:textId="77777777" w:rsidR="00464CE1" w:rsidRPr="00075623" w:rsidRDefault="00464CE1" w:rsidP="00C44C6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075623">
              <w:rPr>
                <w:rFonts w:ascii="Times New Roman" w:hAnsi="Times New Roman" w:cs="Times New Roman"/>
                <w:color w:val="000000"/>
              </w:rPr>
              <w:t>8%</w:t>
            </w:r>
          </w:p>
        </w:tc>
        <w:tc>
          <w:tcPr>
            <w:tcW w:w="0" w:type="auto"/>
          </w:tcPr>
          <w:p w14:paraId="4FA8C2FF" w14:textId="77777777" w:rsidR="00464CE1" w:rsidRPr="00075623" w:rsidRDefault="00464CE1" w:rsidP="00C44C6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075623">
              <w:rPr>
                <w:rFonts w:ascii="Times New Roman" w:hAnsi="Times New Roman" w:cs="Times New Roman"/>
                <w:color w:val="000000"/>
              </w:rPr>
              <w:t>8%</w:t>
            </w:r>
          </w:p>
        </w:tc>
        <w:tc>
          <w:tcPr>
            <w:tcW w:w="0" w:type="auto"/>
          </w:tcPr>
          <w:p w14:paraId="184DA155" w14:textId="77777777" w:rsidR="00464CE1" w:rsidRPr="00075623" w:rsidRDefault="00464CE1" w:rsidP="00C44C6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075623">
              <w:rPr>
                <w:rFonts w:ascii="Times New Roman" w:hAnsi="Times New Roman" w:cs="Times New Roman"/>
                <w:color w:val="000000"/>
              </w:rPr>
              <w:t>33%</w:t>
            </w:r>
          </w:p>
        </w:tc>
        <w:tc>
          <w:tcPr>
            <w:tcW w:w="0" w:type="auto"/>
          </w:tcPr>
          <w:p w14:paraId="7532F48B" w14:textId="77777777" w:rsidR="00464CE1" w:rsidRPr="00075623" w:rsidRDefault="00464CE1" w:rsidP="00C44C6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075623">
              <w:rPr>
                <w:rFonts w:ascii="Times New Roman" w:hAnsi="Times New Roman" w:cs="Times New Roman"/>
                <w:color w:val="000000"/>
              </w:rPr>
              <w:t>33%</w:t>
            </w:r>
          </w:p>
        </w:tc>
        <w:tc>
          <w:tcPr>
            <w:tcW w:w="0" w:type="auto"/>
          </w:tcPr>
          <w:p w14:paraId="3EDC8151" w14:textId="77777777" w:rsidR="00464CE1" w:rsidRPr="00075623" w:rsidRDefault="00464CE1" w:rsidP="00C44C6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075623">
              <w:rPr>
                <w:rFonts w:ascii="Times New Roman" w:hAnsi="Times New Roman" w:cs="Times New Roman"/>
                <w:color w:val="000000"/>
              </w:rPr>
              <w:t>33%</w:t>
            </w:r>
          </w:p>
        </w:tc>
      </w:tr>
      <w:tr w:rsidR="00464CE1" w:rsidRPr="00075623" w14:paraId="6F2757B8" w14:textId="77777777" w:rsidTr="00CD6F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C3FC997" w14:textId="77777777" w:rsidR="00464CE1" w:rsidRPr="00075623" w:rsidRDefault="00464CE1" w:rsidP="00C44C65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075623">
              <w:rPr>
                <w:rFonts w:ascii="Times New Roman" w:hAnsi="Times New Roman" w:cs="Times New Roman"/>
                <w:lang w:val="en-US"/>
              </w:rPr>
              <w:t>Worsening bone marrow fibrosis</w:t>
            </w:r>
          </w:p>
        </w:tc>
        <w:tc>
          <w:tcPr>
            <w:tcW w:w="0" w:type="auto"/>
          </w:tcPr>
          <w:p w14:paraId="06254A33" w14:textId="77777777" w:rsidR="00464CE1" w:rsidRPr="00075623" w:rsidRDefault="00464CE1" w:rsidP="00C44C6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075623">
              <w:rPr>
                <w:rFonts w:ascii="Times New Roman" w:hAnsi="Times New Roman" w:cs="Times New Roman"/>
                <w:color w:val="000000"/>
              </w:rPr>
              <w:t>50%</w:t>
            </w:r>
          </w:p>
        </w:tc>
        <w:tc>
          <w:tcPr>
            <w:tcW w:w="0" w:type="auto"/>
          </w:tcPr>
          <w:p w14:paraId="5F9C3DAC" w14:textId="77777777" w:rsidR="00464CE1" w:rsidRPr="00075623" w:rsidRDefault="00464CE1" w:rsidP="00C44C6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075623">
              <w:rPr>
                <w:rFonts w:ascii="Times New Roman" w:hAnsi="Times New Roman" w:cs="Times New Roman"/>
                <w:color w:val="000000"/>
              </w:rPr>
              <w:t>67%</w:t>
            </w:r>
          </w:p>
        </w:tc>
        <w:tc>
          <w:tcPr>
            <w:tcW w:w="0" w:type="auto"/>
          </w:tcPr>
          <w:p w14:paraId="07F6E3B4" w14:textId="77777777" w:rsidR="00464CE1" w:rsidRPr="00075623" w:rsidRDefault="00464CE1" w:rsidP="00C44C6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075623">
              <w:rPr>
                <w:rFonts w:ascii="Times New Roman" w:hAnsi="Times New Roman" w:cs="Times New Roman"/>
                <w:color w:val="000000"/>
              </w:rPr>
              <w:t>33%</w:t>
            </w:r>
          </w:p>
        </w:tc>
        <w:tc>
          <w:tcPr>
            <w:tcW w:w="0" w:type="auto"/>
          </w:tcPr>
          <w:p w14:paraId="258A194E" w14:textId="77777777" w:rsidR="00464CE1" w:rsidRPr="00075623" w:rsidRDefault="00464CE1" w:rsidP="00C44C6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075623">
              <w:rPr>
                <w:rFonts w:ascii="Times New Roman" w:hAnsi="Times New Roman" w:cs="Times New Roman"/>
                <w:color w:val="000000"/>
              </w:rPr>
              <w:t>42%</w:t>
            </w:r>
          </w:p>
        </w:tc>
        <w:tc>
          <w:tcPr>
            <w:tcW w:w="0" w:type="auto"/>
          </w:tcPr>
          <w:p w14:paraId="3DF97F8E" w14:textId="77777777" w:rsidR="00464CE1" w:rsidRPr="00075623" w:rsidRDefault="00464CE1" w:rsidP="00C44C6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075623">
              <w:rPr>
                <w:rFonts w:ascii="Times New Roman" w:hAnsi="Times New Roman" w:cs="Times New Roman"/>
                <w:color w:val="000000"/>
              </w:rPr>
              <w:t>8%</w:t>
            </w:r>
          </w:p>
        </w:tc>
        <w:tc>
          <w:tcPr>
            <w:tcW w:w="0" w:type="auto"/>
          </w:tcPr>
          <w:p w14:paraId="279F4999" w14:textId="77777777" w:rsidR="00464CE1" w:rsidRPr="00075623" w:rsidRDefault="00464CE1" w:rsidP="00C44C6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075623">
              <w:rPr>
                <w:rFonts w:ascii="Times New Roman" w:hAnsi="Times New Roman" w:cs="Times New Roman"/>
                <w:color w:val="000000"/>
              </w:rPr>
              <w:t>25%</w:t>
            </w:r>
          </w:p>
        </w:tc>
        <w:tc>
          <w:tcPr>
            <w:tcW w:w="0" w:type="auto"/>
          </w:tcPr>
          <w:p w14:paraId="24D73259" w14:textId="77777777" w:rsidR="00464CE1" w:rsidRPr="00075623" w:rsidRDefault="00464CE1" w:rsidP="00C44C6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075623">
              <w:rPr>
                <w:rFonts w:ascii="Times New Roman" w:hAnsi="Times New Roman" w:cs="Times New Roman"/>
                <w:color w:val="000000"/>
              </w:rPr>
              <w:t>33%</w:t>
            </w:r>
          </w:p>
        </w:tc>
        <w:tc>
          <w:tcPr>
            <w:tcW w:w="0" w:type="auto"/>
          </w:tcPr>
          <w:p w14:paraId="6EB349E9" w14:textId="77777777" w:rsidR="00464CE1" w:rsidRPr="00075623" w:rsidRDefault="00464CE1" w:rsidP="00C44C6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075623">
              <w:rPr>
                <w:rFonts w:ascii="Times New Roman" w:hAnsi="Times New Roman" w:cs="Times New Roman"/>
                <w:color w:val="000000"/>
              </w:rPr>
              <w:t>33%</w:t>
            </w:r>
          </w:p>
        </w:tc>
      </w:tr>
      <w:tr w:rsidR="00464CE1" w:rsidRPr="00075623" w14:paraId="20DC270B" w14:textId="77777777" w:rsidTr="00CD6F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35D1339" w14:textId="33E0A6E4" w:rsidR="00464CE1" w:rsidRPr="00075623" w:rsidRDefault="00464CE1" w:rsidP="00C44C65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075623">
              <w:rPr>
                <w:rFonts w:ascii="Times New Roman" w:hAnsi="Times New Roman" w:cs="Times New Roman"/>
                <w:lang w:val="en-US"/>
              </w:rPr>
              <w:t>Lack of allelic burden decline (</w:t>
            </w:r>
            <w:proofErr w:type="gramStart"/>
            <w:r w:rsidRPr="00075623">
              <w:rPr>
                <w:rFonts w:ascii="Times New Roman" w:hAnsi="Times New Roman" w:cs="Times New Roman"/>
                <w:lang w:val="en-US"/>
              </w:rPr>
              <w:t>founder</w:t>
            </w:r>
            <w:r w:rsidR="00A009E1" w:rsidRPr="0007562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75623">
              <w:rPr>
                <w:rFonts w:ascii="Times New Roman" w:hAnsi="Times New Roman" w:cs="Times New Roman"/>
                <w:lang w:val="en-US"/>
              </w:rPr>
              <w:t xml:space="preserve"> mut</w:t>
            </w:r>
            <w:r w:rsidR="00A009E1" w:rsidRPr="00075623">
              <w:rPr>
                <w:rFonts w:ascii="Times New Roman" w:hAnsi="Times New Roman" w:cs="Times New Roman"/>
                <w:lang w:val="en-US"/>
              </w:rPr>
              <w:t>ation</w:t>
            </w:r>
            <w:proofErr w:type="gramEnd"/>
            <w:r w:rsidRPr="00075623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0" w:type="auto"/>
          </w:tcPr>
          <w:p w14:paraId="34B74268" w14:textId="77777777" w:rsidR="00464CE1" w:rsidRPr="00075623" w:rsidRDefault="00464CE1" w:rsidP="00C44C6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075623">
              <w:rPr>
                <w:rFonts w:ascii="Times New Roman" w:hAnsi="Times New Roman" w:cs="Times New Roman"/>
                <w:color w:val="000000"/>
              </w:rPr>
              <w:t>75%</w:t>
            </w:r>
          </w:p>
        </w:tc>
        <w:tc>
          <w:tcPr>
            <w:tcW w:w="0" w:type="auto"/>
          </w:tcPr>
          <w:p w14:paraId="757B5B4E" w14:textId="77777777" w:rsidR="00464CE1" w:rsidRPr="00075623" w:rsidRDefault="00464CE1" w:rsidP="00C44C6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075623">
              <w:rPr>
                <w:rFonts w:ascii="Times New Roman" w:hAnsi="Times New Roman" w:cs="Times New Roman"/>
                <w:color w:val="000000"/>
              </w:rPr>
              <w:t>75%</w:t>
            </w:r>
          </w:p>
        </w:tc>
        <w:tc>
          <w:tcPr>
            <w:tcW w:w="0" w:type="auto"/>
          </w:tcPr>
          <w:p w14:paraId="186AC323" w14:textId="77777777" w:rsidR="00464CE1" w:rsidRPr="00075623" w:rsidRDefault="00464CE1" w:rsidP="00C44C6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075623">
              <w:rPr>
                <w:rFonts w:ascii="Times New Roman" w:hAnsi="Times New Roman" w:cs="Times New Roman"/>
                <w:color w:val="000000"/>
              </w:rPr>
              <w:t>83%</w:t>
            </w:r>
          </w:p>
        </w:tc>
        <w:tc>
          <w:tcPr>
            <w:tcW w:w="0" w:type="auto"/>
          </w:tcPr>
          <w:p w14:paraId="52CCDCAC" w14:textId="77777777" w:rsidR="00464CE1" w:rsidRPr="00075623" w:rsidRDefault="00464CE1" w:rsidP="00C44C6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075623">
              <w:rPr>
                <w:rFonts w:ascii="Times New Roman" w:hAnsi="Times New Roman" w:cs="Times New Roman"/>
                <w:color w:val="000000"/>
              </w:rPr>
              <w:t>33%</w:t>
            </w:r>
          </w:p>
        </w:tc>
        <w:tc>
          <w:tcPr>
            <w:tcW w:w="0" w:type="auto"/>
          </w:tcPr>
          <w:p w14:paraId="183A8CDA" w14:textId="77777777" w:rsidR="00464CE1" w:rsidRPr="00075623" w:rsidRDefault="00464CE1" w:rsidP="00C44C6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075623">
              <w:rPr>
                <w:rFonts w:ascii="Times New Roman" w:hAnsi="Times New Roman" w:cs="Times New Roman"/>
                <w:color w:val="000000"/>
              </w:rPr>
              <w:t>17%</w:t>
            </w:r>
          </w:p>
        </w:tc>
        <w:tc>
          <w:tcPr>
            <w:tcW w:w="0" w:type="auto"/>
          </w:tcPr>
          <w:p w14:paraId="193A3CEC" w14:textId="77777777" w:rsidR="00464CE1" w:rsidRPr="00075623" w:rsidRDefault="00464CE1" w:rsidP="00C44C6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075623">
              <w:rPr>
                <w:rFonts w:ascii="Times New Roman" w:hAnsi="Times New Roman" w:cs="Times New Roman"/>
                <w:color w:val="000000"/>
              </w:rPr>
              <w:t>42%</w:t>
            </w:r>
          </w:p>
        </w:tc>
        <w:tc>
          <w:tcPr>
            <w:tcW w:w="0" w:type="auto"/>
          </w:tcPr>
          <w:p w14:paraId="6A3FE646" w14:textId="77777777" w:rsidR="00464CE1" w:rsidRPr="00075623" w:rsidRDefault="00464CE1" w:rsidP="00C44C6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075623">
              <w:rPr>
                <w:rFonts w:ascii="Times New Roman" w:hAnsi="Times New Roman" w:cs="Times New Roman"/>
                <w:color w:val="000000"/>
              </w:rPr>
              <w:t>67%</w:t>
            </w:r>
          </w:p>
        </w:tc>
        <w:tc>
          <w:tcPr>
            <w:tcW w:w="0" w:type="auto"/>
          </w:tcPr>
          <w:p w14:paraId="307202A4" w14:textId="77777777" w:rsidR="00464CE1" w:rsidRPr="00075623" w:rsidRDefault="00464CE1" w:rsidP="00C44C6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075623">
              <w:rPr>
                <w:rFonts w:ascii="Times New Roman" w:hAnsi="Times New Roman" w:cs="Times New Roman"/>
                <w:color w:val="000000"/>
              </w:rPr>
              <w:t>33%</w:t>
            </w:r>
          </w:p>
        </w:tc>
      </w:tr>
      <w:tr w:rsidR="00464CE1" w:rsidRPr="00075623" w14:paraId="2F524621" w14:textId="77777777" w:rsidTr="00CD6F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8D2A631" w14:textId="77777777" w:rsidR="00464CE1" w:rsidRPr="00075623" w:rsidRDefault="00464CE1" w:rsidP="00C44C65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075623">
              <w:rPr>
                <w:rFonts w:ascii="Times New Roman" w:hAnsi="Times New Roman" w:cs="Times New Roman"/>
                <w:lang w:val="en-US"/>
              </w:rPr>
              <w:t>Lack of allelic burden decline (non-founder mutation)</w:t>
            </w:r>
          </w:p>
        </w:tc>
        <w:tc>
          <w:tcPr>
            <w:tcW w:w="0" w:type="auto"/>
          </w:tcPr>
          <w:p w14:paraId="043E6D70" w14:textId="77777777" w:rsidR="00464CE1" w:rsidRPr="00075623" w:rsidRDefault="00464CE1" w:rsidP="00C44C6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075623">
              <w:rPr>
                <w:rFonts w:ascii="Times New Roman" w:hAnsi="Times New Roman" w:cs="Times New Roman"/>
                <w:color w:val="000000"/>
              </w:rPr>
              <w:t>50%</w:t>
            </w:r>
          </w:p>
        </w:tc>
        <w:tc>
          <w:tcPr>
            <w:tcW w:w="0" w:type="auto"/>
          </w:tcPr>
          <w:p w14:paraId="69F907AD" w14:textId="77777777" w:rsidR="00464CE1" w:rsidRPr="00075623" w:rsidRDefault="00464CE1" w:rsidP="00C44C6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075623">
              <w:rPr>
                <w:rFonts w:ascii="Times New Roman" w:hAnsi="Times New Roman" w:cs="Times New Roman"/>
                <w:color w:val="000000"/>
              </w:rPr>
              <w:t>67%</w:t>
            </w:r>
          </w:p>
        </w:tc>
        <w:tc>
          <w:tcPr>
            <w:tcW w:w="0" w:type="auto"/>
          </w:tcPr>
          <w:p w14:paraId="11A85536" w14:textId="77777777" w:rsidR="00464CE1" w:rsidRPr="00075623" w:rsidRDefault="00464CE1" w:rsidP="00C44C6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075623">
              <w:rPr>
                <w:rFonts w:ascii="Times New Roman" w:hAnsi="Times New Roman" w:cs="Times New Roman"/>
                <w:color w:val="000000"/>
              </w:rPr>
              <w:t>67%</w:t>
            </w:r>
          </w:p>
        </w:tc>
        <w:tc>
          <w:tcPr>
            <w:tcW w:w="0" w:type="auto"/>
          </w:tcPr>
          <w:p w14:paraId="01D9B889" w14:textId="77777777" w:rsidR="00464CE1" w:rsidRPr="00075623" w:rsidRDefault="00464CE1" w:rsidP="00C44C6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075623">
              <w:rPr>
                <w:rFonts w:ascii="Times New Roman" w:hAnsi="Times New Roman" w:cs="Times New Roman"/>
                <w:color w:val="000000"/>
              </w:rPr>
              <w:t>25%</w:t>
            </w:r>
          </w:p>
        </w:tc>
        <w:tc>
          <w:tcPr>
            <w:tcW w:w="0" w:type="auto"/>
          </w:tcPr>
          <w:p w14:paraId="188910ED" w14:textId="77777777" w:rsidR="00464CE1" w:rsidRPr="00075623" w:rsidRDefault="00464CE1" w:rsidP="00C44C6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075623">
              <w:rPr>
                <w:rFonts w:ascii="Times New Roman" w:hAnsi="Times New Roman" w:cs="Times New Roman"/>
                <w:color w:val="000000"/>
              </w:rPr>
              <w:t>17%</w:t>
            </w:r>
          </w:p>
        </w:tc>
        <w:tc>
          <w:tcPr>
            <w:tcW w:w="0" w:type="auto"/>
          </w:tcPr>
          <w:p w14:paraId="5D5B0D92" w14:textId="77777777" w:rsidR="00464CE1" w:rsidRPr="00075623" w:rsidRDefault="00464CE1" w:rsidP="00C44C6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075623">
              <w:rPr>
                <w:rFonts w:ascii="Times New Roman" w:hAnsi="Times New Roman" w:cs="Times New Roman"/>
                <w:color w:val="000000"/>
              </w:rPr>
              <w:t>25%</w:t>
            </w:r>
          </w:p>
        </w:tc>
        <w:tc>
          <w:tcPr>
            <w:tcW w:w="0" w:type="auto"/>
          </w:tcPr>
          <w:p w14:paraId="092470BC" w14:textId="77777777" w:rsidR="00464CE1" w:rsidRPr="00075623" w:rsidRDefault="00464CE1" w:rsidP="00C44C6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075623">
              <w:rPr>
                <w:rFonts w:ascii="Times New Roman" w:hAnsi="Times New Roman" w:cs="Times New Roman"/>
                <w:color w:val="000000"/>
              </w:rPr>
              <w:t>58%</w:t>
            </w:r>
          </w:p>
        </w:tc>
        <w:tc>
          <w:tcPr>
            <w:tcW w:w="0" w:type="auto"/>
          </w:tcPr>
          <w:p w14:paraId="560595D7" w14:textId="77777777" w:rsidR="00464CE1" w:rsidRPr="00075623" w:rsidRDefault="00464CE1" w:rsidP="00C44C6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075623">
              <w:rPr>
                <w:rFonts w:ascii="Times New Roman" w:hAnsi="Times New Roman" w:cs="Times New Roman"/>
                <w:color w:val="000000"/>
              </w:rPr>
              <w:t>33%</w:t>
            </w:r>
          </w:p>
        </w:tc>
      </w:tr>
      <w:tr w:rsidR="00464CE1" w:rsidRPr="00075623" w14:paraId="5D422E74" w14:textId="77777777" w:rsidTr="00CD6F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2591E7C" w14:textId="77777777" w:rsidR="00464CE1" w:rsidRPr="00075623" w:rsidRDefault="00464CE1" w:rsidP="00C44C65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075623">
              <w:rPr>
                <w:rFonts w:ascii="Times New Roman" w:hAnsi="Times New Roman" w:cs="Times New Roman"/>
                <w:lang w:val="en-US"/>
              </w:rPr>
              <w:t>Increasing immature circulating cells</w:t>
            </w:r>
          </w:p>
        </w:tc>
        <w:tc>
          <w:tcPr>
            <w:tcW w:w="0" w:type="auto"/>
          </w:tcPr>
          <w:p w14:paraId="2FF31AE5" w14:textId="77777777" w:rsidR="00464CE1" w:rsidRPr="00075623" w:rsidRDefault="00464CE1" w:rsidP="00C44C6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075623">
              <w:rPr>
                <w:rFonts w:ascii="Times New Roman" w:hAnsi="Times New Roman" w:cs="Times New Roman"/>
                <w:color w:val="000000"/>
              </w:rPr>
              <w:t>67%</w:t>
            </w:r>
          </w:p>
        </w:tc>
        <w:tc>
          <w:tcPr>
            <w:tcW w:w="0" w:type="auto"/>
          </w:tcPr>
          <w:p w14:paraId="1C5B7E3D" w14:textId="77777777" w:rsidR="00464CE1" w:rsidRPr="00075623" w:rsidRDefault="00464CE1" w:rsidP="00C44C6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075623">
              <w:rPr>
                <w:rFonts w:ascii="Times New Roman" w:hAnsi="Times New Roman" w:cs="Times New Roman"/>
                <w:color w:val="000000"/>
              </w:rPr>
              <w:t>75%</w:t>
            </w:r>
          </w:p>
        </w:tc>
        <w:tc>
          <w:tcPr>
            <w:tcW w:w="0" w:type="auto"/>
          </w:tcPr>
          <w:p w14:paraId="7D06B9BB" w14:textId="77777777" w:rsidR="00464CE1" w:rsidRPr="00075623" w:rsidRDefault="00464CE1" w:rsidP="00C44C6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075623">
              <w:rPr>
                <w:rFonts w:ascii="Times New Roman" w:hAnsi="Times New Roman" w:cs="Times New Roman"/>
                <w:color w:val="000000"/>
              </w:rPr>
              <w:t>58%</w:t>
            </w:r>
          </w:p>
        </w:tc>
        <w:tc>
          <w:tcPr>
            <w:tcW w:w="0" w:type="auto"/>
          </w:tcPr>
          <w:p w14:paraId="06103765" w14:textId="77777777" w:rsidR="00464CE1" w:rsidRPr="00075623" w:rsidRDefault="00464CE1" w:rsidP="00C44C6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075623">
              <w:rPr>
                <w:rFonts w:ascii="Times New Roman" w:hAnsi="Times New Roman" w:cs="Times New Roman"/>
                <w:color w:val="000000"/>
              </w:rPr>
              <w:t>58%</w:t>
            </w:r>
          </w:p>
        </w:tc>
        <w:tc>
          <w:tcPr>
            <w:tcW w:w="0" w:type="auto"/>
          </w:tcPr>
          <w:p w14:paraId="3729C5EE" w14:textId="77777777" w:rsidR="00464CE1" w:rsidRPr="00075623" w:rsidRDefault="00464CE1" w:rsidP="00C44C6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075623">
              <w:rPr>
                <w:rFonts w:ascii="Times New Roman" w:hAnsi="Times New Roman" w:cs="Times New Roman"/>
                <w:color w:val="000000"/>
              </w:rPr>
              <w:t>58%</w:t>
            </w:r>
          </w:p>
        </w:tc>
        <w:tc>
          <w:tcPr>
            <w:tcW w:w="0" w:type="auto"/>
          </w:tcPr>
          <w:p w14:paraId="589B03B1" w14:textId="77777777" w:rsidR="00464CE1" w:rsidRPr="00075623" w:rsidRDefault="00464CE1" w:rsidP="00C44C6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075623">
              <w:rPr>
                <w:rFonts w:ascii="Times New Roman" w:hAnsi="Times New Roman" w:cs="Times New Roman"/>
                <w:color w:val="000000"/>
              </w:rPr>
              <w:t>58%</w:t>
            </w:r>
          </w:p>
        </w:tc>
        <w:tc>
          <w:tcPr>
            <w:tcW w:w="0" w:type="auto"/>
          </w:tcPr>
          <w:p w14:paraId="4DE97B09" w14:textId="77777777" w:rsidR="00464CE1" w:rsidRPr="00075623" w:rsidRDefault="00464CE1" w:rsidP="00C44C6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075623">
              <w:rPr>
                <w:rFonts w:ascii="Times New Roman" w:hAnsi="Times New Roman" w:cs="Times New Roman"/>
                <w:color w:val="000000"/>
              </w:rPr>
              <w:t>67%</w:t>
            </w:r>
          </w:p>
        </w:tc>
        <w:tc>
          <w:tcPr>
            <w:tcW w:w="0" w:type="auto"/>
          </w:tcPr>
          <w:p w14:paraId="1121EB07" w14:textId="77777777" w:rsidR="00464CE1" w:rsidRPr="00075623" w:rsidRDefault="00464CE1" w:rsidP="00C44C6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075623">
              <w:rPr>
                <w:rFonts w:ascii="Times New Roman" w:hAnsi="Times New Roman" w:cs="Times New Roman"/>
                <w:color w:val="000000"/>
              </w:rPr>
              <w:t>33%</w:t>
            </w:r>
          </w:p>
        </w:tc>
      </w:tr>
      <w:tr w:rsidR="00464CE1" w:rsidRPr="00075623" w14:paraId="697D6226" w14:textId="77777777" w:rsidTr="00CD6F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EFCF9D9" w14:textId="77777777" w:rsidR="00464CE1" w:rsidRPr="00075623" w:rsidRDefault="00464CE1" w:rsidP="00C44C65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075623">
              <w:rPr>
                <w:rFonts w:ascii="Times New Roman" w:hAnsi="Times New Roman" w:cs="Times New Roman"/>
                <w:lang w:val="en-US"/>
              </w:rPr>
              <w:t>Transformation to myelodysplastic syndrome</w:t>
            </w:r>
          </w:p>
        </w:tc>
        <w:tc>
          <w:tcPr>
            <w:tcW w:w="0" w:type="auto"/>
          </w:tcPr>
          <w:p w14:paraId="5A09CE46" w14:textId="77777777" w:rsidR="00464CE1" w:rsidRPr="00075623" w:rsidRDefault="00464CE1" w:rsidP="00C44C6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075623">
              <w:rPr>
                <w:rFonts w:ascii="Times New Roman" w:hAnsi="Times New Roman" w:cs="Times New Roman"/>
                <w:color w:val="000000"/>
              </w:rPr>
              <w:t>33%</w:t>
            </w:r>
          </w:p>
        </w:tc>
        <w:tc>
          <w:tcPr>
            <w:tcW w:w="0" w:type="auto"/>
          </w:tcPr>
          <w:p w14:paraId="453B4878" w14:textId="77777777" w:rsidR="00464CE1" w:rsidRPr="00075623" w:rsidRDefault="00464CE1" w:rsidP="00C44C6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075623">
              <w:rPr>
                <w:rFonts w:ascii="Times New Roman" w:hAnsi="Times New Roman" w:cs="Times New Roman"/>
                <w:color w:val="000000"/>
              </w:rPr>
              <w:t>75%</w:t>
            </w:r>
          </w:p>
        </w:tc>
        <w:tc>
          <w:tcPr>
            <w:tcW w:w="0" w:type="auto"/>
          </w:tcPr>
          <w:p w14:paraId="0E57F2CC" w14:textId="77777777" w:rsidR="00464CE1" w:rsidRPr="00075623" w:rsidRDefault="00464CE1" w:rsidP="00C44C6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075623">
              <w:rPr>
                <w:rFonts w:ascii="Times New Roman" w:hAnsi="Times New Roman" w:cs="Times New Roman"/>
                <w:color w:val="000000"/>
              </w:rPr>
              <w:t>50%</w:t>
            </w:r>
          </w:p>
        </w:tc>
        <w:tc>
          <w:tcPr>
            <w:tcW w:w="0" w:type="auto"/>
          </w:tcPr>
          <w:p w14:paraId="5F0A2F5C" w14:textId="77777777" w:rsidR="00464CE1" w:rsidRPr="00075623" w:rsidRDefault="00464CE1" w:rsidP="00C44C6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075623">
              <w:rPr>
                <w:rFonts w:ascii="Times New Roman" w:hAnsi="Times New Roman" w:cs="Times New Roman"/>
                <w:color w:val="000000"/>
              </w:rPr>
              <w:t>83%</w:t>
            </w:r>
          </w:p>
        </w:tc>
        <w:tc>
          <w:tcPr>
            <w:tcW w:w="0" w:type="auto"/>
          </w:tcPr>
          <w:p w14:paraId="24C7BF8E" w14:textId="77777777" w:rsidR="00464CE1" w:rsidRPr="00075623" w:rsidRDefault="00464CE1" w:rsidP="00C44C6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075623">
              <w:rPr>
                <w:rFonts w:ascii="Times New Roman" w:hAnsi="Times New Roman" w:cs="Times New Roman"/>
                <w:color w:val="000000"/>
              </w:rPr>
              <w:t>58%</w:t>
            </w:r>
          </w:p>
        </w:tc>
        <w:tc>
          <w:tcPr>
            <w:tcW w:w="0" w:type="auto"/>
          </w:tcPr>
          <w:p w14:paraId="1E0C69FA" w14:textId="77777777" w:rsidR="00464CE1" w:rsidRPr="00075623" w:rsidRDefault="00464CE1" w:rsidP="00C44C6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075623">
              <w:rPr>
                <w:rFonts w:ascii="Times New Roman" w:hAnsi="Times New Roman" w:cs="Times New Roman"/>
                <w:color w:val="000000"/>
              </w:rPr>
              <w:t>25%</w:t>
            </w:r>
          </w:p>
        </w:tc>
        <w:tc>
          <w:tcPr>
            <w:tcW w:w="0" w:type="auto"/>
          </w:tcPr>
          <w:p w14:paraId="5D4A68EC" w14:textId="77777777" w:rsidR="00464CE1" w:rsidRPr="00075623" w:rsidRDefault="00464CE1" w:rsidP="00C44C6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075623">
              <w:rPr>
                <w:rFonts w:ascii="Times New Roman" w:hAnsi="Times New Roman" w:cs="Times New Roman"/>
                <w:color w:val="000000"/>
              </w:rPr>
              <w:t>58%</w:t>
            </w:r>
          </w:p>
        </w:tc>
        <w:tc>
          <w:tcPr>
            <w:tcW w:w="0" w:type="auto"/>
          </w:tcPr>
          <w:p w14:paraId="0AA7FC0E" w14:textId="77777777" w:rsidR="00464CE1" w:rsidRPr="00075623" w:rsidRDefault="00464CE1" w:rsidP="00C44C6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075623">
              <w:rPr>
                <w:rFonts w:ascii="Times New Roman" w:hAnsi="Times New Roman" w:cs="Times New Roman"/>
                <w:color w:val="000000"/>
              </w:rPr>
              <w:t>42%</w:t>
            </w:r>
          </w:p>
        </w:tc>
      </w:tr>
    </w:tbl>
    <w:p w14:paraId="47ED6579" w14:textId="77777777" w:rsidR="00F90001" w:rsidRDefault="00EC233E">
      <w:pPr>
        <w:rPr>
          <w:rFonts w:ascii="Times New Roman" w:hAnsi="Times New Roman" w:cs="Times New Roman"/>
          <w:b/>
          <w:bCs/>
          <w:lang w:val="en-US"/>
        </w:rPr>
      </w:pPr>
      <w:r w:rsidRPr="00075623">
        <w:rPr>
          <w:rFonts w:ascii="Times New Roman" w:hAnsi="Times New Roman" w:cs="Times New Roman"/>
          <w:b/>
          <w:bCs/>
          <w:lang w:val="en-US"/>
        </w:rPr>
        <w:t xml:space="preserve"> </w:t>
      </w:r>
    </w:p>
    <w:p w14:paraId="490A779C" w14:textId="3B66899A" w:rsidR="00C44C65" w:rsidRPr="00075623" w:rsidRDefault="00F90001">
      <w:pPr>
        <w:rPr>
          <w:rFonts w:ascii="Times New Roman" w:hAnsi="Times New Roman" w:cs="Times New Roman"/>
          <w:b/>
          <w:bCs/>
          <w:lang w:val="en-US"/>
        </w:rPr>
      </w:pPr>
      <w:r w:rsidRPr="00312950">
        <w:rPr>
          <w:rFonts w:ascii="Times New Roman" w:hAnsi="Times New Roman" w:cs="Times New Roman"/>
          <w:color w:val="000000"/>
          <w:lang w:val="en-US"/>
        </w:rPr>
        <w:t>Legend</w:t>
      </w:r>
      <w:r>
        <w:rPr>
          <w:rFonts w:ascii="Times New Roman" w:hAnsi="Times New Roman" w:cs="Times New Roman"/>
          <w:color w:val="000000"/>
          <w:lang w:val="en-US"/>
        </w:rPr>
        <w:t xml:space="preserve"> to </w:t>
      </w:r>
      <w:r w:rsidR="00F9604B">
        <w:rPr>
          <w:rFonts w:ascii="Times New Roman" w:hAnsi="Times New Roman" w:cs="Times New Roman"/>
          <w:color w:val="000000"/>
          <w:lang w:val="en-US"/>
        </w:rPr>
        <w:t>Supplement</w:t>
      </w:r>
      <w:r>
        <w:rPr>
          <w:rFonts w:ascii="Times New Roman" w:hAnsi="Times New Roman" w:cs="Times New Roman"/>
          <w:color w:val="000000"/>
          <w:lang w:val="en-US"/>
        </w:rPr>
        <w:t xml:space="preserve"> table 3</w:t>
      </w:r>
      <w:r w:rsidRPr="00312950">
        <w:rPr>
          <w:rFonts w:ascii="Times New Roman" w:hAnsi="Times New Roman" w:cs="Times New Roman"/>
          <w:color w:val="000000"/>
          <w:lang w:val="en-US"/>
        </w:rPr>
        <w:t xml:space="preserve">: the </w:t>
      </w:r>
      <w:proofErr w:type="gramStart"/>
      <w:r w:rsidRPr="00312950">
        <w:rPr>
          <w:rFonts w:ascii="Times New Roman" w:hAnsi="Times New Roman" w:cs="Times New Roman"/>
          <w:color w:val="000000"/>
          <w:lang w:val="en-US"/>
        </w:rPr>
        <w:t>percent</w:t>
      </w:r>
      <w:proofErr w:type="gramEnd"/>
      <w:r w:rsidRPr="00312950">
        <w:rPr>
          <w:rFonts w:ascii="Times New Roman" w:hAnsi="Times New Roman" w:cs="Times New Roman"/>
          <w:color w:val="000000"/>
          <w:lang w:val="en-US"/>
        </w:rPr>
        <w:t xml:space="preserve"> rates </w:t>
      </w:r>
      <w:r>
        <w:rPr>
          <w:rFonts w:ascii="Times New Roman" w:hAnsi="Times New Roman" w:cs="Times New Roman"/>
          <w:color w:val="000000"/>
          <w:lang w:val="en-US"/>
        </w:rPr>
        <w:t>in the tables show the outcome accomplishment of each relevancy dimension</w:t>
      </w:r>
    </w:p>
    <w:p w14:paraId="7F8DC0E1" w14:textId="77777777" w:rsidR="00F90001" w:rsidRDefault="00F90001">
      <w:pPr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br w:type="page"/>
      </w:r>
    </w:p>
    <w:p w14:paraId="63A6E72D" w14:textId="5AF29058" w:rsidR="00464CE1" w:rsidRPr="0040485D" w:rsidRDefault="00F9604B" w:rsidP="00464CE1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lastRenderedPageBreak/>
        <w:t>Supplement</w:t>
      </w:r>
      <w:r w:rsidR="00464CE1" w:rsidRPr="00075623">
        <w:rPr>
          <w:rFonts w:ascii="Times New Roman" w:hAnsi="Times New Roman" w:cs="Times New Roman"/>
          <w:b/>
          <w:bCs/>
          <w:lang w:val="en-US"/>
        </w:rPr>
        <w:t xml:space="preserve"> Table </w:t>
      </w:r>
      <w:r w:rsidR="0040485D">
        <w:rPr>
          <w:rFonts w:ascii="Times New Roman" w:hAnsi="Times New Roman" w:cs="Times New Roman"/>
          <w:b/>
          <w:bCs/>
          <w:lang w:val="en-US"/>
        </w:rPr>
        <w:t>4</w:t>
      </w:r>
      <w:r w:rsidR="00464CE1" w:rsidRPr="00075623">
        <w:rPr>
          <w:rFonts w:ascii="Times New Roman" w:hAnsi="Times New Roman" w:cs="Times New Roman"/>
          <w:b/>
          <w:bCs/>
          <w:lang w:val="en-US"/>
        </w:rPr>
        <w:t xml:space="preserve">. </w:t>
      </w:r>
      <w:r w:rsidR="00464CE1" w:rsidRPr="0040485D">
        <w:rPr>
          <w:rFonts w:ascii="Times New Roman" w:hAnsi="Times New Roman" w:cs="Times New Roman"/>
          <w:lang w:val="en-US"/>
        </w:rPr>
        <w:t xml:space="preserve">Operational definitions of </w:t>
      </w:r>
      <w:r w:rsidR="00E97C86">
        <w:rPr>
          <w:rFonts w:ascii="Times New Roman" w:hAnsi="Times New Roman" w:cs="Times New Roman"/>
          <w:lang w:val="en-US"/>
        </w:rPr>
        <w:t>Q1-Q3 outcomes.</w:t>
      </w:r>
    </w:p>
    <w:p w14:paraId="57236510" w14:textId="77777777" w:rsidR="00A009E1" w:rsidRPr="00075623" w:rsidRDefault="00A009E1" w:rsidP="00464CE1">
      <w:pPr>
        <w:rPr>
          <w:rFonts w:ascii="Times New Roman" w:hAnsi="Times New Roman" w:cs="Times New Roman"/>
          <w:b/>
          <w:bCs/>
          <w:lang w:val="en-US"/>
        </w:rPr>
      </w:pPr>
    </w:p>
    <w:tbl>
      <w:tblPr>
        <w:tblStyle w:val="Tabellaelenco3-colore4"/>
        <w:tblW w:w="0" w:type="auto"/>
        <w:tblLook w:val="04A0" w:firstRow="1" w:lastRow="0" w:firstColumn="1" w:lastColumn="0" w:noHBand="0" w:noVBand="1"/>
      </w:tblPr>
      <w:tblGrid>
        <w:gridCol w:w="3288"/>
        <w:gridCol w:w="7629"/>
        <w:gridCol w:w="1053"/>
        <w:gridCol w:w="1316"/>
      </w:tblGrid>
      <w:tr w:rsidR="00BE39C5" w:rsidRPr="00075623" w14:paraId="7A068D01" w14:textId="77777777" w:rsidTr="00CD6F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288" w:type="dxa"/>
          </w:tcPr>
          <w:p w14:paraId="14FF92DA" w14:textId="325FF868" w:rsidR="00BE39C5" w:rsidRPr="00075623" w:rsidRDefault="00EC233E" w:rsidP="00C44C65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Outcomes</w:t>
            </w:r>
          </w:p>
        </w:tc>
        <w:tc>
          <w:tcPr>
            <w:tcW w:w="7629" w:type="dxa"/>
          </w:tcPr>
          <w:p w14:paraId="2BB15F15" w14:textId="77777777" w:rsidR="00BE39C5" w:rsidRPr="00075623" w:rsidRDefault="00BE39C5" w:rsidP="00C44C65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075623">
              <w:rPr>
                <w:rFonts w:ascii="Times New Roman" w:hAnsi="Times New Roman" w:cs="Times New Roman"/>
                <w:lang w:val="en-US"/>
              </w:rPr>
              <w:t>Operational Definition</w:t>
            </w:r>
          </w:p>
        </w:tc>
        <w:tc>
          <w:tcPr>
            <w:tcW w:w="800" w:type="dxa"/>
          </w:tcPr>
          <w:p w14:paraId="313D0324" w14:textId="3DAD2D7A" w:rsidR="00BE39C5" w:rsidRPr="00075623" w:rsidRDefault="00BE39C5" w:rsidP="00C44C65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7562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References</w:t>
            </w:r>
          </w:p>
        </w:tc>
        <w:tc>
          <w:tcPr>
            <w:tcW w:w="1316" w:type="dxa"/>
          </w:tcPr>
          <w:p w14:paraId="6F85C5EA" w14:textId="6808B60D" w:rsidR="00BE39C5" w:rsidRPr="00075623" w:rsidRDefault="00BE39C5" w:rsidP="00C44C65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075623">
              <w:rPr>
                <w:rFonts w:ascii="Times New Roman" w:hAnsi="Times New Roman" w:cs="Times New Roman"/>
                <w:lang w:val="en-US"/>
              </w:rPr>
              <w:t>Agreement</w:t>
            </w:r>
          </w:p>
        </w:tc>
      </w:tr>
      <w:tr w:rsidR="00BE39C5" w:rsidRPr="00075623" w14:paraId="65E58943" w14:textId="77777777" w:rsidTr="00CD6F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8" w:type="dxa"/>
          </w:tcPr>
          <w:p w14:paraId="685C47E3" w14:textId="77777777" w:rsidR="00BE39C5" w:rsidRPr="00075623" w:rsidRDefault="00BE39C5" w:rsidP="00C44C65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075623">
              <w:rPr>
                <w:rFonts w:ascii="Times New Roman" w:hAnsi="Times New Roman" w:cs="Times New Roman"/>
                <w:lang w:val="en-US"/>
              </w:rPr>
              <w:t>Transformation to blast phase</w:t>
            </w:r>
          </w:p>
        </w:tc>
        <w:tc>
          <w:tcPr>
            <w:tcW w:w="7629" w:type="dxa"/>
          </w:tcPr>
          <w:p w14:paraId="373EB84A" w14:textId="3D7998EA" w:rsidR="00BE39C5" w:rsidRPr="00075623" w:rsidRDefault="00EC233E" w:rsidP="00C44C6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2D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Circulating or bone marrow blasts 20%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or greater</w:t>
            </w:r>
          </w:p>
        </w:tc>
        <w:tc>
          <w:tcPr>
            <w:tcW w:w="800" w:type="dxa"/>
          </w:tcPr>
          <w:p w14:paraId="137CB414" w14:textId="444C177F" w:rsidR="00BE39C5" w:rsidRPr="00075623" w:rsidRDefault="00BE39C5" w:rsidP="00C44C6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7562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1-5</w:t>
            </w:r>
            <w:r w:rsidR="00846A8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,12</w:t>
            </w:r>
          </w:p>
        </w:tc>
        <w:tc>
          <w:tcPr>
            <w:tcW w:w="1316" w:type="dxa"/>
          </w:tcPr>
          <w:p w14:paraId="3F060B1F" w14:textId="0CAE3D92" w:rsidR="00BE39C5" w:rsidRPr="00075623" w:rsidRDefault="00BE39C5" w:rsidP="00C44C6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75623">
              <w:rPr>
                <w:rFonts w:ascii="Times New Roman" w:hAnsi="Times New Roman" w:cs="Times New Roman"/>
                <w:lang w:val="en-US"/>
              </w:rPr>
              <w:t>na</w:t>
            </w:r>
            <w:proofErr w:type="spellEnd"/>
          </w:p>
        </w:tc>
      </w:tr>
      <w:tr w:rsidR="00BE39C5" w:rsidRPr="00075623" w14:paraId="2E9DBC23" w14:textId="77777777" w:rsidTr="00CD6F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8" w:type="dxa"/>
          </w:tcPr>
          <w:p w14:paraId="31CFC9D9" w14:textId="77777777" w:rsidR="00BE39C5" w:rsidRPr="00075623" w:rsidRDefault="00BE39C5" w:rsidP="00C44C65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075623">
              <w:rPr>
                <w:rFonts w:ascii="Times New Roman" w:hAnsi="Times New Roman" w:cs="Times New Roman"/>
                <w:lang w:val="en-US"/>
              </w:rPr>
              <w:t>Transformation to accelerated phase</w:t>
            </w:r>
          </w:p>
        </w:tc>
        <w:tc>
          <w:tcPr>
            <w:tcW w:w="7629" w:type="dxa"/>
          </w:tcPr>
          <w:p w14:paraId="0B7F6300" w14:textId="6BFF4174" w:rsidR="00BE39C5" w:rsidRPr="00075623" w:rsidRDefault="00EC233E" w:rsidP="00C44C6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2D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Circulating or bone marrow blasts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10% or greater</w:t>
            </w:r>
          </w:p>
        </w:tc>
        <w:tc>
          <w:tcPr>
            <w:tcW w:w="800" w:type="dxa"/>
          </w:tcPr>
          <w:p w14:paraId="6D83AF4A" w14:textId="6BE420F3" w:rsidR="00BE39C5" w:rsidRPr="00075623" w:rsidRDefault="00BE39C5" w:rsidP="00C44C6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7562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1-5</w:t>
            </w:r>
            <w:r w:rsidR="00846A8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,12</w:t>
            </w:r>
          </w:p>
        </w:tc>
        <w:tc>
          <w:tcPr>
            <w:tcW w:w="1316" w:type="dxa"/>
          </w:tcPr>
          <w:p w14:paraId="424A11E8" w14:textId="321512EC" w:rsidR="00BE39C5" w:rsidRPr="00075623" w:rsidRDefault="00BE39C5" w:rsidP="00C44C6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075623">
              <w:rPr>
                <w:rFonts w:ascii="Times New Roman" w:hAnsi="Times New Roman" w:cs="Times New Roman"/>
                <w:lang w:val="en-US"/>
              </w:rPr>
              <w:t>100%</w:t>
            </w:r>
          </w:p>
        </w:tc>
      </w:tr>
      <w:tr w:rsidR="00BE39C5" w:rsidRPr="00075623" w14:paraId="3312C92E" w14:textId="77777777" w:rsidTr="00CD6F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8" w:type="dxa"/>
          </w:tcPr>
          <w:p w14:paraId="74474FCC" w14:textId="77777777" w:rsidR="00BE39C5" w:rsidRPr="00075623" w:rsidRDefault="00BE39C5" w:rsidP="00C44C65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075623">
              <w:rPr>
                <w:rFonts w:ascii="Times New Roman" w:hAnsi="Times New Roman" w:cs="Times New Roman"/>
                <w:lang w:val="en-US"/>
              </w:rPr>
              <w:t>Increasing circulating blast count</w:t>
            </w:r>
          </w:p>
        </w:tc>
        <w:tc>
          <w:tcPr>
            <w:tcW w:w="7629" w:type="dxa"/>
          </w:tcPr>
          <w:p w14:paraId="6ECD3114" w14:textId="77777777" w:rsidR="00BE39C5" w:rsidRPr="00075623" w:rsidRDefault="00BE39C5" w:rsidP="00C44C6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075623">
              <w:rPr>
                <w:rFonts w:ascii="Times New Roman" w:hAnsi="Times New Roman" w:cs="Times New Roman"/>
                <w:lang w:val="en-US"/>
              </w:rPr>
              <w:t>Circulating blasts to above 5% confirmed after 4 weeks with no therapy change</w:t>
            </w:r>
          </w:p>
        </w:tc>
        <w:tc>
          <w:tcPr>
            <w:tcW w:w="800" w:type="dxa"/>
          </w:tcPr>
          <w:p w14:paraId="48C1231F" w14:textId="513C14E4" w:rsidR="00BE39C5" w:rsidRPr="00075623" w:rsidRDefault="00BE39C5" w:rsidP="00C44C6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7562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316" w:type="dxa"/>
          </w:tcPr>
          <w:p w14:paraId="599B3A27" w14:textId="6FE895A1" w:rsidR="00BE39C5" w:rsidRPr="00075623" w:rsidRDefault="00BE39C5" w:rsidP="00C44C6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075623">
              <w:rPr>
                <w:rFonts w:ascii="Times New Roman" w:hAnsi="Times New Roman" w:cs="Times New Roman"/>
                <w:lang w:val="en-US"/>
              </w:rPr>
              <w:t>88%</w:t>
            </w:r>
          </w:p>
        </w:tc>
      </w:tr>
      <w:tr w:rsidR="00BE39C5" w:rsidRPr="00075623" w14:paraId="0925BF30" w14:textId="77777777" w:rsidTr="00CD6F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8" w:type="dxa"/>
          </w:tcPr>
          <w:p w14:paraId="72BCA979" w14:textId="77777777" w:rsidR="00BE39C5" w:rsidRPr="00075623" w:rsidRDefault="00BE39C5" w:rsidP="00C44C65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075623">
              <w:rPr>
                <w:rFonts w:ascii="Times New Roman" w:hAnsi="Times New Roman" w:cs="Times New Roman"/>
                <w:lang w:val="en-US"/>
              </w:rPr>
              <w:t>Transfusion-dependent anemia</w:t>
            </w:r>
          </w:p>
        </w:tc>
        <w:tc>
          <w:tcPr>
            <w:tcW w:w="7629" w:type="dxa"/>
          </w:tcPr>
          <w:p w14:paraId="4ABE76E6" w14:textId="77777777" w:rsidR="00BE39C5" w:rsidRPr="00075623" w:rsidRDefault="00BE39C5" w:rsidP="00C44C6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075623">
              <w:rPr>
                <w:rFonts w:ascii="Times New Roman" w:hAnsi="Times New Roman" w:cs="Times New Roman"/>
                <w:lang w:val="en-US"/>
              </w:rPr>
              <w:t xml:space="preserve">The persistent (&gt; 3 </w:t>
            </w:r>
            <w:proofErr w:type="spellStart"/>
            <w:r w:rsidRPr="00075623">
              <w:rPr>
                <w:rFonts w:ascii="Times New Roman" w:hAnsi="Times New Roman" w:cs="Times New Roman"/>
                <w:lang w:val="en-US"/>
              </w:rPr>
              <w:t>mo</w:t>
            </w:r>
            <w:proofErr w:type="spellEnd"/>
            <w:r w:rsidRPr="00075623">
              <w:rPr>
                <w:rFonts w:ascii="Times New Roman" w:hAnsi="Times New Roman" w:cs="Times New Roman"/>
                <w:lang w:val="en-US"/>
              </w:rPr>
              <w:t xml:space="preserve">) </w:t>
            </w:r>
            <w:proofErr w:type="gramStart"/>
            <w:r w:rsidRPr="00075623">
              <w:rPr>
                <w:rFonts w:ascii="Times New Roman" w:hAnsi="Times New Roman" w:cs="Times New Roman"/>
                <w:lang w:val="en-US"/>
              </w:rPr>
              <w:t>need of</w:t>
            </w:r>
            <w:proofErr w:type="gramEnd"/>
            <w:r w:rsidRPr="00075623">
              <w:rPr>
                <w:rFonts w:ascii="Times New Roman" w:hAnsi="Times New Roman" w:cs="Times New Roman"/>
                <w:lang w:val="en-US"/>
              </w:rPr>
              <w:t xml:space="preserve"> 2 or more packed red cell units per month</w:t>
            </w:r>
          </w:p>
        </w:tc>
        <w:tc>
          <w:tcPr>
            <w:tcW w:w="800" w:type="dxa"/>
          </w:tcPr>
          <w:p w14:paraId="5AE9EA53" w14:textId="08FA5C01" w:rsidR="00BE39C5" w:rsidRPr="00075623" w:rsidRDefault="00BE39C5" w:rsidP="00C44C6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7562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1316" w:type="dxa"/>
          </w:tcPr>
          <w:p w14:paraId="5A22EE88" w14:textId="346D29D0" w:rsidR="00BE39C5" w:rsidRPr="00075623" w:rsidRDefault="00BE39C5" w:rsidP="00C44C6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075623">
              <w:rPr>
                <w:rFonts w:ascii="Times New Roman" w:hAnsi="Times New Roman" w:cs="Times New Roman"/>
                <w:lang w:val="en-US"/>
              </w:rPr>
              <w:t>90%</w:t>
            </w:r>
          </w:p>
        </w:tc>
      </w:tr>
      <w:tr w:rsidR="00BE39C5" w:rsidRPr="00075623" w14:paraId="158FACAC" w14:textId="77777777" w:rsidTr="00CD6F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8" w:type="dxa"/>
          </w:tcPr>
          <w:p w14:paraId="08243782" w14:textId="77777777" w:rsidR="00BE39C5" w:rsidRPr="00075623" w:rsidRDefault="00BE39C5" w:rsidP="00C44C65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075623">
              <w:rPr>
                <w:rFonts w:ascii="Times New Roman" w:hAnsi="Times New Roman" w:cs="Times New Roman"/>
                <w:lang w:val="en-US"/>
              </w:rPr>
              <w:t>Severe anemia</w:t>
            </w:r>
          </w:p>
        </w:tc>
        <w:tc>
          <w:tcPr>
            <w:tcW w:w="7629" w:type="dxa"/>
          </w:tcPr>
          <w:p w14:paraId="70722A00" w14:textId="77777777" w:rsidR="00BE39C5" w:rsidRPr="00075623" w:rsidRDefault="00BE39C5" w:rsidP="00C44C6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075623">
              <w:rPr>
                <w:rFonts w:ascii="Times New Roman" w:hAnsi="Times New Roman" w:cs="Times New Roman"/>
                <w:lang w:val="en-US"/>
              </w:rPr>
              <w:t>Hemoglobin levels consistently below 8 g/dl in at least two tests and without any external cause</w:t>
            </w:r>
          </w:p>
        </w:tc>
        <w:tc>
          <w:tcPr>
            <w:tcW w:w="800" w:type="dxa"/>
          </w:tcPr>
          <w:p w14:paraId="611E38DA" w14:textId="07A8386E" w:rsidR="00BE39C5" w:rsidRPr="00075623" w:rsidRDefault="00BE39C5" w:rsidP="00C44C6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7562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</w:t>
            </w:r>
          </w:p>
        </w:tc>
        <w:tc>
          <w:tcPr>
            <w:tcW w:w="1316" w:type="dxa"/>
          </w:tcPr>
          <w:p w14:paraId="42A6D6EA" w14:textId="5ACF6338" w:rsidR="00BE39C5" w:rsidRPr="00075623" w:rsidRDefault="00BE39C5" w:rsidP="00C44C6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075623">
              <w:rPr>
                <w:rFonts w:ascii="Times New Roman" w:hAnsi="Times New Roman" w:cs="Times New Roman"/>
                <w:lang w:val="en-US"/>
              </w:rPr>
              <w:t>90%</w:t>
            </w:r>
          </w:p>
        </w:tc>
      </w:tr>
      <w:tr w:rsidR="00BE39C5" w:rsidRPr="00075623" w14:paraId="1C380D35" w14:textId="77777777" w:rsidTr="00CD6F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8" w:type="dxa"/>
          </w:tcPr>
          <w:p w14:paraId="43DFF7E9" w14:textId="77777777" w:rsidR="00BE39C5" w:rsidRPr="00075623" w:rsidRDefault="00BE39C5" w:rsidP="00C44C65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075623">
              <w:rPr>
                <w:rFonts w:ascii="Times New Roman" w:hAnsi="Times New Roman" w:cs="Times New Roman"/>
                <w:lang w:val="en-US"/>
              </w:rPr>
              <w:t>Worsening anemia</w:t>
            </w:r>
          </w:p>
        </w:tc>
        <w:tc>
          <w:tcPr>
            <w:tcW w:w="7629" w:type="dxa"/>
          </w:tcPr>
          <w:p w14:paraId="02366CAE" w14:textId="77777777" w:rsidR="00BE39C5" w:rsidRPr="00075623" w:rsidRDefault="00BE39C5" w:rsidP="00C44C6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vertAlign w:val="superscript"/>
                <w:lang w:val="en-US"/>
              </w:rPr>
            </w:pPr>
            <w:r w:rsidRPr="00075623">
              <w:rPr>
                <w:rFonts w:ascii="Times New Roman" w:hAnsi="Times New Roman" w:cs="Times New Roman"/>
                <w:lang w:val="en-US"/>
              </w:rPr>
              <w:t>Progressive and confirmed hemoglobin decline (in less than 12 months) by more than 2 g/dl to below 11 g/</w:t>
            </w:r>
            <w:proofErr w:type="spellStart"/>
            <w:r w:rsidRPr="00075623">
              <w:rPr>
                <w:rFonts w:ascii="Times New Roman" w:hAnsi="Times New Roman" w:cs="Times New Roman"/>
                <w:lang w:val="en-US"/>
              </w:rPr>
              <w:t>dl</w:t>
            </w:r>
            <w:r w:rsidRPr="00075623">
              <w:rPr>
                <w:rFonts w:ascii="Times New Roman" w:hAnsi="Times New Roman" w:cs="Times New Roman"/>
                <w:vertAlign w:val="superscript"/>
                <w:lang w:val="en-US"/>
              </w:rPr>
              <w:t>A</w:t>
            </w:r>
            <w:proofErr w:type="spellEnd"/>
          </w:p>
        </w:tc>
        <w:tc>
          <w:tcPr>
            <w:tcW w:w="800" w:type="dxa"/>
          </w:tcPr>
          <w:p w14:paraId="185B466C" w14:textId="5B8991ED" w:rsidR="00BE39C5" w:rsidRPr="00075623" w:rsidRDefault="00BE39C5" w:rsidP="00C44C6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7562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</w:t>
            </w:r>
          </w:p>
        </w:tc>
        <w:tc>
          <w:tcPr>
            <w:tcW w:w="1316" w:type="dxa"/>
          </w:tcPr>
          <w:p w14:paraId="39375EAE" w14:textId="5F77F768" w:rsidR="00BE39C5" w:rsidRPr="00075623" w:rsidRDefault="00BE39C5" w:rsidP="00C44C6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075623">
              <w:rPr>
                <w:rFonts w:ascii="Times New Roman" w:hAnsi="Times New Roman" w:cs="Times New Roman"/>
                <w:lang w:val="en-US"/>
              </w:rPr>
              <w:t>82%</w:t>
            </w:r>
          </w:p>
        </w:tc>
      </w:tr>
      <w:tr w:rsidR="00BE39C5" w:rsidRPr="00075623" w14:paraId="5BF0C156" w14:textId="77777777" w:rsidTr="00CD6F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8" w:type="dxa"/>
          </w:tcPr>
          <w:p w14:paraId="2D5F757C" w14:textId="77777777" w:rsidR="00BE39C5" w:rsidRPr="00075623" w:rsidRDefault="00BE39C5" w:rsidP="00C44C65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075623">
              <w:rPr>
                <w:rFonts w:ascii="Times New Roman" w:hAnsi="Times New Roman" w:cs="Times New Roman"/>
                <w:lang w:val="en-US"/>
              </w:rPr>
              <w:t>Severe thrombocytopenia</w:t>
            </w:r>
          </w:p>
        </w:tc>
        <w:tc>
          <w:tcPr>
            <w:tcW w:w="7629" w:type="dxa"/>
          </w:tcPr>
          <w:p w14:paraId="422AD79C" w14:textId="77777777" w:rsidR="00BE39C5" w:rsidRPr="00075623" w:rsidRDefault="00BE39C5" w:rsidP="00C44C6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075623">
              <w:rPr>
                <w:rFonts w:ascii="Times New Roman" w:hAnsi="Times New Roman" w:cs="Times New Roman"/>
                <w:lang w:val="en-US"/>
              </w:rPr>
              <w:t xml:space="preserve">Platelet </w:t>
            </w:r>
            <w:proofErr w:type="gramStart"/>
            <w:r w:rsidRPr="00075623">
              <w:rPr>
                <w:rFonts w:ascii="Times New Roman" w:hAnsi="Times New Roman" w:cs="Times New Roman"/>
                <w:lang w:val="en-US"/>
              </w:rPr>
              <w:t>count</w:t>
            </w:r>
            <w:proofErr w:type="gramEnd"/>
            <w:r w:rsidRPr="00075623">
              <w:rPr>
                <w:rFonts w:ascii="Times New Roman" w:hAnsi="Times New Roman" w:cs="Times New Roman"/>
                <w:lang w:val="en-US"/>
              </w:rPr>
              <w:t xml:space="preserve"> below 50.000/mmc in at least two tests and without any external cause</w:t>
            </w:r>
          </w:p>
        </w:tc>
        <w:tc>
          <w:tcPr>
            <w:tcW w:w="800" w:type="dxa"/>
          </w:tcPr>
          <w:p w14:paraId="7B8CDC25" w14:textId="4797FA3D" w:rsidR="00BE39C5" w:rsidRPr="00075623" w:rsidRDefault="00BE39C5" w:rsidP="00C44C6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7562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</w:t>
            </w:r>
          </w:p>
        </w:tc>
        <w:tc>
          <w:tcPr>
            <w:tcW w:w="1316" w:type="dxa"/>
          </w:tcPr>
          <w:p w14:paraId="54E47887" w14:textId="00A95775" w:rsidR="00BE39C5" w:rsidRPr="00075623" w:rsidRDefault="00BE39C5" w:rsidP="00C44C6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vertAlign w:val="superscript"/>
                <w:lang w:val="en-US"/>
              </w:rPr>
            </w:pPr>
            <w:r w:rsidRPr="00075623">
              <w:rPr>
                <w:rFonts w:ascii="Times New Roman" w:hAnsi="Times New Roman" w:cs="Times New Roman"/>
                <w:lang w:val="en-US"/>
              </w:rPr>
              <w:t>45%</w:t>
            </w:r>
            <w:r w:rsidRPr="00075623">
              <w:rPr>
                <w:rFonts w:ascii="Times New Roman" w:hAnsi="Times New Roman" w:cs="Times New Roman"/>
                <w:vertAlign w:val="superscript"/>
                <w:lang w:val="en-US"/>
              </w:rPr>
              <w:t>B</w:t>
            </w:r>
          </w:p>
        </w:tc>
      </w:tr>
      <w:tr w:rsidR="00BE39C5" w:rsidRPr="00075623" w14:paraId="48EC0B25" w14:textId="77777777" w:rsidTr="00CD6F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8" w:type="dxa"/>
          </w:tcPr>
          <w:p w14:paraId="3E35F3EF" w14:textId="77777777" w:rsidR="00BE39C5" w:rsidRPr="00075623" w:rsidRDefault="00BE39C5" w:rsidP="00C44C65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075623">
              <w:rPr>
                <w:rFonts w:ascii="Times New Roman" w:hAnsi="Times New Roman" w:cs="Times New Roman"/>
                <w:lang w:val="en-US"/>
              </w:rPr>
              <w:t>Severe splenomegaly</w:t>
            </w:r>
          </w:p>
        </w:tc>
        <w:tc>
          <w:tcPr>
            <w:tcW w:w="7629" w:type="dxa"/>
          </w:tcPr>
          <w:p w14:paraId="36DBDCAF" w14:textId="77777777" w:rsidR="00BE39C5" w:rsidRPr="00075623" w:rsidRDefault="00BE39C5" w:rsidP="00C44C6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075623">
              <w:rPr>
                <w:rFonts w:ascii="Times New Roman" w:hAnsi="Times New Roman" w:cs="Times New Roman"/>
                <w:lang w:val="en-US"/>
              </w:rPr>
              <w:t>Spleen volume above 1500 mm3, spleen diameter longer than 20 cm, palpatory spleen size more than 10 cm from left costal margin</w:t>
            </w:r>
          </w:p>
        </w:tc>
        <w:tc>
          <w:tcPr>
            <w:tcW w:w="800" w:type="dxa"/>
          </w:tcPr>
          <w:p w14:paraId="57603D04" w14:textId="24C8EB81" w:rsidR="00BE39C5" w:rsidRPr="00075623" w:rsidRDefault="00BE39C5" w:rsidP="00C44C6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7562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</w:p>
        </w:tc>
        <w:tc>
          <w:tcPr>
            <w:tcW w:w="1316" w:type="dxa"/>
          </w:tcPr>
          <w:p w14:paraId="4CC1FBF7" w14:textId="65E683EE" w:rsidR="00BE39C5" w:rsidRPr="00075623" w:rsidRDefault="00BE39C5" w:rsidP="00C44C6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vertAlign w:val="superscript"/>
                <w:lang w:val="en-US"/>
              </w:rPr>
            </w:pPr>
            <w:r w:rsidRPr="00075623">
              <w:rPr>
                <w:rFonts w:ascii="Times New Roman" w:hAnsi="Times New Roman" w:cs="Times New Roman"/>
                <w:lang w:val="en-US"/>
              </w:rPr>
              <w:t>82%</w:t>
            </w:r>
            <w:r w:rsidRPr="00075623">
              <w:rPr>
                <w:rFonts w:ascii="Times New Roman" w:hAnsi="Times New Roman" w:cs="Times New Roman"/>
                <w:vertAlign w:val="superscript"/>
                <w:lang w:val="en-US"/>
              </w:rPr>
              <w:t>C</w:t>
            </w:r>
          </w:p>
        </w:tc>
      </w:tr>
      <w:tr w:rsidR="00BE39C5" w:rsidRPr="00075623" w14:paraId="76C3D8F1" w14:textId="77777777" w:rsidTr="00CD6F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8" w:type="dxa"/>
          </w:tcPr>
          <w:p w14:paraId="2274712C" w14:textId="77777777" w:rsidR="00BE39C5" w:rsidRPr="00075623" w:rsidRDefault="00BE39C5" w:rsidP="00C44C65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075623">
              <w:rPr>
                <w:rFonts w:ascii="Times New Roman" w:hAnsi="Times New Roman" w:cs="Times New Roman"/>
                <w:lang w:val="en-US"/>
              </w:rPr>
              <w:t>Symptomatic splenomegaly</w:t>
            </w:r>
          </w:p>
        </w:tc>
        <w:tc>
          <w:tcPr>
            <w:tcW w:w="7629" w:type="dxa"/>
          </w:tcPr>
          <w:p w14:paraId="68265995" w14:textId="77777777" w:rsidR="00BE39C5" w:rsidRPr="00075623" w:rsidRDefault="00BE39C5" w:rsidP="00C44C6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075623">
              <w:rPr>
                <w:rFonts w:ascii="Times New Roman" w:hAnsi="Times New Roman" w:cs="Times New Roman"/>
                <w:lang w:val="en-US"/>
              </w:rPr>
              <w:t>Abdominal discomfort (MF-SAF v 2.0 score higher than 5) or early satiety (MF-SAF v 2.0 score higher than 5) associated accompanied by objective evidence of splenomegaly</w:t>
            </w:r>
          </w:p>
        </w:tc>
        <w:tc>
          <w:tcPr>
            <w:tcW w:w="800" w:type="dxa"/>
          </w:tcPr>
          <w:p w14:paraId="1BAAF822" w14:textId="440C7C31" w:rsidR="00BE39C5" w:rsidRPr="00075623" w:rsidRDefault="00BE39C5" w:rsidP="00C44C6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7562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</w:t>
            </w:r>
          </w:p>
        </w:tc>
        <w:tc>
          <w:tcPr>
            <w:tcW w:w="1316" w:type="dxa"/>
          </w:tcPr>
          <w:p w14:paraId="2F6953E2" w14:textId="2211B073" w:rsidR="00BE39C5" w:rsidRPr="00075623" w:rsidRDefault="00BE39C5" w:rsidP="00C44C6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075623">
              <w:rPr>
                <w:rFonts w:ascii="Times New Roman" w:hAnsi="Times New Roman" w:cs="Times New Roman"/>
                <w:lang w:val="en-US"/>
              </w:rPr>
              <w:t>91%</w:t>
            </w:r>
          </w:p>
        </w:tc>
      </w:tr>
      <w:tr w:rsidR="00BE39C5" w:rsidRPr="00075623" w14:paraId="47DC0E02" w14:textId="77777777" w:rsidTr="00CD6F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8" w:type="dxa"/>
          </w:tcPr>
          <w:p w14:paraId="52669F91" w14:textId="77777777" w:rsidR="00BE39C5" w:rsidRPr="00075623" w:rsidRDefault="00BE39C5" w:rsidP="00C44C65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075623">
              <w:rPr>
                <w:rFonts w:ascii="Times New Roman" w:hAnsi="Times New Roman" w:cs="Times New Roman"/>
                <w:lang w:val="en-US"/>
              </w:rPr>
              <w:t>Worsening splenomegaly</w:t>
            </w:r>
          </w:p>
        </w:tc>
        <w:tc>
          <w:tcPr>
            <w:tcW w:w="7629" w:type="dxa"/>
          </w:tcPr>
          <w:p w14:paraId="46046DFE" w14:textId="77777777" w:rsidR="00BE39C5" w:rsidRPr="00075623" w:rsidRDefault="00BE39C5" w:rsidP="00C44C6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075623">
              <w:rPr>
                <w:rFonts w:ascii="Times New Roman" w:hAnsi="Times New Roman" w:cs="Times New Roman"/>
                <w:lang w:val="en-US"/>
              </w:rPr>
              <w:t>Increased spleen palpatory size from left costal margin by more than 5 cm or spleen volume increase by more than 35%</w:t>
            </w:r>
          </w:p>
        </w:tc>
        <w:tc>
          <w:tcPr>
            <w:tcW w:w="800" w:type="dxa"/>
          </w:tcPr>
          <w:p w14:paraId="0FA1279D" w14:textId="2E052EA8" w:rsidR="00BE39C5" w:rsidRPr="00075623" w:rsidRDefault="00BE39C5" w:rsidP="00C44C6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7562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</w:p>
        </w:tc>
        <w:tc>
          <w:tcPr>
            <w:tcW w:w="1316" w:type="dxa"/>
          </w:tcPr>
          <w:p w14:paraId="1DD9CEB7" w14:textId="08FDE75A" w:rsidR="00BE39C5" w:rsidRPr="00075623" w:rsidRDefault="00BE39C5" w:rsidP="00C44C6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vertAlign w:val="superscript"/>
                <w:lang w:val="en-US"/>
              </w:rPr>
            </w:pPr>
            <w:r w:rsidRPr="00075623">
              <w:rPr>
                <w:rFonts w:ascii="Times New Roman" w:hAnsi="Times New Roman" w:cs="Times New Roman"/>
                <w:lang w:val="en-US"/>
              </w:rPr>
              <w:t>82%</w:t>
            </w:r>
            <w:r w:rsidRPr="00075623">
              <w:rPr>
                <w:rFonts w:ascii="Times New Roman" w:hAnsi="Times New Roman" w:cs="Times New Roman"/>
                <w:vertAlign w:val="superscript"/>
                <w:lang w:val="en-US"/>
              </w:rPr>
              <w:t>D</w:t>
            </w:r>
          </w:p>
        </w:tc>
      </w:tr>
      <w:tr w:rsidR="00BE39C5" w:rsidRPr="00075623" w14:paraId="165E79CB" w14:textId="77777777" w:rsidTr="00CD6F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8" w:type="dxa"/>
          </w:tcPr>
          <w:p w14:paraId="60124029" w14:textId="77777777" w:rsidR="00BE39C5" w:rsidRPr="00075623" w:rsidRDefault="00BE39C5" w:rsidP="00C44C65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bookmarkStart w:id="0" w:name="_Hlk176056246"/>
            <w:r w:rsidRPr="00075623">
              <w:rPr>
                <w:rFonts w:ascii="Times New Roman" w:hAnsi="Times New Roman" w:cs="Times New Roman"/>
                <w:lang w:val="en-US"/>
              </w:rPr>
              <w:t>Very severe symptom burden</w:t>
            </w:r>
          </w:p>
        </w:tc>
        <w:tc>
          <w:tcPr>
            <w:tcW w:w="7629" w:type="dxa"/>
          </w:tcPr>
          <w:p w14:paraId="37345224" w14:textId="77777777" w:rsidR="00BE39C5" w:rsidRPr="00075623" w:rsidRDefault="00BE39C5" w:rsidP="00C44C6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075623">
              <w:rPr>
                <w:rFonts w:ascii="Times New Roman" w:hAnsi="Times New Roman" w:cs="Times New Roman"/>
                <w:lang w:val="en-US"/>
              </w:rPr>
              <w:t xml:space="preserve">MF-SAF v 2.0 above 40 or at least 3 dimensions higher than 7 </w:t>
            </w:r>
          </w:p>
        </w:tc>
        <w:tc>
          <w:tcPr>
            <w:tcW w:w="800" w:type="dxa"/>
          </w:tcPr>
          <w:p w14:paraId="2FDF0846" w14:textId="60CD4C81" w:rsidR="00BE39C5" w:rsidRPr="00075623" w:rsidRDefault="00BE39C5" w:rsidP="00C44C6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7562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11</w:t>
            </w:r>
          </w:p>
        </w:tc>
        <w:tc>
          <w:tcPr>
            <w:tcW w:w="1316" w:type="dxa"/>
          </w:tcPr>
          <w:p w14:paraId="4BABBC2A" w14:textId="34796330" w:rsidR="00BE39C5" w:rsidRPr="00075623" w:rsidRDefault="00BE39C5" w:rsidP="00C44C6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vertAlign w:val="superscript"/>
                <w:lang w:val="en-US"/>
              </w:rPr>
            </w:pPr>
            <w:r w:rsidRPr="00075623">
              <w:rPr>
                <w:rFonts w:ascii="Times New Roman" w:hAnsi="Times New Roman" w:cs="Times New Roman"/>
                <w:lang w:val="en-US"/>
              </w:rPr>
              <w:t>80-91%</w:t>
            </w:r>
            <w:r w:rsidRPr="00075623">
              <w:rPr>
                <w:rFonts w:ascii="Times New Roman" w:hAnsi="Times New Roman" w:cs="Times New Roman"/>
                <w:vertAlign w:val="superscript"/>
                <w:lang w:val="en-US"/>
              </w:rPr>
              <w:t>E</w:t>
            </w:r>
          </w:p>
        </w:tc>
      </w:tr>
      <w:tr w:rsidR="00BE39C5" w:rsidRPr="00075623" w14:paraId="742D565E" w14:textId="77777777" w:rsidTr="00CD6F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8" w:type="dxa"/>
          </w:tcPr>
          <w:p w14:paraId="41730EC1" w14:textId="77777777" w:rsidR="00BE39C5" w:rsidRPr="00075623" w:rsidRDefault="00BE39C5" w:rsidP="00C44C65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075623">
              <w:rPr>
                <w:rFonts w:ascii="Times New Roman" w:hAnsi="Times New Roman" w:cs="Times New Roman"/>
                <w:lang w:val="en-US"/>
              </w:rPr>
              <w:t>Severe symptom burden</w:t>
            </w:r>
          </w:p>
        </w:tc>
        <w:tc>
          <w:tcPr>
            <w:tcW w:w="7629" w:type="dxa"/>
          </w:tcPr>
          <w:p w14:paraId="7609C9D1" w14:textId="77777777" w:rsidR="00BE39C5" w:rsidRPr="00075623" w:rsidRDefault="00BE39C5" w:rsidP="00C44C6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075623">
              <w:rPr>
                <w:rFonts w:ascii="Times New Roman" w:hAnsi="Times New Roman" w:cs="Times New Roman"/>
                <w:lang w:val="en-US"/>
              </w:rPr>
              <w:t>MF-SAF v 2.0 above 30 or at least 2 dimensions higher than 7</w:t>
            </w:r>
          </w:p>
        </w:tc>
        <w:tc>
          <w:tcPr>
            <w:tcW w:w="800" w:type="dxa"/>
          </w:tcPr>
          <w:p w14:paraId="1C95D8E0" w14:textId="07405BCB" w:rsidR="00BE39C5" w:rsidRPr="00075623" w:rsidRDefault="00BE39C5" w:rsidP="00C44C6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7562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</w:t>
            </w:r>
          </w:p>
        </w:tc>
        <w:tc>
          <w:tcPr>
            <w:tcW w:w="1316" w:type="dxa"/>
          </w:tcPr>
          <w:p w14:paraId="6B7149E9" w14:textId="1A4D251F" w:rsidR="00BE39C5" w:rsidRPr="00075623" w:rsidRDefault="00BE39C5" w:rsidP="00C44C6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075623">
              <w:rPr>
                <w:rFonts w:ascii="Times New Roman" w:hAnsi="Times New Roman" w:cs="Times New Roman"/>
                <w:lang w:val="en-US"/>
              </w:rPr>
              <w:t>75-91%</w:t>
            </w:r>
          </w:p>
        </w:tc>
      </w:tr>
      <w:tr w:rsidR="00BE39C5" w:rsidRPr="00075623" w14:paraId="2ACA22B6" w14:textId="77777777" w:rsidTr="00CD6F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8" w:type="dxa"/>
          </w:tcPr>
          <w:p w14:paraId="0A57558E" w14:textId="77777777" w:rsidR="00BE39C5" w:rsidRPr="00075623" w:rsidRDefault="00BE39C5" w:rsidP="00C44C65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075623">
              <w:rPr>
                <w:rFonts w:ascii="Times New Roman" w:hAnsi="Times New Roman" w:cs="Times New Roman"/>
                <w:lang w:val="en-US"/>
              </w:rPr>
              <w:lastRenderedPageBreak/>
              <w:t>Worsening symptom burden</w:t>
            </w:r>
          </w:p>
        </w:tc>
        <w:tc>
          <w:tcPr>
            <w:tcW w:w="7629" w:type="dxa"/>
          </w:tcPr>
          <w:p w14:paraId="5379D05F" w14:textId="77777777" w:rsidR="00BE39C5" w:rsidRPr="00075623" w:rsidRDefault="00BE39C5" w:rsidP="00C44C6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vertAlign w:val="superscript"/>
                <w:lang w:val="en-US"/>
              </w:rPr>
            </w:pPr>
            <w:r w:rsidRPr="00075623">
              <w:rPr>
                <w:rFonts w:ascii="Times New Roman" w:hAnsi="Times New Roman" w:cs="Times New Roman"/>
                <w:lang w:val="en-US"/>
              </w:rPr>
              <w:t>MF-SAF v 2.0 increasing by more than 50% (</w:t>
            </w:r>
            <w:proofErr w:type="gramStart"/>
            <w:r w:rsidRPr="00075623">
              <w:rPr>
                <w:rFonts w:ascii="Times New Roman" w:hAnsi="Times New Roman" w:cs="Times New Roman"/>
                <w:lang w:val="en-US"/>
              </w:rPr>
              <w:t>or  by</w:t>
            </w:r>
            <w:proofErr w:type="gramEnd"/>
            <w:r w:rsidRPr="00075623">
              <w:rPr>
                <w:rFonts w:ascii="Times New Roman" w:hAnsi="Times New Roman" w:cs="Times New Roman"/>
                <w:lang w:val="en-US"/>
              </w:rPr>
              <w:t xml:space="preserve">  &gt; 10 </w:t>
            </w:r>
            <w:r w:rsidRPr="00075623">
              <w:rPr>
                <w:rStyle w:val="Rimandonotaapidipagina"/>
                <w:rFonts w:ascii="Times New Roman" w:hAnsi="Times New Roman" w:cs="Times New Roman"/>
                <w:lang w:val="en-US"/>
              </w:rPr>
              <w:footnoteReference w:id="1"/>
            </w:r>
            <w:r w:rsidRPr="00075623">
              <w:rPr>
                <w:rFonts w:ascii="Times New Roman" w:hAnsi="Times New Roman" w:cs="Times New Roman"/>
                <w:lang w:val="en-US"/>
              </w:rPr>
              <w:t xml:space="preserve">points) </w:t>
            </w:r>
            <w:r w:rsidRPr="00075623">
              <w:rPr>
                <w:rFonts w:ascii="Times New Roman" w:hAnsi="Times New Roman" w:cs="Times New Roman"/>
                <w:vertAlign w:val="superscript"/>
                <w:lang w:val="en-US"/>
              </w:rPr>
              <w:t>F</w:t>
            </w:r>
          </w:p>
        </w:tc>
        <w:tc>
          <w:tcPr>
            <w:tcW w:w="800" w:type="dxa"/>
          </w:tcPr>
          <w:p w14:paraId="15F3092F" w14:textId="5CE42099" w:rsidR="00BE39C5" w:rsidRPr="00075623" w:rsidRDefault="00BE39C5" w:rsidP="00C44C6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7562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9,13,14</w:t>
            </w:r>
          </w:p>
        </w:tc>
        <w:tc>
          <w:tcPr>
            <w:tcW w:w="1316" w:type="dxa"/>
          </w:tcPr>
          <w:p w14:paraId="4E584133" w14:textId="3BADCF35" w:rsidR="00BE39C5" w:rsidRPr="00075623" w:rsidRDefault="00BE39C5" w:rsidP="00C44C6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075623">
              <w:rPr>
                <w:rFonts w:ascii="Times New Roman" w:hAnsi="Times New Roman" w:cs="Times New Roman"/>
                <w:lang w:val="en-US"/>
              </w:rPr>
              <w:t>73-91%</w:t>
            </w:r>
          </w:p>
        </w:tc>
      </w:tr>
      <w:bookmarkEnd w:id="0"/>
      <w:tr w:rsidR="00BE39C5" w:rsidRPr="00075623" w14:paraId="1599EFDD" w14:textId="77777777" w:rsidTr="00CD6F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8" w:type="dxa"/>
          </w:tcPr>
          <w:p w14:paraId="27A26A26" w14:textId="77777777" w:rsidR="00BE39C5" w:rsidRPr="00075623" w:rsidRDefault="00BE39C5" w:rsidP="00C44C65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075623">
              <w:rPr>
                <w:rFonts w:ascii="Times New Roman" w:hAnsi="Times New Roman" w:cs="Times New Roman"/>
                <w:lang w:val="en-US"/>
              </w:rPr>
              <w:t>Severe thrombotic event</w:t>
            </w:r>
          </w:p>
        </w:tc>
        <w:tc>
          <w:tcPr>
            <w:tcW w:w="7629" w:type="dxa"/>
          </w:tcPr>
          <w:p w14:paraId="1CCEF8F7" w14:textId="77777777" w:rsidR="00BE39C5" w:rsidRPr="00075623" w:rsidRDefault="00BE39C5" w:rsidP="00C44C6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075623">
              <w:rPr>
                <w:rFonts w:ascii="Times New Roman" w:hAnsi="Times New Roman" w:cs="Times New Roman"/>
                <w:lang w:val="en-US"/>
              </w:rPr>
              <w:t>Stroke or pulmonary embolism</w:t>
            </w:r>
          </w:p>
        </w:tc>
        <w:tc>
          <w:tcPr>
            <w:tcW w:w="800" w:type="dxa"/>
          </w:tcPr>
          <w:p w14:paraId="43D2FD89" w14:textId="0506C202" w:rsidR="00BE39C5" w:rsidRPr="00075623" w:rsidRDefault="00BE39C5" w:rsidP="00C44C6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7562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15</w:t>
            </w:r>
          </w:p>
        </w:tc>
        <w:tc>
          <w:tcPr>
            <w:tcW w:w="1316" w:type="dxa"/>
          </w:tcPr>
          <w:p w14:paraId="54A9EA9A" w14:textId="27B41D41" w:rsidR="00BE39C5" w:rsidRPr="00075623" w:rsidRDefault="00BE39C5" w:rsidP="00C44C6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75623">
              <w:rPr>
                <w:rFonts w:ascii="Times New Roman" w:hAnsi="Times New Roman" w:cs="Times New Roman"/>
                <w:lang w:val="en-US"/>
              </w:rPr>
              <w:t>na</w:t>
            </w:r>
            <w:proofErr w:type="spellEnd"/>
          </w:p>
        </w:tc>
      </w:tr>
      <w:tr w:rsidR="00BE39C5" w:rsidRPr="00075623" w14:paraId="34FAD0FE" w14:textId="77777777" w:rsidTr="00CD6F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8" w:type="dxa"/>
          </w:tcPr>
          <w:p w14:paraId="4D93A390" w14:textId="77777777" w:rsidR="00BE39C5" w:rsidRPr="00075623" w:rsidRDefault="00BE39C5" w:rsidP="00C44C65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075623">
              <w:rPr>
                <w:rFonts w:ascii="Times New Roman" w:hAnsi="Times New Roman" w:cs="Times New Roman"/>
                <w:lang w:val="en-US"/>
              </w:rPr>
              <w:t>Major thrombotic events</w:t>
            </w:r>
          </w:p>
        </w:tc>
        <w:tc>
          <w:tcPr>
            <w:tcW w:w="7629" w:type="dxa"/>
          </w:tcPr>
          <w:p w14:paraId="33F6A095" w14:textId="77777777" w:rsidR="00BE39C5" w:rsidRPr="00075623" w:rsidRDefault="00BE39C5" w:rsidP="00C44C6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075623">
              <w:rPr>
                <w:rFonts w:ascii="Times New Roman" w:hAnsi="Times New Roman" w:cs="Times New Roman"/>
                <w:lang w:val="en-US"/>
              </w:rPr>
              <w:t>Myocardial infarction or deep venous thrombosis</w:t>
            </w:r>
          </w:p>
        </w:tc>
        <w:tc>
          <w:tcPr>
            <w:tcW w:w="800" w:type="dxa"/>
          </w:tcPr>
          <w:p w14:paraId="33EDEAE7" w14:textId="0B642269" w:rsidR="00BE39C5" w:rsidRPr="00075623" w:rsidRDefault="00BE39C5" w:rsidP="00C44C6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7562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15</w:t>
            </w:r>
          </w:p>
        </w:tc>
        <w:tc>
          <w:tcPr>
            <w:tcW w:w="1316" w:type="dxa"/>
          </w:tcPr>
          <w:p w14:paraId="6EBBC829" w14:textId="10555015" w:rsidR="00BE39C5" w:rsidRPr="00075623" w:rsidRDefault="00BE39C5" w:rsidP="00C44C6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75623">
              <w:rPr>
                <w:rFonts w:ascii="Times New Roman" w:hAnsi="Times New Roman" w:cs="Times New Roman"/>
                <w:lang w:val="en-US"/>
              </w:rPr>
              <w:t>na</w:t>
            </w:r>
            <w:proofErr w:type="spellEnd"/>
          </w:p>
        </w:tc>
      </w:tr>
      <w:tr w:rsidR="00BE39C5" w:rsidRPr="00075623" w14:paraId="138EAB28" w14:textId="77777777" w:rsidTr="00CD6F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8" w:type="dxa"/>
          </w:tcPr>
          <w:p w14:paraId="1530831B" w14:textId="77777777" w:rsidR="00BE39C5" w:rsidRPr="00075623" w:rsidRDefault="00BE39C5" w:rsidP="00C44C65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075623">
              <w:rPr>
                <w:rFonts w:ascii="Times New Roman" w:hAnsi="Times New Roman" w:cs="Times New Roman"/>
                <w:lang w:val="en-US"/>
              </w:rPr>
              <w:t>Major bleeding events</w:t>
            </w:r>
          </w:p>
        </w:tc>
        <w:tc>
          <w:tcPr>
            <w:tcW w:w="7629" w:type="dxa"/>
          </w:tcPr>
          <w:p w14:paraId="01226CB1" w14:textId="77777777" w:rsidR="00BE39C5" w:rsidRPr="00075623" w:rsidRDefault="00BE39C5" w:rsidP="00C44C6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075623">
              <w:rPr>
                <w:rFonts w:ascii="Times New Roman" w:hAnsi="Times New Roman" w:cs="Times New Roman"/>
                <w:lang w:val="en-US"/>
              </w:rPr>
              <w:t>ISTH definition of major bleeding in non-surgical patients = symptomatic bleeding at critical sites -- intracranial intraspinal, intraocular, retroperitoneal, intra-articular, pericardial, intra-muscle with compartment syndrome -- and/or causing hemoglobin fall by &gt;2 g/dl or need for blood transfusions</w:t>
            </w:r>
          </w:p>
        </w:tc>
        <w:tc>
          <w:tcPr>
            <w:tcW w:w="800" w:type="dxa"/>
          </w:tcPr>
          <w:p w14:paraId="09786F74" w14:textId="690AB1AC" w:rsidR="00BE39C5" w:rsidRPr="00075623" w:rsidRDefault="00BE39C5" w:rsidP="00C44C6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075623">
              <w:rPr>
                <w:rFonts w:ascii="Times New Roman" w:hAnsi="Times New Roman" w:cs="Times New Roman"/>
                <w:lang w:val="en-US"/>
              </w:rPr>
              <w:t>16</w:t>
            </w:r>
          </w:p>
        </w:tc>
        <w:tc>
          <w:tcPr>
            <w:tcW w:w="1316" w:type="dxa"/>
          </w:tcPr>
          <w:p w14:paraId="2D32DE80" w14:textId="49597F60" w:rsidR="00BE39C5" w:rsidRPr="00075623" w:rsidRDefault="00BE39C5" w:rsidP="00C44C6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75623">
              <w:rPr>
                <w:rFonts w:ascii="Times New Roman" w:hAnsi="Times New Roman" w:cs="Times New Roman"/>
                <w:lang w:val="en-US"/>
              </w:rPr>
              <w:t>na</w:t>
            </w:r>
            <w:proofErr w:type="spellEnd"/>
          </w:p>
        </w:tc>
      </w:tr>
      <w:tr w:rsidR="00BE39C5" w:rsidRPr="00075623" w14:paraId="642789FE" w14:textId="77777777" w:rsidTr="00CD6F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8" w:type="dxa"/>
          </w:tcPr>
          <w:p w14:paraId="6348E6C6" w14:textId="77777777" w:rsidR="00BE39C5" w:rsidRPr="00075623" w:rsidRDefault="00BE39C5" w:rsidP="00C44C65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075623">
              <w:rPr>
                <w:rFonts w:ascii="Times New Roman" w:hAnsi="Times New Roman" w:cs="Times New Roman"/>
                <w:lang w:val="en-US"/>
              </w:rPr>
              <w:t>Breakthrough adverse genetic features</w:t>
            </w:r>
          </w:p>
        </w:tc>
        <w:tc>
          <w:tcPr>
            <w:tcW w:w="7629" w:type="dxa"/>
          </w:tcPr>
          <w:p w14:paraId="7ECA15D3" w14:textId="77777777" w:rsidR="00BE39C5" w:rsidRPr="00075623" w:rsidRDefault="00BE39C5" w:rsidP="00C44C6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075623">
              <w:rPr>
                <w:rFonts w:ascii="Times New Roman" w:hAnsi="Times New Roman" w:cs="Times New Roman"/>
                <w:lang w:val="en-US"/>
              </w:rPr>
              <w:t xml:space="preserve">New detection of </w:t>
            </w:r>
            <w:proofErr w:type="gramStart"/>
            <w:r w:rsidRPr="00075623">
              <w:rPr>
                <w:rFonts w:ascii="Times New Roman" w:hAnsi="Times New Roman" w:cs="Times New Roman"/>
                <w:lang w:val="en-US"/>
              </w:rPr>
              <w:t>high risk</w:t>
            </w:r>
            <w:proofErr w:type="gramEnd"/>
            <w:r w:rsidRPr="00075623">
              <w:rPr>
                <w:rFonts w:ascii="Times New Roman" w:hAnsi="Times New Roman" w:cs="Times New Roman"/>
                <w:lang w:val="en-US"/>
              </w:rPr>
              <w:t xml:space="preserve"> mutations or prognostically unfavorable karyotype changes</w:t>
            </w:r>
          </w:p>
        </w:tc>
        <w:tc>
          <w:tcPr>
            <w:tcW w:w="800" w:type="dxa"/>
          </w:tcPr>
          <w:p w14:paraId="164DAB99" w14:textId="0710E021" w:rsidR="00BE39C5" w:rsidRPr="00075623" w:rsidRDefault="00BE39C5" w:rsidP="00C44C6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075623">
              <w:rPr>
                <w:rFonts w:ascii="Times New Roman" w:hAnsi="Times New Roman" w:cs="Times New Roman"/>
                <w:lang w:val="en-US"/>
              </w:rPr>
              <w:t>17-19</w:t>
            </w:r>
          </w:p>
        </w:tc>
        <w:tc>
          <w:tcPr>
            <w:tcW w:w="1316" w:type="dxa"/>
          </w:tcPr>
          <w:p w14:paraId="3C500047" w14:textId="6C5865FE" w:rsidR="00BE39C5" w:rsidRPr="00075623" w:rsidRDefault="00BE39C5" w:rsidP="00C44C6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75623">
              <w:rPr>
                <w:rFonts w:ascii="Times New Roman" w:hAnsi="Times New Roman" w:cs="Times New Roman"/>
                <w:lang w:val="en-US"/>
              </w:rPr>
              <w:t>na</w:t>
            </w:r>
            <w:proofErr w:type="spellEnd"/>
          </w:p>
        </w:tc>
      </w:tr>
    </w:tbl>
    <w:p w14:paraId="2B526C4F" w14:textId="77777777" w:rsidR="00C44C65" w:rsidRPr="00075623" w:rsidRDefault="00C44C65" w:rsidP="00464CE1">
      <w:pPr>
        <w:spacing w:line="240" w:lineRule="auto"/>
        <w:jc w:val="both"/>
        <w:rPr>
          <w:rFonts w:ascii="Times New Roman" w:hAnsi="Times New Roman" w:cs="Times New Roman"/>
          <w:sz w:val="14"/>
          <w:szCs w:val="14"/>
          <w:lang w:val="en-US"/>
        </w:rPr>
      </w:pPr>
    </w:p>
    <w:p w14:paraId="0E7B5E02" w14:textId="77777777" w:rsidR="00C44C65" w:rsidRPr="00075623" w:rsidRDefault="00464CE1" w:rsidP="00C44C65">
      <w:pPr>
        <w:spacing w:line="276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075623">
        <w:rPr>
          <w:rFonts w:ascii="Times New Roman" w:hAnsi="Times New Roman" w:cs="Times New Roman"/>
          <w:sz w:val="16"/>
          <w:szCs w:val="16"/>
          <w:lang w:val="en-US"/>
        </w:rPr>
        <w:t xml:space="preserve">Legend to the table:  </w:t>
      </w:r>
    </w:p>
    <w:p w14:paraId="5BE5CC2F" w14:textId="1411EB44" w:rsidR="00464CE1" w:rsidRPr="00075623" w:rsidRDefault="00464CE1" w:rsidP="00C44C65">
      <w:pPr>
        <w:spacing w:line="276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proofErr w:type="spellStart"/>
      <w:r w:rsidRPr="00075623">
        <w:rPr>
          <w:rFonts w:ascii="Times New Roman" w:hAnsi="Times New Roman" w:cs="Times New Roman"/>
          <w:sz w:val="16"/>
          <w:szCs w:val="16"/>
          <w:lang w:val="en-US"/>
        </w:rPr>
        <w:t>na</w:t>
      </w:r>
      <w:proofErr w:type="spellEnd"/>
      <w:r w:rsidRPr="00075623">
        <w:rPr>
          <w:rFonts w:ascii="Times New Roman" w:hAnsi="Times New Roman" w:cs="Times New Roman"/>
          <w:sz w:val="16"/>
          <w:szCs w:val="16"/>
          <w:lang w:val="en-US"/>
        </w:rPr>
        <w:t xml:space="preserve"> = not assessed A) definition refined by time and threshold benchmarks approved during May 27</w:t>
      </w:r>
      <w:r w:rsidRPr="00075623">
        <w:rPr>
          <w:rFonts w:ascii="Times New Roman" w:hAnsi="Times New Roman" w:cs="Times New Roman"/>
          <w:sz w:val="16"/>
          <w:szCs w:val="16"/>
          <w:vertAlign w:val="superscript"/>
          <w:lang w:val="en-US"/>
        </w:rPr>
        <w:t>th</w:t>
      </w:r>
      <w:r w:rsidRPr="00075623">
        <w:rPr>
          <w:rFonts w:ascii="Times New Roman" w:hAnsi="Times New Roman" w:cs="Times New Roman"/>
          <w:sz w:val="16"/>
          <w:szCs w:val="16"/>
          <w:lang w:val="en-US"/>
        </w:rPr>
        <w:t xml:space="preserve"> meeting: standard IWG-MRT response criteria were mirrored in the definition of worsening anemia and based on CTCAE definition of anemia severity.  B) revised and discussed on May 27</w:t>
      </w:r>
      <w:r w:rsidRPr="00075623">
        <w:rPr>
          <w:rFonts w:ascii="Times New Roman" w:hAnsi="Times New Roman" w:cs="Times New Roman"/>
          <w:sz w:val="16"/>
          <w:szCs w:val="16"/>
          <w:vertAlign w:val="superscript"/>
          <w:lang w:val="en-US"/>
        </w:rPr>
        <w:t>th</w:t>
      </w:r>
      <w:r w:rsidRPr="00075623">
        <w:rPr>
          <w:rFonts w:ascii="Times New Roman" w:hAnsi="Times New Roman" w:cs="Times New Roman"/>
          <w:sz w:val="16"/>
          <w:szCs w:val="16"/>
          <w:lang w:val="en-US"/>
        </w:rPr>
        <w:t xml:space="preserve"> virtual meeting to keep consistency with CTCAE and eligibility criteria to </w:t>
      </w:r>
      <w:proofErr w:type="spellStart"/>
      <w:r w:rsidRPr="00075623">
        <w:rPr>
          <w:rFonts w:ascii="Times New Roman" w:hAnsi="Times New Roman" w:cs="Times New Roman"/>
          <w:sz w:val="16"/>
          <w:szCs w:val="16"/>
          <w:lang w:val="en-US"/>
        </w:rPr>
        <w:t>pacritinib</w:t>
      </w:r>
      <w:proofErr w:type="spellEnd"/>
      <w:r w:rsidRPr="00075623">
        <w:rPr>
          <w:rFonts w:ascii="Times New Roman" w:hAnsi="Times New Roman" w:cs="Times New Roman"/>
          <w:sz w:val="16"/>
          <w:szCs w:val="16"/>
          <w:lang w:val="en-US"/>
        </w:rPr>
        <w:t xml:space="preserve"> clinical trials (and exclusion criteria to other clinical trials).  C) each of the merged </w:t>
      </w:r>
      <w:proofErr w:type="gramStart"/>
      <w:r w:rsidRPr="00075623">
        <w:rPr>
          <w:rFonts w:ascii="Times New Roman" w:hAnsi="Times New Roman" w:cs="Times New Roman"/>
          <w:sz w:val="16"/>
          <w:szCs w:val="16"/>
          <w:lang w:val="en-US"/>
        </w:rPr>
        <w:t>definition</w:t>
      </w:r>
      <w:proofErr w:type="gramEnd"/>
      <w:r w:rsidRPr="00075623">
        <w:rPr>
          <w:rFonts w:ascii="Times New Roman" w:hAnsi="Times New Roman" w:cs="Times New Roman"/>
          <w:sz w:val="16"/>
          <w:szCs w:val="16"/>
          <w:lang w:val="en-US"/>
        </w:rPr>
        <w:t xml:space="preserve"> received 82% approval. D) 73% of the </w:t>
      </w:r>
      <w:proofErr w:type="spellStart"/>
      <w:r w:rsidRPr="00075623">
        <w:rPr>
          <w:rFonts w:ascii="Times New Roman" w:hAnsi="Times New Roman" w:cs="Times New Roman"/>
          <w:sz w:val="16"/>
          <w:szCs w:val="16"/>
          <w:lang w:val="en-US"/>
        </w:rPr>
        <w:t>pannelists</w:t>
      </w:r>
      <w:proofErr w:type="spellEnd"/>
      <w:r w:rsidRPr="00075623">
        <w:rPr>
          <w:rFonts w:ascii="Times New Roman" w:hAnsi="Times New Roman" w:cs="Times New Roman"/>
          <w:sz w:val="16"/>
          <w:szCs w:val="16"/>
          <w:lang w:val="en-US"/>
        </w:rPr>
        <w:t xml:space="preserve"> also agreed that a 20% increase of spleen volume or a 5 cm worsening of longitudinal spleen diameter at ultrasound were a clinically relevant worsening. E</w:t>
      </w:r>
      <w:proofErr w:type="gramStart"/>
      <w:r w:rsidRPr="00075623">
        <w:rPr>
          <w:rFonts w:ascii="Times New Roman" w:hAnsi="Times New Roman" w:cs="Times New Roman"/>
          <w:sz w:val="16"/>
          <w:szCs w:val="16"/>
          <w:lang w:val="en-US"/>
        </w:rPr>
        <w:t>)  the</w:t>
      </w:r>
      <w:proofErr w:type="gramEnd"/>
      <w:r w:rsidRPr="00075623">
        <w:rPr>
          <w:rFonts w:ascii="Times New Roman" w:hAnsi="Times New Roman" w:cs="Times New Roman"/>
          <w:sz w:val="16"/>
          <w:szCs w:val="16"/>
          <w:lang w:val="en-US"/>
        </w:rPr>
        <w:t xml:space="preserve"> final definition merges two approved </w:t>
      </w:r>
      <w:proofErr w:type="gramStart"/>
      <w:r w:rsidRPr="00075623">
        <w:rPr>
          <w:rFonts w:ascii="Times New Roman" w:hAnsi="Times New Roman" w:cs="Times New Roman"/>
          <w:sz w:val="16"/>
          <w:szCs w:val="16"/>
          <w:lang w:val="en-US"/>
        </w:rPr>
        <w:t>criteria .</w:t>
      </w:r>
      <w:proofErr w:type="gramEnd"/>
      <w:r w:rsidRPr="00075623">
        <w:rPr>
          <w:rFonts w:ascii="Times New Roman" w:hAnsi="Times New Roman" w:cs="Times New Roman"/>
          <w:sz w:val="16"/>
          <w:szCs w:val="16"/>
          <w:lang w:val="en-US"/>
        </w:rPr>
        <w:t xml:space="preserve"> F) meaningful MF-SAF v 2.0 change was calculated to be 32% </w:t>
      </w:r>
      <w:proofErr w:type="gramStart"/>
      <w:r w:rsidRPr="00075623">
        <w:rPr>
          <w:rFonts w:ascii="Times New Roman" w:hAnsi="Times New Roman" w:cs="Times New Roman"/>
          <w:sz w:val="16"/>
          <w:szCs w:val="16"/>
          <w:lang w:val="en-US"/>
        </w:rPr>
        <w:t>or plus</w:t>
      </w:r>
      <w:proofErr w:type="gramEnd"/>
      <w:r w:rsidRPr="00075623">
        <w:rPr>
          <w:rFonts w:ascii="Times New Roman" w:hAnsi="Times New Roman" w:cs="Times New Roman"/>
          <w:sz w:val="16"/>
          <w:szCs w:val="16"/>
          <w:lang w:val="en-US"/>
        </w:rPr>
        <w:t xml:space="preserve"> 8 points by Hudgens and coll. However, PGIC-anchored validation of SIMPLIFY trial data by Mesa and coll. Reported higher thresholds. Therefore, more conservative thresholds were adopted.</w:t>
      </w:r>
    </w:p>
    <w:p w14:paraId="19D70B08" w14:textId="77777777" w:rsidR="00464CE1" w:rsidRPr="00075623" w:rsidRDefault="00464CE1" w:rsidP="00464CE1">
      <w:pPr>
        <w:rPr>
          <w:rFonts w:ascii="Times New Roman" w:hAnsi="Times New Roman" w:cs="Times New Roman"/>
          <w:b/>
          <w:bCs/>
          <w:lang w:val="en-US"/>
        </w:rPr>
      </w:pPr>
    </w:p>
    <w:p w14:paraId="69CEF138" w14:textId="77777777" w:rsidR="00464CE1" w:rsidRPr="00075623" w:rsidRDefault="00464CE1" w:rsidP="00464CE1">
      <w:pPr>
        <w:rPr>
          <w:rFonts w:ascii="Times New Roman" w:hAnsi="Times New Roman" w:cs="Times New Roman"/>
          <w:b/>
          <w:bCs/>
          <w:lang w:val="en-US"/>
        </w:rPr>
      </w:pPr>
      <w:r w:rsidRPr="00075623">
        <w:rPr>
          <w:rFonts w:ascii="Times New Roman" w:hAnsi="Times New Roman" w:cs="Times New Roman"/>
          <w:b/>
          <w:bCs/>
          <w:lang w:val="en-US"/>
        </w:rPr>
        <w:br w:type="page"/>
      </w:r>
    </w:p>
    <w:p w14:paraId="5F84FED9" w14:textId="61CC0B36" w:rsidR="00061EA5" w:rsidRPr="00075623" w:rsidRDefault="00F9604B" w:rsidP="00464CE1">
      <w:pPr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lastRenderedPageBreak/>
        <w:t>Supplement</w:t>
      </w:r>
      <w:r w:rsidR="00464CE1" w:rsidRPr="00075623">
        <w:rPr>
          <w:rFonts w:ascii="Times New Roman" w:hAnsi="Times New Roman" w:cs="Times New Roman"/>
          <w:b/>
          <w:bCs/>
          <w:lang w:val="en-US"/>
        </w:rPr>
        <w:t xml:space="preserve"> Table </w:t>
      </w:r>
      <w:r w:rsidR="0040485D">
        <w:rPr>
          <w:rFonts w:ascii="Times New Roman" w:hAnsi="Times New Roman" w:cs="Times New Roman"/>
          <w:b/>
          <w:bCs/>
          <w:lang w:val="en-US"/>
        </w:rPr>
        <w:t>5</w:t>
      </w:r>
      <w:r w:rsidR="00464CE1" w:rsidRPr="00075623">
        <w:rPr>
          <w:rFonts w:ascii="Times New Roman" w:hAnsi="Times New Roman" w:cs="Times New Roman"/>
          <w:b/>
          <w:bCs/>
          <w:lang w:val="en-US"/>
        </w:rPr>
        <w:t xml:space="preserve">. </w:t>
      </w:r>
      <w:r w:rsidR="002439AB" w:rsidRPr="0040485D">
        <w:rPr>
          <w:rFonts w:ascii="Times New Roman" w:hAnsi="Times New Roman" w:cs="Times New Roman"/>
          <w:lang w:val="en-US"/>
        </w:rPr>
        <w:t>Outcome validation.</w:t>
      </w:r>
    </w:p>
    <w:p w14:paraId="2D846B91" w14:textId="77777777" w:rsidR="00A009E1" w:rsidRPr="00075623" w:rsidRDefault="00A009E1" w:rsidP="00464CE1">
      <w:pPr>
        <w:rPr>
          <w:rFonts w:ascii="Times New Roman" w:hAnsi="Times New Roman" w:cs="Times New Roman"/>
          <w:b/>
          <w:bCs/>
          <w:lang w:val="en-US"/>
        </w:rPr>
      </w:pPr>
    </w:p>
    <w:tbl>
      <w:tblPr>
        <w:tblStyle w:val="Tabellaelenco3-colore4"/>
        <w:tblW w:w="0" w:type="auto"/>
        <w:tblLook w:val="04A0" w:firstRow="1" w:lastRow="0" w:firstColumn="1" w:lastColumn="0" w:noHBand="0" w:noVBand="1"/>
      </w:tblPr>
      <w:tblGrid>
        <w:gridCol w:w="5598"/>
        <w:gridCol w:w="5170"/>
      </w:tblGrid>
      <w:tr w:rsidR="00BE39C5" w:rsidRPr="00A816C4" w14:paraId="561FA738" w14:textId="2015D8D0" w:rsidTr="003129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</w:tcPr>
          <w:p w14:paraId="46335B8B" w14:textId="77777777" w:rsidR="00BE39C5" w:rsidRPr="00075623" w:rsidRDefault="00BE39C5" w:rsidP="00075623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075623">
              <w:rPr>
                <w:rFonts w:ascii="Times New Roman" w:hAnsi="Times New Roman" w:cs="Times New Roman"/>
                <w:lang w:val="en-US"/>
              </w:rPr>
              <w:t>OUTCOME</w:t>
            </w:r>
          </w:p>
        </w:tc>
        <w:tc>
          <w:tcPr>
            <w:tcW w:w="5170" w:type="dxa"/>
          </w:tcPr>
          <w:p w14:paraId="012B60EF" w14:textId="0ECB6FA6" w:rsidR="00BE39C5" w:rsidRPr="00075623" w:rsidRDefault="00312950" w:rsidP="00075623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References reporting correlation with leukemia-free survival or overall survival</w:t>
            </w:r>
          </w:p>
        </w:tc>
      </w:tr>
      <w:tr w:rsidR="00BE39C5" w:rsidRPr="00075623" w14:paraId="1F53299B" w14:textId="78325B3B" w:rsidTr="003129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175EF64C" w14:textId="77777777" w:rsidR="00BE39C5" w:rsidRPr="00075623" w:rsidRDefault="00BE39C5" w:rsidP="00075623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075623">
              <w:rPr>
                <w:rFonts w:ascii="Times New Roman" w:hAnsi="Times New Roman" w:cs="Times New Roman"/>
                <w:lang w:val="en-US"/>
              </w:rPr>
              <w:t>Transformation to blast phase</w:t>
            </w:r>
          </w:p>
        </w:tc>
        <w:tc>
          <w:tcPr>
            <w:tcW w:w="5170" w:type="dxa"/>
            <w:shd w:val="clear" w:color="auto" w:fill="auto"/>
          </w:tcPr>
          <w:p w14:paraId="3EE2DF4B" w14:textId="1EADE8CE" w:rsidR="00BE39C5" w:rsidRPr="00075623" w:rsidRDefault="00BE39C5" w:rsidP="0007562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075623">
              <w:rPr>
                <w:rFonts w:ascii="Times New Roman" w:hAnsi="Times New Roman" w:cs="Times New Roman"/>
                <w:lang w:val="en-US"/>
              </w:rPr>
              <w:t>17, 20-23</w:t>
            </w:r>
          </w:p>
        </w:tc>
      </w:tr>
      <w:tr w:rsidR="00BE39C5" w:rsidRPr="00075623" w14:paraId="12B30910" w14:textId="209D252D" w:rsidTr="003129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546FDFF9" w14:textId="77777777" w:rsidR="00BE39C5" w:rsidRPr="00075623" w:rsidRDefault="00BE39C5" w:rsidP="00075623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075623">
              <w:rPr>
                <w:rFonts w:ascii="Times New Roman" w:hAnsi="Times New Roman" w:cs="Times New Roman"/>
                <w:lang w:val="en-US"/>
              </w:rPr>
              <w:t>Transformation to accelerated phase</w:t>
            </w:r>
          </w:p>
        </w:tc>
        <w:tc>
          <w:tcPr>
            <w:tcW w:w="5170" w:type="dxa"/>
            <w:shd w:val="clear" w:color="auto" w:fill="auto"/>
          </w:tcPr>
          <w:p w14:paraId="47A7FC86" w14:textId="508101B3" w:rsidR="00BE39C5" w:rsidRPr="00075623" w:rsidRDefault="00BE39C5" w:rsidP="0007562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075623">
              <w:rPr>
                <w:rFonts w:ascii="Times New Roman" w:hAnsi="Times New Roman" w:cs="Times New Roman"/>
                <w:lang w:val="en-US"/>
              </w:rPr>
              <w:t>17, 20, 24</w:t>
            </w:r>
          </w:p>
        </w:tc>
      </w:tr>
      <w:tr w:rsidR="00BE39C5" w:rsidRPr="00075623" w14:paraId="55E5C8EC" w14:textId="128F7DF8" w:rsidTr="003129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796F615B" w14:textId="77777777" w:rsidR="00BE39C5" w:rsidRPr="00075623" w:rsidRDefault="00BE39C5" w:rsidP="00075623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075623">
              <w:rPr>
                <w:rFonts w:ascii="Times New Roman" w:hAnsi="Times New Roman" w:cs="Times New Roman"/>
                <w:lang w:val="en-US"/>
              </w:rPr>
              <w:t>Increased circulating blasts</w:t>
            </w:r>
          </w:p>
        </w:tc>
        <w:tc>
          <w:tcPr>
            <w:tcW w:w="5170" w:type="dxa"/>
            <w:shd w:val="clear" w:color="auto" w:fill="auto"/>
          </w:tcPr>
          <w:p w14:paraId="25E04C0B" w14:textId="5F3EA7B8" w:rsidR="00BE39C5" w:rsidRPr="00075623" w:rsidRDefault="00BE39C5" w:rsidP="0007562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Rimandonotaapidipagina"/>
                <w:rFonts w:ascii="Times New Roman" w:hAnsi="Times New Roman" w:cs="Times New Roman"/>
                <w:vertAlign w:val="baseline"/>
                <w:lang w:val="en-US"/>
              </w:rPr>
            </w:pPr>
            <w:r w:rsidRPr="00075623">
              <w:rPr>
                <w:rFonts w:ascii="Times New Roman" w:hAnsi="Times New Roman" w:cs="Times New Roman"/>
                <w:lang w:val="en-US"/>
              </w:rPr>
              <w:t>6, 25-28</w:t>
            </w:r>
          </w:p>
        </w:tc>
      </w:tr>
      <w:tr w:rsidR="00BE39C5" w:rsidRPr="00075623" w14:paraId="16AB6E22" w14:textId="28D1F746" w:rsidTr="003129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6B59E2CB" w14:textId="77777777" w:rsidR="00BE39C5" w:rsidRPr="00075623" w:rsidRDefault="00BE39C5" w:rsidP="00075623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075623">
              <w:rPr>
                <w:rFonts w:ascii="Times New Roman" w:hAnsi="Times New Roman" w:cs="Times New Roman"/>
                <w:lang w:val="en-US"/>
              </w:rPr>
              <w:t>Severe anemia</w:t>
            </w:r>
          </w:p>
        </w:tc>
        <w:tc>
          <w:tcPr>
            <w:tcW w:w="5170" w:type="dxa"/>
            <w:shd w:val="clear" w:color="auto" w:fill="auto"/>
          </w:tcPr>
          <w:p w14:paraId="1A07F187" w14:textId="21399F10" w:rsidR="00BE39C5" w:rsidRPr="00075623" w:rsidRDefault="00BE39C5" w:rsidP="0007562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75623">
              <w:rPr>
                <w:rFonts w:ascii="Times New Roman" w:hAnsi="Times New Roman" w:cs="Times New Roman"/>
              </w:rPr>
              <w:t>17, 26, 27, 29-31</w:t>
            </w:r>
          </w:p>
        </w:tc>
      </w:tr>
      <w:tr w:rsidR="00BE39C5" w:rsidRPr="00075623" w14:paraId="3C887B1F" w14:textId="3DC98B41" w:rsidTr="003129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49ACDD2D" w14:textId="77777777" w:rsidR="00BE39C5" w:rsidRPr="00075623" w:rsidRDefault="00BE39C5" w:rsidP="00075623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075623">
              <w:rPr>
                <w:rFonts w:ascii="Times New Roman" w:hAnsi="Times New Roman" w:cs="Times New Roman"/>
                <w:lang w:val="en-US"/>
              </w:rPr>
              <w:t>Worsening anemia</w:t>
            </w:r>
          </w:p>
        </w:tc>
        <w:tc>
          <w:tcPr>
            <w:tcW w:w="5170" w:type="dxa"/>
            <w:shd w:val="clear" w:color="auto" w:fill="auto"/>
          </w:tcPr>
          <w:p w14:paraId="77F013D4" w14:textId="62F130C6" w:rsidR="00BE39C5" w:rsidRPr="00075623" w:rsidRDefault="00BE39C5" w:rsidP="0007562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Rimandonotaapidipagina"/>
                <w:rFonts w:ascii="Times New Roman" w:hAnsi="Times New Roman" w:cs="Times New Roman"/>
                <w:vertAlign w:val="baseline"/>
                <w:lang w:val="en-US"/>
              </w:rPr>
            </w:pPr>
            <w:r w:rsidRPr="00075623">
              <w:rPr>
                <w:rFonts w:ascii="Times New Roman" w:hAnsi="Times New Roman" w:cs="Times New Roman"/>
                <w:lang w:val="en-US"/>
              </w:rPr>
              <w:t>17, 32, 33</w:t>
            </w:r>
          </w:p>
        </w:tc>
      </w:tr>
      <w:tr w:rsidR="00BE39C5" w:rsidRPr="00075623" w14:paraId="0D650250" w14:textId="50359657" w:rsidTr="003129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5AE82E53" w14:textId="77777777" w:rsidR="00BE39C5" w:rsidRPr="00075623" w:rsidRDefault="00BE39C5" w:rsidP="00075623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075623">
              <w:rPr>
                <w:rFonts w:ascii="Times New Roman" w:hAnsi="Times New Roman" w:cs="Times New Roman"/>
                <w:lang w:val="en-US"/>
              </w:rPr>
              <w:t>Severe thrombocytopenia</w:t>
            </w:r>
          </w:p>
        </w:tc>
        <w:tc>
          <w:tcPr>
            <w:tcW w:w="5170" w:type="dxa"/>
            <w:shd w:val="clear" w:color="auto" w:fill="auto"/>
          </w:tcPr>
          <w:p w14:paraId="32D557DB" w14:textId="07373F78" w:rsidR="00BE39C5" w:rsidRPr="00075623" w:rsidRDefault="00BE39C5" w:rsidP="0007562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Rimandonotaapidipagina"/>
                <w:rFonts w:ascii="Times New Roman" w:hAnsi="Times New Roman" w:cs="Times New Roman"/>
                <w:vertAlign w:val="baseline"/>
                <w:lang w:val="en-US"/>
              </w:rPr>
            </w:pPr>
            <w:r w:rsidRPr="00075623">
              <w:rPr>
                <w:rFonts w:ascii="Times New Roman" w:hAnsi="Times New Roman" w:cs="Times New Roman"/>
                <w:lang w:val="en-US"/>
              </w:rPr>
              <w:t>17, 32-34</w:t>
            </w:r>
          </w:p>
        </w:tc>
      </w:tr>
      <w:tr w:rsidR="00BE39C5" w:rsidRPr="00075623" w14:paraId="1F9DB6E4" w14:textId="3D9834A4" w:rsidTr="003129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7716642B" w14:textId="77777777" w:rsidR="00BE39C5" w:rsidRPr="00075623" w:rsidRDefault="00BE39C5" w:rsidP="00075623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075623">
              <w:rPr>
                <w:rFonts w:ascii="Times New Roman" w:hAnsi="Times New Roman" w:cs="Times New Roman"/>
                <w:lang w:val="en-US"/>
              </w:rPr>
              <w:t>Thrombotic events</w:t>
            </w:r>
          </w:p>
        </w:tc>
        <w:tc>
          <w:tcPr>
            <w:tcW w:w="5170" w:type="dxa"/>
            <w:shd w:val="clear" w:color="auto" w:fill="auto"/>
          </w:tcPr>
          <w:p w14:paraId="13284761" w14:textId="763283CE" w:rsidR="00BE39C5" w:rsidRPr="00075623" w:rsidRDefault="00BE39C5" w:rsidP="0007562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Rimandonotaapidipagina"/>
                <w:rFonts w:ascii="Times New Roman" w:hAnsi="Times New Roman" w:cs="Times New Roman"/>
                <w:vertAlign w:val="baseline"/>
                <w:lang w:val="en-US"/>
              </w:rPr>
            </w:pPr>
            <w:r w:rsidRPr="00075623">
              <w:rPr>
                <w:rFonts w:ascii="Times New Roman" w:hAnsi="Times New Roman" w:cs="Times New Roman"/>
                <w:lang w:val="en-US"/>
              </w:rPr>
              <w:t>35</w:t>
            </w:r>
          </w:p>
        </w:tc>
      </w:tr>
      <w:tr w:rsidR="00BE39C5" w:rsidRPr="00075623" w14:paraId="3D8FBEA8" w14:textId="0B4718E0" w:rsidTr="003129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007E07EC" w14:textId="77777777" w:rsidR="00BE39C5" w:rsidRPr="00075623" w:rsidRDefault="00BE39C5" w:rsidP="00075623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075623">
              <w:rPr>
                <w:rFonts w:ascii="Times New Roman" w:hAnsi="Times New Roman" w:cs="Times New Roman"/>
                <w:lang w:val="en-US"/>
              </w:rPr>
              <w:t>Major bleedings</w:t>
            </w:r>
          </w:p>
        </w:tc>
        <w:tc>
          <w:tcPr>
            <w:tcW w:w="5170" w:type="dxa"/>
            <w:shd w:val="clear" w:color="auto" w:fill="auto"/>
          </w:tcPr>
          <w:p w14:paraId="41920B89" w14:textId="5210B409" w:rsidR="00BE39C5" w:rsidRPr="00075623" w:rsidRDefault="00BE39C5" w:rsidP="00075623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Rimandonotaapidipagina"/>
                <w:rFonts w:ascii="Times New Roman" w:hAnsi="Times New Roman" w:cs="Times New Roman"/>
                <w:vertAlign w:val="baseline"/>
                <w:lang w:val="en-US"/>
              </w:rPr>
            </w:pPr>
            <w:r w:rsidRPr="00075623">
              <w:rPr>
                <w:rFonts w:ascii="Times New Roman" w:hAnsi="Times New Roman" w:cs="Times New Roman"/>
                <w:lang w:val="en-US"/>
              </w:rPr>
              <w:t>36</w:t>
            </w:r>
          </w:p>
        </w:tc>
      </w:tr>
      <w:tr w:rsidR="00BE39C5" w:rsidRPr="00075623" w14:paraId="1AA2BAF1" w14:textId="1AD16F86" w:rsidTr="003129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4E9206E0" w14:textId="77777777" w:rsidR="00BE39C5" w:rsidRPr="00075623" w:rsidRDefault="00BE39C5" w:rsidP="00075623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075623">
              <w:rPr>
                <w:rFonts w:ascii="Times New Roman" w:hAnsi="Times New Roman" w:cs="Times New Roman"/>
                <w:lang w:val="en-US"/>
              </w:rPr>
              <w:t>Severe symptom burden</w:t>
            </w:r>
          </w:p>
        </w:tc>
        <w:tc>
          <w:tcPr>
            <w:tcW w:w="5170" w:type="dxa"/>
            <w:shd w:val="clear" w:color="auto" w:fill="auto"/>
          </w:tcPr>
          <w:p w14:paraId="6FB0189B" w14:textId="298D4105" w:rsidR="00BE39C5" w:rsidRPr="00075623" w:rsidRDefault="00BE39C5" w:rsidP="0007562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Rimandonotaapidipagina"/>
                <w:rFonts w:ascii="Times New Roman" w:hAnsi="Times New Roman" w:cs="Times New Roman"/>
                <w:vertAlign w:val="baseline"/>
                <w:lang w:val="en-US"/>
              </w:rPr>
            </w:pPr>
            <w:r w:rsidRPr="00075623">
              <w:rPr>
                <w:rFonts w:ascii="Times New Roman" w:hAnsi="Times New Roman" w:cs="Times New Roman"/>
                <w:lang w:val="en-US"/>
              </w:rPr>
              <w:t>37, 38</w:t>
            </w:r>
          </w:p>
        </w:tc>
      </w:tr>
      <w:tr w:rsidR="00BE39C5" w:rsidRPr="00075623" w14:paraId="6A859028" w14:textId="51ACE399" w:rsidTr="003129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6FEA7921" w14:textId="77777777" w:rsidR="00BE39C5" w:rsidRPr="00075623" w:rsidRDefault="00BE39C5" w:rsidP="00075623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075623">
              <w:rPr>
                <w:rFonts w:ascii="Times New Roman" w:hAnsi="Times New Roman" w:cs="Times New Roman"/>
                <w:lang w:val="en-US"/>
              </w:rPr>
              <w:t>Worsening symptoms</w:t>
            </w:r>
          </w:p>
        </w:tc>
        <w:tc>
          <w:tcPr>
            <w:tcW w:w="5170" w:type="dxa"/>
            <w:shd w:val="clear" w:color="auto" w:fill="auto"/>
          </w:tcPr>
          <w:p w14:paraId="70A456FF" w14:textId="5BB75C71" w:rsidR="00BE39C5" w:rsidRPr="00075623" w:rsidRDefault="00BE39C5" w:rsidP="0007562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Rimandonotaapidipagina"/>
                <w:rFonts w:ascii="Times New Roman" w:hAnsi="Times New Roman" w:cs="Times New Roman"/>
                <w:vertAlign w:val="baseline"/>
                <w:lang w:val="en-US"/>
              </w:rPr>
            </w:pPr>
            <w:r w:rsidRPr="00075623">
              <w:rPr>
                <w:rFonts w:ascii="Times New Roman" w:hAnsi="Times New Roman" w:cs="Times New Roman"/>
                <w:lang w:val="en-US"/>
              </w:rPr>
              <w:t>39</w:t>
            </w:r>
          </w:p>
        </w:tc>
      </w:tr>
      <w:tr w:rsidR="00BE39C5" w:rsidRPr="00075623" w14:paraId="51760451" w14:textId="6BAA5C7C" w:rsidTr="003129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20F83017" w14:textId="77777777" w:rsidR="00BE39C5" w:rsidRPr="00075623" w:rsidRDefault="00BE39C5" w:rsidP="00075623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075623">
              <w:rPr>
                <w:rFonts w:ascii="Times New Roman" w:hAnsi="Times New Roman" w:cs="Times New Roman"/>
                <w:lang w:val="en-US"/>
              </w:rPr>
              <w:t xml:space="preserve">New onset of </w:t>
            </w:r>
            <w:proofErr w:type="gramStart"/>
            <w:r w:rsidRPr="00075623">
              <w:rPr>
                <w:rFonts w:ascii="Times New Roman" w:hAnsi="Times New Roman" w:cs="Times New Roman"/>
                <w:lang w:val="en-US"/>
              </w:rPr>
              <w:t>high risk</w:t>
            </w:r>
            <w:proofErr w:type="gramEnd"/>
            <w:r w:rsidRPr="00075623">
              <w:rPr>
                <w:rFonts w:ascii="Times New Roman" w:hAnsi="Times New Roman" w:cs="Times New Roman"/>
                <w:lang w:val="en-US"/>
              </w:rPr>
              <w:t xml:space="preserve"> mutations</w:t>
            </w:r>
          </w:p>
        </w:tc>
        <w:tc>
          <w:tcPr>
            <w:tcW w:w="5170" w:type="dxa"/>
            <w:shd w:val="clear" w:color="auto" w:fill="auto"/>
          </w:tcPr>
          <w:p w14:paraId="01AAF7F6" w14:textId="6E8C44EC" w:rsidR="00BE39C5" w:rsidRPr="00075623" w:rsidRDefault="00BE39C5" w:rsidP="0007562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075623">
              <w:rPr>
                <w:rFonts w:ascii="Times New Roman" w:hAnsi="Times New Roman" w:cs="Times New Roman"/>
                <w:lang w:val="en-US"/>
              </w:rPr>
              <w:t>17, 40</w:t>
            </w:r>
          </w:p>
        </w:tc>
      </w:tr>
      <w:tr w:rsidR="00CD6F21" w:rsidRPr="00075623" w14:paraId="768C9D98" w14:textId="77777777" w:rsidTr="003129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29894909" w14:textId="4FAF039A" w:rsidR="00CD6F21" w:rsidRPr="00075623" w:rsidRDefault="00CD6F21" w:rsidP="00CD6F21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CD6F21">
              <w:rPr>
                <w:rFonts w:ascii="Times New Roman" w:hAnsi="Times New Roman" w:cs="Times New Roman"/>
                <w:lang w:val="en-US"/>
              </w:rPr>
              <w:t>Severe splenomegaly</w:t>
            </w:r>
          </w:p>
        </w:tc>
        <w:tc>
          <w:tcPr>
            <w:tcW w:w="5170" w:type="dxa"/>
            <w:shd w:val="clear" w:color="auto" w:fill="auto"/>
          </w:tcPr>
          <w:p w14:paraId="12C3A48E" w14:textId="082A1A5E" w:rsidR="00CD6F21" w:rsidRPr="00075623" w:rsidRDefault="00CD6F21" w:rsidP="00CD6F2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D6F21">
              <w:rPr>
                <w:rFonts w:ascii="Times New Roman" w:hAnsi="Times New Roman" w:cs="Times New Roman"/>
                <w:lang w:val="en-US"/>
              </w:rPr>
              <w:t>41-43</w:t>
            </w:r>
          </w:p>
        </w:tc>
      </w:tr>
      <w:tr w:rsidR="00CD6F21" w:rsidRPr="00075623" w14:paraId="00EADAAC" w14:textId="77777777" w:rsidTr="003129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20B54E40" w14:textId="52423F72" w:rsidR="00CD6F21" w:rsidRPr="00075623" w:rsidRDefault="00CD6F21" w:rsidP="00CD6F21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CD6F21">
              <w:rPr>
                <w:rFonts w:ascii="Times New Roman" w:hAnsi="Times New Roman" w:cs="Times New Roman"/>
                <w:lang w:val="en-US"/>
              </w:rPr>
              <w:t>Worsening splenomegaly</w:t>
            </w:r>
          </w:p>
        </w:tc>
        <w:tc>
          <w:tcPr>
            <w:tcW w:w="5170" w:type="dxa"/>
            <w:shd w:val="clear" w:color="auto" w:fill="auto"/>
          </w:tcPr>
          <w:p w14:paraId="6687C058" w14:textId="5288D433" w:rsidR="00CD6F21" w:rsidRPr="00075623" w:rsidRDefault="00CD6F21" w:rsidP="00CD6F2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D6F21">
              <w:rPr>
                <w:rFonts w:ascii="Times New Roman" w:hAnsi="Times New Roman" w:cs="Times New Roman"/>
                <w:lang w:val="en-US"/>
              </w:rPr>
              <w:t>43-47</w:t>
            </w:r>
          </w:p>
        </w:tc>
      </w:tr>
      <w:tr w:rsidR="00CD6F21" w:rsidRPr="00075623" w14:paraId="669AA49A" w14:textId="77777777" w:rsidTr="003129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381C6DBB" w14:textId="664195EC" w:rsidR="00CD6F21" w:rsidRPr="00075623" w:rsidRDefault="00CD6F21" w:rsidP="00CD6F21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CD6F21">
              <w:rPr>
                <w:rFonts w:ascii="Times New Roman" w:hAnsi="Times New Roman" w:cs="Times New Roman"/>
                <w:lang w:val="en-US"/>
              </w:rPr>
              <w:t>Breakthrough high risk molecular or cytogenetic features</w:t>
            </w:r>
          </w:p>
        </w:tc>
        <w:tc>
          <w:tcPr>
            <w:tcW w:w="5170" w:type="dxa"/>
            <w:shd w:val="clear" w:color="auto" w:fill="auto"/>
          </w:tcPr>
          <w:p w14:paraId="35AA7015" w14:textId="7D216010" w:rsidR="00CD6F21" w:rsidRPr="00075623" w:rsidRDefault="00CD6F21" w:rsidP="00CD6F2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D6F21">
              <w:rPr>
                <w:rFonts w:ascii="Times New Roman" w:hAnsi="Times New Roman" w:cs="Times New Roman"/>
                <w:lang w:val="en-US"/>
              </w:rPr>
              <w:t>26, 32, 49-50</w:t>
            </w:r>
          </w:p>
        </w:tc>
      </w:tr>
    </w:tbl>
    <w:p w14:paraId="3D60F5EB" w14:textId="77777777" w:rsidR="00464CE1" w:rsidRDefault="00464CE1" w:rsidP="00464CE1">
      <w:pPr>
        <w:rPr>
          <w:rFonts w:ascii="Times New Roman" w:hAnsi="Times New Roman" w:cs="Times New Roman"/>
          <w:lang w:val="en-US"/>
        </w:rPr>
      </w:pPr>
      <w:r w:rsidRPr="00075623">
        <w:rPr>
          <w:rFonts w:ascii="Times New Roman" w:hAnsi="Times New Roman" w:cs="Times New Roman"/>
          <w:lang w:val="en-US"/>
        </w:rPr>
        <w:br w:type="page"/>
      </w:r>
    </w:p>
    <w:p w14:paraId="6517B7F0" w14:textId="77777777" w:rsidR="00E97C86" w:rsidRPr="00075623" w:rsidRDefault="00E97C86" w:rsidP="00464CE1">
      <w:pPr>
        <w:rPr>
          <w:rFonts w:ascii="Times New Roman" w:hAnsi="Times New Roman" w:cs="Times New Roman"/>
          <w:lang w:val="en-US"/>
        </w:rPr>
      </w:pPr>
    </w:p>
    <w:p w14:paraId="367407C3" w14:textId="77777777" w:rsidR="002439AB" w:rsidRDefault="002439AB" w:rsidP="00464CE1">
      <w:pPr>
        <w:rPr>
          <w:lang w:val="en-US"/>
        </w:rPr>
      </w:pPr>
    </w:p>
    <w:p w14:paraId="31FDA404" w14:textId="36B84058" w:rsidR="007F6741" w:rsidRPr="00C919EE" w:rsidRDefault="00F9604B" w:rsidP="007F6741">
      <w:pPr>
        <w:rPr>
          <w:b/>
          <w:bCs/>
          <w:lang w:val="en-US"/>
        </w:rPr>
      </w:pPr>
      <w:r>
        <w:rPr>
          <w:b/>
          <w:bCs/>
          <w:lang w:val="en-US"/>
        </w:rPr>
        <w:t>Supplement</w:t>
      </w:r>
      <w:r w:rsidR="00464CE1" w:rsidRPr="00C93547">
        <w:rPr>
          <w:b/>
          <w:bCs/>
          <w:lang w:val="en-US"/>
        </w:rPr>
        <w:t xml:space="preserve"> Fig</w:t>
      </w:r>
      <w:r w:rsidR="00A816C4">
        <w:rPr>
          <w:b/>
          <w:bCs/>
          <w:lang w:val="en-US"/>
        </w:rPr>
        <w:t>.</w:t>
      </w:r>
      <w:r w:rsidR="00464CE1" w:rsidRPr="00C93547">
        <w:rPr>
          <w:b/>
          <w:bCs/>
          <w:lang w:val="en-US"/>
        </w:rPr>
        <w:t xml:space="preserve"> 1. </w:t>
      </w:r>
      <w:r w:rsidR="007F6741" w:rsidRPr="00C919EE">
        <w:rPr>
          <w:rFonts w:ascii="Times New Roman" w:hAnsi="Times New Roman" w:cs="Times New Roman"/>
          <w:sz w:val="20"/>
          <w:szCs w:val="20"/>
          <w:lang w:val="en-US"/>
        </w:rPr>
        <w:t>Scoring and weighting of desirability dimensions.</w:t>
      </w:r>
    </w:p>
    <w:p w14:paraId="6A89F5AF" w14:textId="77777777" w:rsidR="007F6741" w:rsidRPr="00C919EE" w:rsidRDefault="007F6741" w:rsidP="007F6741">
      <w:pPr>
        <w:rPr>
          <w:b/>
          <w:bCs/>
          <w:lang w:val="en-US"/>
        </w:rPr>
      </w:pPr>
      <w:r>
        <w:rPr>
          <w:b/>
          <w:bCs/>
          <w:noProof/>
          <w:lang w:val="en-US"/>
        </w:rPr>
        <w:drawing>
          <wp:inline distT="0" distB="0" distL="0" distR="0" wp14:anchorId="4055586A" wp14:editId="252DBC37">
            <wp:extent cx="4572000" cy="4937760"/>
            <wp:effectExtent l="0" t="0" r="0" b="0"/>
            <wp:docPr id="1767993912" name="Immagine 2" descr="Immagine che contiene testo, schermata, numero, design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7993912" name="Immagine 2" descr="Immagine che contiene testo, schermata, numero, design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4937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E87175" w14:textId="5D617AA4" w:rsidR="007F6741" w:rsidRDefault="007F6741" w:rsidP="007F6741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156425">
        <w:rPr>
          <w:rFonts w:ascii="Times New Roman" w:hAnsi="Times New Roman" w:cs="Times New Roman"/>
          <w:sz w:val="20"/>
          <w:szCs w:val="20"/>
          <w:lang w:val="en-US"/>
        </w:rPr>
        <w:lastRenderedPageBreak/>
        <w:t>Legend</w:t>
      </w:r>
      <w:r w:rsidR="00A46F80">
        <w:rPr>
          <w:rFonts w:ascii="Times New Roman" w:hAnsi="Times New Roman" w:cs="Times New Roman"/>
          <w:sz w:val="20"/>
          <w:szCs w:val="20"/>
          <w:lang w:val="en-US"/>
        </w:rPr>
        <w:t xml:space="preserve"> to </w:t>
      </w:r>
      <w:r w:rsidR="00F9604B">
        <w:rPr>
          <w:rFonts w:ascii="Times New Roman" w:hAnsi="Times New Roman" w:cs="Times New Roman"/>
          <w:sz w:val="20"/>
          <w:szCs w:val="20"/>
          <w:lang w:val="en-US"/>
        </w:rPr>
        <w:t>Supplement</w:t>
      </w:r>
      <w:r w:rsidR="00A46F80">
        <w:rPr>
          <w:rFonts w:ascii="Times New Roman" w:hAnsi="Times New Roman" w:cs="Times New Roman"/>
          <w:sz w:val="20"/>
          <w:szCs w:val="20"/>
          <w:lang w:val="en-US"/>
        </w:rPr>
        <w:t xml:space="preserve"> Figure 1</w:t>
      </w:r>
      <w:r w:rsidRPr="00156425">
        <w:rPr>
          <w:rFonts w:ascii="Times New Roman" w:hAnsi="Times New Roman" w:cs="Times New Roman"/>
          <w:sz w:val="20"/>
          <w:szCs w:val="20"/>
          <w:lang w:val="en-US"/>
        </w:rPr>
        <w:t xml:space="preserve">: </w:t>
      </w:r>
      <w:r>
        <w:rPr>
          <w:rFonts w:ascii="Times New Roman" w:hAnsi="Times New Roman" w:cs="Times New Roman"/>
          <w:sz w:val="20"/>
          <w:szCs w:val="20"/>
          <w:lang w:val="en-US"/>
        </w:rPr>
        <w:t>X-axis shows the average Likert score assigned to each desirability dimension</w:t>
      </w:r>
      <w:r w:rsidR="007D662C">
        <w:rPr>
          <w:rFonts w:ascii="Times New Roman" w:hAnsi="Times New Roman" w:cs="Times New Roman"/>
          <w:sz w:val="20"/>
          <w:szCs w:val="20"/>
          <w:lang w:val="en-US"/>
        </w:rPr>
        <w:t xml:space="preserve">: the </w:t>
      </w:r>
      <w:r w:rsidR="00232386">
        <w:rPr>
          <w:rFonts w:ascii="Times New Roman" w:hAnsi="Times New Roman" w:cs="Times New Roman"/>
          <w:sz w:val="20"/>
          <w:szCs w:val="20"/>
          <w:lang w:val="en-US"/>
        </w:rPr>
        <w:t xml:space="preserve">score was </w:t>
      </w:r>
      <w:r w:rsidR="007D662C">
        <w:rPr>
          <w:rFonts w:ascii="Times New Roman" w:hAnsi="Times New Roman" w:cs="Times New Roman"/>
          <w:sz w:val="20"/>
          <w:szCs w:val="20"/>
          <w:lang w:val="en-US"/>
        </w:rPr>
        <w:t>based on a semi-quantitative Likert scale ranging from 1 (</w:t>
      </w:r>
      <w:proofErr w:type="gramStart"/>
      <w:r w:rsidR="00714B66">
        <w:rPr>
          <w:rFonts w:ascii="Times New Roman" w:hAnsi="Times New Roman" w:cs="Times New Roman"/>
          <w:sz w:val="20"/>
          <w:szCs w:val="20"/>
          <w:lang w:val="en-US"/>
        </w:rPr>
        <w:t>absolutely poorly</w:t>
      </w:r>
      <w:proofErr w:type="gramEnd"/>
      <w:r w:rsidR="00714B66">
        <w:rPr>
          <w:rFonts w:ascii="Times New Roman" w:hAnsi="Times New Roman" w:cs="Times New Roman"/>
          <w:sz w:val="20"/>
          <w:szCs w:val="20"/>
          <w:lang w:val="en-US"/>
        </w:rPr>
        <w:t xml:space="preserve"> relevant</w:t>
      </w:r>
      <w:r w:rsidR="007D662C">
        <w:rPr>
          <w:rFonts w:ascii="Times New Roman" w:hAnsi="Times New Roman" w:cs="Times New Roman"/>
          <w:sz w:val="20"/>
          <w:szCs w:val="20"/>
          <w:lang w:val="en-US"/>
        </w:rPr>
        <w:t xml:space="preserve">) to 7 (absolutely very </w:t>
      </w:r>
      <w:r w:rsidR="00714B66">
        <w:rPr>
          <w:rFonts w:ascii="Times New Roman" w:hAnsi="Times New Roman" w:cs="Times New Roman"/>
          <w:sz w:val="20"/>
          <w:szCs w:val="20"/>
          <w:lang w:val="en-US"/>
        </w:rPr>
        <w:t>relevant</w:t>
      </w:r>
      <w:r w:rsidR="007D662C">
        <w:rPr>
          <w:rFonts w:ascii="Times New Roman" w:hAnsi="Times New Roman" w:cs="Times New Roman"/>
          <w:sz w:val="20"/>
          <w:szCs w:val="20"/>
          <w:lang w:val="en-US"/>
        </w:rPr>
        <w:t>)</w:t>
      </w:r>
      <w:r>
        <w:rPr>
          <w:rFonts w:ascii="Times New Roman" w:hAnsi="Times New Roman" w:cs="Times New Roman"/>
          <w:sz w:val="20"/>
          <w:szCs w:val="20"/>
          <w:lang w:val="en-US"/>
        </w:rPr>
        <w:t>. Dimension marked by yellow bars were assigned a weight of 8</w:t>
      </w:r>
      <w:r w:rsidR="00A46F80">
        <w:rPr>
          <w:rFonts w:ascii="Times New Roman" w:hAnsi="Times New Roman" w:cs="Times New Roman"/>
          <w:sz w:val="20"/>
          <w:szCs w:val="20"/>
          <w:lang w:val="en-US"/>
        </w:rPr>
        <w:t xml:space="preserve"> because the </w:t>
      </w:r>
      <w:r w:rsidR="00714B66">
        <w:rPr>
          <w:rFonts w:ascii="Times New Roman" w:hAnsi="Times New Roman" w:cs="Times New Roman"/>
          <w:sz w:val="20"/>
          <w:szCs w:val="20"/>
          <w:lang w:val="en-US"/>
        </w:rPr>
        <w:t>desirability dimensions were 8 ones</w:t>
      </w:r>
      <w:r>
        <w:rPr>
          <w:rFonts w:ascii="Times New Roman" w:hAnsi="Times New Roman" w:cs="Times New Roman"/>
          <w:sz w:val="20"/>
          <w:szCs w:val="20"/>
          <w:lang w:val="en-US"/>
        </w:rPr>
        <w:t>. Desirability dimension marked by pink bars were assigned a weight of 3. Dimensions marked by green bars were assigned a weight of 1.</w:t>
      </w:r>
    </w:p>
    <w:p w14:paraId="7F178DDC" w14:textId="77777777" w:rsidR="00BE30BA" w:rsidRDefault="00BE30BA">
      <w:pPr>
        <w:rPr>
          <w:b/>
          <w:bCs/>
          <w:lang w:val="en-US"/>
        </w:rPr>
      </w:pPr>
      <w:r>
        <w:rPr>
          <w:b/>
          <w:bCs/>
          <w:lang w:val="en-US"/>
        </w:rPr>
        <w:br w:type="page"/>
      </w:r>
    </w:p>
    <w:p w14:paraId="32296FEE" w14:textId="15DC81C5" w:rsidR="00BE30BA" w:rsidRPr="00C919EE" w:rsidRDefault="00F9604B" w:rsidP="00BE30BA">
      <w:pPr>
        <w:rPr>
          <w:lang w:val="en-US"/>
        </w:rPr>
      </w:pPr>
      <w:r>
        <w:rPr>
          <w:b/>
          <w:bCs/>
          <w:lang w:val="en-US"/>
        </w:rPr>
        <w:lastRenderedPageBreak/>
        <w:t>Supplement</w:t>
      </w:r>
      <w:r w:rsidR="00BE30BA">
        <w:rPr>
          <w:b/>
          <w:bCs/>
          <w:lang w:val="en-US"/>
        </w:rPr>
        <w:t xml:space="preserve"> Fig</w:t>
      </w:r>
      <w:r w:rsidR="00A816C4">
        <w:rPr>
          <w:b/>
          <w:bCs/>
          <w:lang w:val="en-US"/>
        </w:rPr>
        <w:t>.</w:t>
      </w:r>
      <w:r w:rsidR="00BE30BA">
        <w:rPr>
          <w:b/>
          <w:bCs/>
          <w:lang w:val="en-US"/>
        </w:rPr>
        <w:t xml:space="preserve"> 2</w:t>
      </w:r>
      <w:r w:rsidR="00BE30BA" w:rsidRPr="00C919EE">
        <w:rPr>
          <w:lang w:val="en-US"/>
        </w:rPr>
        <w:t>. Ranking of outcomes.</w:t>
      </w:r>
    </w:p>
    <w:p w14:paraId="7AB7C4CA" w14:textId="77777777" w:rsidR="00BE30BA" w:rsidRPr="00C919EE" w:rsidRDefault="00BE30BA" w:rsidP="00BE30BA">
      <w:pPr>
        <w:rPr>
          <w:lang w:val="en-US"/>
        </w:rPr>
      </w:pPr>
    </w:p>
    <w:p w14:paraId="77057696" w14:textId="77777777" w:rsidR="00BE30BA" w:rsidRDefault="00BE30BA" w:rsidP="00BE30BA">
      <w:r>
        <w:rPr>
          <w:noProof/>
        </w:rPr>
        <w:drawing>
          <wp:inline distT="0" distB="0" distL="0" distR="0" wp14:anchorId="069E6031" wp14:editId="1EABBABE">
            <wp:extent cx="5192851" cy="5251218"/>
            <wp:effectExtent l="0" t="0" r="8255" b="6985"/>
            <wp:docPr id="183145434" name="Grafico 1">
              <a:extLst xmlns:a="http://schemas.openxmlformats.org/drawingml/2006/main">
                <a:ext uri="{FF2B5EF4-FFF2-40B4-BE49-F238E27FC236}">
                  <a16:creationId xmlns:a16="http://schemas.microsoft.com/office/drawing/2014/main" id="{E61E1D70-29DA-6A95-7842-692FA36A06A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27A3466A" w14:textId="77777777" w:rsidR="00BE30BA" w:rsidRDefault="00BE30BA" w:rsidP="00BE30BA"/>
    <w:p w14:paraId="65277E86" w14:textId="77777777" w:rsidR="0001604E" w:rsidRDefault="0001604E" w:rsidP="0001604E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156425">
        <w:rPr>
          <w:rFonts w:ascii="Times New Roman" w:hAnsi="Times New Roman" w:cs="Times New Roman"/>
          <w:sz w:val="20"/>
          <w:szCs w:val="20"/>
          <w:lang w:val="en-US"/>
        </w:rPr>
        <w:t xml:space="preserve">Legend: </w:t>
      </w:r>
      <w:r>
        <w:rPr>
          <w:rFonts w:ascii="Times New Roman" w:hAnsi="Times New Roman" w:cs="Times New Roman"/>
          <w:sz w:val="20"/>
          <w:szCs w:val="20"/>
          <w:lang w:val="en-US"/>
        </w:rPr>
        <w:t>X-axis shows WS score for each outcome listed on the y-axis. Yellow bars mark outcomes ranked into Q1, blue bars mark Q2 outcomes, pink bars mark Q3 outcomes, and grey bars Q4 outcomes.</w:t>
      </w:r>
    </w:p>
    <w:p w14:paraId="372DC8FA" w14:textId="77777777" w:rsidR="0001604E" w:rsidRDefault="0001604E" w:rsidP="0001604E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Note: </w:t>
      </w:r>
      <w:r w:rsidRPr="00156425">
        <w:rPr>
          <w:rFonts w:ascii="Times New Roman" w:hAnsi="Times New Roman" w:cs="Times New Roman"/>
          <w:sz w:val="20"/>
          <w:szCs w:val="20"/>
          <w:lang w:val="en-US"/>
        </w:rPr>
        <w:t>WS w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as calculated for each outcome as shown in Supplementary Table 1. Outcome WS is a weighted </w:t>
      </w:r>
      <w:proofErr w:type="gramStart"/>
      <w:r>
        <w:rPr>
          <w:rFonts w:ascii="Times New Roman" w:hAnsi="Times New Roman" w:cs="Times New Roman"/>
          <w:sz w:val="20"/>
          <w:szCs w:val="20"/>
          <w:lang w:val="en-US"/>
        </w:rPr>
        <w:t>mean</w:t>
      </w:r>
      <w:proofErr w:type="gramEnd"/>
      <w:r>
        <w:rPr>
          <w:rFonts w:ascii="Times New Roman" w:hAnsi="Times New Roman" w:cs="Times New Roman"/>
          <w:sz w:val="20"/>
          <w:szCs w:val="20"/>
          <w:lang w:val="en-US"/>
        </w:rPr>
        <w:t xml:space="preserve"> of each dimension accomplishment. The accomplishment rates of each </w:t>
      </w:r>
      <w:proofErr w:type="gramStart"/>
      <w:r>
        <w:rPr>
          <w:rFonts w:ascii="Times New Roman" w:hAnsi="Times New Roman" w:cs="Times New Roman"/>
          <w:sz w:val="20"/>
          <w:szCs w:val="20"/>
          <w:lang w:val="en-US"/>
        </w:rPr>
        <w:t>dimension  are</w:t>
      </w:r>
      <w:proofErr w:type="gramEnd"/>
      <w:r>
        <w:rPr>
          <w:rFonts w:ascii="Times New Roman" w:hAnsi="Times New Roman" w:cs="Times New Roman"/>
          <w:sz w:val="20"/>
          <w:szCs w:val="20"/>
          <w:lang w:val="en-US"/>
        </w:rPr>
        <w:t xml:space="preserve"> provided by Supplementary Table 2 and weights assigned to a dimension by Table 1. </w:t>
      </w:r>
    </w:p>
    <w:p w14:paraId="7283E0AE" w14:textId="77777777" w:rsidR="0001604E" w:rsidRPr="00572024" w:rsidRDefault="0001604E" w:rsidP="0001604E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Disclaim: g</w:t>
      </w:r>
      <w:r w:rsidRPr="00572024">
        <w:rPr>
          <w:rFonts w:ascii="Times New Roman" w:hAnsi="Times New Roman" w:cs="Times New Roman"/>
          <w:sz w:val="20"/>
          <w:szCs w:val="20"/>
          <w:lang w:val="en-US"/>
        </w:rPr>
        <w:t xml:space="preserve">rade 3-4 non-hematologic adverse effects were not specifically </w:t>
      </w:r>
      <w:proofErr w:type="gramStart"/>
      <w:r w:rsidRPr="00572024">
        <w:rPr>
          <w:rFonts w:ascii="Times New Roman" w:hAnsi="Times New Roman" w:cs="Times New Roman"/>
          <w:sz w:val="20"/>
          <w:szCs w:val="20"/>
          <w:lang w:val="en-US"/>
        </w:rPr>
        <w:t>addressed,</w:t>
      </w:r>
      <w:proofErr w:type="gramEnd"/>
      <w:r w:rsidRPr="00572024">
        <w:rPr>
          <w:rFonts w:ascii="Times New Roman" w:hAnsi="Times New Roman" w:cs="Times New Roman"/>
          <w:sz w:val="20"/>
          <w:szCs w:val="20"/>
          <w:lang w:val="en-US"/>
        </w:rPr>
        <w:t xml:space="preserve"> therefore the outcome list was added a disclaimer suggesting that irreversible grade 3-4 treatment-related adverse events were possibly assigned to Q2, and reversible grade 3-4 events to Q3.</w:t>
      </w:r>
    </w:p>
    <w:p w14:paraId="3ADD4444" w14:textId="5F0F3314" w:rsidR="00477F10" w:rsidRPr="00572024" w:rsidRDefault="00477F10" w:rsidP="00477F10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572024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14:paraId="0BA81F45" w14:textId="77777777" w:rsidR="00CD77C7" w:rsidRDefault="00CD77C7">
      <w:pPr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br w:type="page"/>
      </w:r>
    </w:p>
    <w:p w14:paraId="6CFA32E2" w14:textId="5BF1EDB0" w:rsidR="00CD77C7" w:rsidRDefault="00CD77C7" w:rsidP="00CD77C7">
      <w:pPr>
        <w:rPr>
          <w:rFonts w:ascii="Times New Roman" w:hAnsi="Times New Roman" w:cs="Times New Roman"/>
          <w:lang w:val="en-US"/>
        </w:rPr>
      </w:pPr>
      <w:r w:rsidRPr="00CD77C7">
        <w:rPr>
          <w:rFonts w:ascii="Times New Roman" w:hAnsi="Times New Roman" w:cs="Times New Roman"/>
          <w:b/>
          <w:bCs/>
          <w:lang w:val="en-US"/>
        </w:rPr>
        <w:lastRenderedPageBreak/>
        <w:t>Supplement Fig</w:t>
      </w:r>
      <w:r w:rsidR="00A816C4">
        <w:rPr>
          <w:rFonts w:ascii="Times New Roman" w:hAnsi="Times New Roman" w:cs="Times New Roman"/>
          <w:b/>
          <w:bCs/>
          <w:lang w:val="en-US"/>
        </w:rPr>
        <w:t>.</w:t>
      </w:r>
      <w:r w:rsidRPr="00CD77C7">
        <w:rPr>
          <w:rFonts w:ascii="Times New Roman" w:hAnsi="Times New Roman" w:cs="Times New Roman"/>
          <w:b/>
          <w:bCs/>
          <w:lang w:val="en-US"/>
        </w:rPr>
        <w:t xml:space="preserve"> 3</w:t>
      </w:r>
      <w:r>
        <w:rPr>
          <w:rFonts w:ascii="Times New Roman" w:hAnsi="Times New Roman" w:cs="Times New Roman"/>
          <w:lang w:val="en-US"/>
        </w:rPr>
        <w:t>. Simulated DEMYO analysis of a randomized clinical trial.</w:t>
      </w:r>
    </w:p>
    <w:p w14:paraId="6A14EC21" w14:textId="77777777" w:rsidR="00BF0A71" w:rsidRDefault="00BF0A71" w:rsidP="00464CE1">
      <w:pPr>
        <w:rPr>
          <w:sz w:val="24"/>
          <w:szCs w:val="24"/>
          <w:lang w:val="en-US"/>
        </w:rPr>
      </w:pPr>
    </w:p>
    <w:p w14:paraId="6AC12462" w14:textId="2F82208A" w:rsidR="00BF0A71" w:rsidRPr="00674DAB" w:rsidRDefault="00BF0A71" w:rsidP="00464CE1">
      <w:pPr>
        <w:rPr>
          <w:sz w:val="24"/>
          <w:szCs w:val="24"/>
          <w:lang w:val="en-US"/>
        </w:rPr>
      </w:pPr>
      <w:r w:rsidRPr="00BF0A71">
        <w:rPr>
          <w:noProof/>
          <w:sz w:val="24"/>
          <w:szCs w:val="24"/>
          <w:lang w:val="en-US"/>
        </w:rPr>
        <w:drawing>
          <wp:inline distT="0" distB="0" distL="0" distR="0" wp14:anchorId="2E2709B4" wp14:editId="56A38F52">
            <wp:extent cx="5567153" cy="4110958"/>
            <wp:effectExtent l="0" t="0" r="0" b="4445"/>
            <wp:docPr id="1127098748" name="Immagine 1" descr="Immagine che contiene testo, schermata, Parallelo, Policromi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7098748" name="Immagine 1" descr="Immagine che contiene testo, schermata, Parallelo, Policromia&#10;&#10;Il contenuto generato dall'IA potrebbe non essere corretto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1938" cy="4144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569549" w14:textId="119A6CFA" w:rsidR="00674DAB" w:rsidRPr="00785819" w:rsidRDefault="00674DAB" w:rsidP="00464CE1">
      <w:pPr>
        <w:rPr>
          <w:sz w:val="16"/>
          <w:szCs w:val="16"/>
          <w:lang w:val="en-US"/>
        </w:rPr>
      </w:pPr>
      <w:r w:rsidRPr="00674DAB">
        <w:rPr>
          <w:noProof/>
          <w:sz w:val="16"/>
          <w:szCs w:val="16"/>
          <w:lang w:val="en-US"/>
        </w:rPr>
        <w:lastRenderedPageBreak/>
        <w:drawing>
          <wp:inline distT="0" distB="0" distL="0" distR="0" wp14:anchorId="6C53798D" wp14:editId="0553FD5B">
            <wp:extent cx="6746582" cy="1897845"/>
            <wp:effectExtent l="0" t="0" r="0" b="7620"/>
            <wp:docPr id="559284769" name="Immagine 1" descr="Immagine che contiene testo, schermata, ricevuta, Carattere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9284769" name="Immagine 1" descr="Immagine che contiene testo, schermata, ricevuta, Carattere&#10;&#10;Il contenuto generato dall'IA potrebbe non essere corretto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780265" cy="1907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3407AB" w14:textId="77777777" w:rsidR="00464CE1" w:rsidRDefault="00464CE1" w:rsidP="00464CE1">
      <w:pPr>
        <w:rPr>
          <w:lang w:val="en-US"/>
        </w:rPr>
      </w:pPr>
    </w:p>
    <w:p w14:paraId="197B426B" w14:textId="55C0EE9E" w:rsidR="00E83780" w:rsidRPr="000C13AE" w:rsidRDefault="00E83780" w:rsidP="00464CE1">
      <w:pPr>
        <w:rPr>
          <w:sz w:val="16"/>
          <w:szCs w:val="16"/>
          <w:lang w:val="en-US"/>
        </w:rPr>
      </w:pPr>
      <w:r w:rsidRPr="000C13AE">
        <w:rPr>
          <w:sz w:val="16"/>
          <w:szCs w:val="16"/>
          <w:lang w:val="en-US"/>
        </w:rPr>
        <w:t xml:space="preserve">Legend to Figure 3. </w:t>
      </w:r>
      <w:r w:rsidR="0091567F" w:rsidRPr="000C13AE">
        <w:rPr>
          <w:sz w:val="16"/>
          <w:szCs w:val="16"/>
          <w:lang w:val="en-US"/>
        </w:rPr>
        <w:t>Treatment versus control comparison is assessed by DOOR probability of achieving better outcomes. In this clinical trial DOOR probability was 76.7% in favor of the treatment arm</w:t>
      </w:r>
      <w:r w:rsidR="000C13AE" w:rsidRPr="000C13AE">
        <w:rPr>
          <w:sz w:val="16"/>
          <w:szCs w:val="16"/>
          <w:lang w:val="en-US"/>
        </w:rPr>
        <w:t>.</w:t>
      </w:r>
    </w:p>
    <w:p w14:paraId="1B170FAD" w14:textId="77777777" w:rsidR="00464CE1" w:rsidRPr="00172195" w:rsidRDefault="00464CE1" w:rsidP="00464CE1">
      <w:pPr>
        <w:rPr>
          <w:lang w:val="en-US"/>
        </w:rPr>
      </w:pPr>
    </w:p>
    <w:p w14:paraId="5EC1308B" w14:textId="3FCDD2DD" w:rsidR="004E16B4" w:rsidRDefault="004E16B4">
      <w:pPr>
        <w:rPr>
          <w:lang w:val="en-US"/>
        </w:rPr>
      </w:pPr>
      <w:r>
        <w:rPr>
          <w:lang w:val="en-US"/>
        </w:rPr>
        <w:br w:type="page"/>
      </w:r>
    </w:p>
    <w:p w14:paraId="561F3A41" w14:textId="6A30080E" w:rsidR="00464CE1" w:rsidRPr="00F30BC6" w:rsidRDefault="004E16B4" w:rsidP="00F30BC6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F30BC6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References</w:t>
      </w:r>
    </w:p>
    <w:p w14:paraId="2B9DC4D0" w14:textId="77777777" w:rsidR="00846A81" w:rsidRPr="00846A81" w:rsidRDefault="00846A81" w:rsidP="00846A81">
      <w:pPr>
        <w:pStyle w:val="Testonotaapidipagina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846A81">
        <w:rPr>
          <w:rFonts w:ascii="Times New Roman" w:hAnsi="Times New Roman" w:cs="Times New Roman"/>
          <w:sz w:val="22"/>
          <w:szCs w:val="22"/>
          <w:lang w:val="en-US"/>
        </w:rPr>
        <w:t xml:space="preserve">Khoury, J.D., </w:t>
      </w:r>
      <w:proofErr w:type="spellStart"/>
      <w:r w:rsidRPr="00846A81">
        <w:rPr>
          <w:rFonts w:ascii="Times New Roman" w:hAnsi="Times New Roman" w:cs="Times New Roman"/>
          <w:sz w:val="22"/>
          <w:szCs w:val="22"/>
          <w:lang w:val="en-US"/>
        </w:rPr>
        <w:t>Solary</w:t>
      </w:r>
      <w:proofErr w:type="spellEnd"/>
      <w:r w:rsidRPr="00846A81">
        <w:rPr>
          <w:rFonts w:ascii="Times New Roman" w:hAnsi="Times New Roman" w:cs="Times New Roman"/>
          <w:sz w:val="22"/>
          <w:szCs w:val="22"/>
          <w:lang w:val="en-US"/>
        </w:rPr>
        <w:t>, E., Abla, O. </w:t>
      </w:r>
      <w:r w:rsidRPr="00846A81">
        <w:rPr>
          <w:rFonts w:ascii="Times New Roman" w:hAnsi="Times New Roman" w:cs="Times New Roman"/>
          <w:i/>
          <w:iCs/>
          <w:sz w:val="22"/>
          <w:szCs w:val="22"/>
          <w:lang w:val="en-US"/>
        </w:rPr>
        <w:t>et al.</w:t>
      </w:r>
      <w:r w:rsidRPr="00846A81">
        <w:rPr>
          <w:rFonts w:ascii="Times New Roman" w:hAnsi="Times New Roman" w:cs="Times New Roman"/>
          <w:sz w:val="22"/>
          <w:szCs w:val="22"/>
          <w:lang w:val="en-US"/>
        </w:rPr>
        <w:t xml:space="preserve"> The 5th edition of the World Health Organization classification of </w:t>
      </w:r>
      <w:proofErr w:type="spellStart"/>
      <w:r w:rsidRPr="00846A81">
        <w:rPr>
          <w:rFonts w:ascii="Times New Roman" w:hAnsi="Times New Roman" w:cs="Times New Roman"/>
          <w:sz w:val="22"/>
          <w:szCs w:val="22"/>
          <w:lang w:val="en-US"/>
        </w:rPr>
        <w:t>haematolymphoid</w:t>
      </w:r>
      <w:proofErr w:type="spellEnd"/>
      <w:r w:rsidRPr="00846A81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46A81">
        <w:rPr>
          <w:rFonts w:ascii="Times New Roman" w:hAnsi="Times New Roman" w:cs="Times New Roman"/>
          <w:sz w:val="22"/>
          <w:szCs w:val="22"/>
          <w:lang w:val="en-US"/>
        </w:rPr>
        <w:t>tumours</w:t>
      </w:r>
      <w:proofErr w:type="spellEnd"/>
      <w:r w:rsidRPr="00846A81">
        <w:rPr>
          <w:rFonts w:ascii="Times New Roman" w:hAnsi="Times New Roman" w:cs="Times New Roman"/>
          <w:sz w:val="22"/>
          <w:szCs w:val="22"/>
          <w:lang w:val="en-US"/>
        </w:rPr>
        <w:t>: myeloid and histiocytic/dendritic neoplasms. </w:t>
      </w:r>
      <w:proofErr w:type="gramStart"/>
      <w:r w:rsidRPr="00846A81">
        <w:rPr>
          <w:rFonts w:ascii="Times New Roman" w:hAnsi="Times New Roman" w:cs="Times New Roman"/>
          <w:i/>
          <w:iCs/>
          <w:sz w:val="22"/>
          <w:szCs w:val="22"/>
          <w:lang w:val="en-US"/>
        </w:rPr>
        <w:t>Leukemia</w:t>
      </w:r>
      <w:r w:rsidRPr="00846A81">
        <w:rPr>
          <w:rFonts w:ascii="Times New Roman" w:hAnsi="Times New Roman" w:cs="Times New Roman"/>
          <w:sz w:val="22"/>
          <w:szCs w:val="22"/>
          <w:lang w:val="en-US"/>
        </w:rPr>
        <w:t>  2022</w:t>
      </w:r>
      <w:proofErr w:type="gramEnd"/>
      <w:r w:rsidRPr="00846A81">
        <w:rPr>
          <w:rFonts w:ascii="Times New Roman" w:hAnsi="Times New Roman" w:cs="Times New Roman"/>
          <w:sz w:val="22"/>
          <w:szCs w:val="22"/>
          <w:lang w:val="en-US"/>
        </w:rPr>
        <w:t xml:space="preserve">; </w:t>
      </w:r>
      <w:r w:rsidRPr="00846A81">
        <w:rPr>
          <w:rFonts w:ascii="Times New Roman" w:hAnsi="Times New Roman" w:cs="Times New Roman"/>
          <w:b/>
          <w:bCs/>
          <w:sz w:val="22"/>
          <w:szCs w:val="22"/>
          <w:lang w:val="en-US"/>
        </w:rPr>
        <w:t>36</w:t>
      </w:r>
      <w:r w:rsidRPr="00846A81">
        <w:rPr>
          <w:rFonts w:ascii="Times New Roman" w:hAnsi="Times New Roman" w:cs="Times New Roman"/>
          <w:sz w:val="22"/>
          <w:szCs w:val="22"/>
          <w:lang w:val="en-US"/>
        </w:rPr>
        <w:t xml:space="preserve">, 1703–19. </w:t>
      </w:r>
    </w:p>
    <w:p w14:paraId="47ED4725" w14:textId="77777777" w:rsidR="004E16B4" w:rsidRPr="00846A81" w:rsidRDefault="004E16B4" w:rsidP="00846A81">
      <w:pPr>
        <w:pStyle w:val="Testonotaapidipagina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846A81">
        <w:rPr>
          <w:rFonts w:ascii="Times New Roman" w:hAnsi="Times New Roman" w:cs="Times New Roman"/>
          <w:sz w:val="22"/>
          <w:szCs w:val="22"/>
          <w:shd w:val="clear" w:color="auto" w:fill="FFFFFF"/>
        </w:rPr>
        <w:t>Thiele</w:t>
      </w:r>
      <w:proofErr w:type="spellEnd"/>
      <w:r w:rsidRPr="00846A81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J, </w:t>
      </w:r>
      <w:proofErr w:type="spellStart"/>
      <w:r w:rsidRPr="00846A81">
        <w:rPr>
          <w:rFonts w:ascii="Times New Roman" w:hAnsi="Times New Roman" w:cs="Times New Roman"/>
          <w:sz w:val="22"/>
          <w:szCs w:val="22"/>
          <w:shd w:val="clear" w:color="auto" w:fill="FFFFFF"/>
        </w:rPr>
        <w:t>Kvasnicka</w:t>
      </w:r>
      <w:proofErr w:type="spellEnd"/>
      <w:r w:rsidRPr="00846A81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HM, Orazi A, Gianelli U, </w:t>
      </w:r>
      <w:proofErr w:type="spellStart"/>
      <w:r w:rsidRPr="00846A81">
        <w:rPr>
          <w:rFonts w:ascii="Times New Roman" w:hAnsi="Times New Roman" w:cs="Times New Roman"/>
          <w:sz w:val="22"/>
          <w:szCs w:val="22"/>
          <w:shd w:val="clear" w:color="auto" w:fill="FFFFFF"/>
        </w:rPr>
        <w:t>Gangat</w:t>
      </w:r>
      <w:proofErr w:type="spellEnd"/>
      <w:r w:rsidRPr="00846A81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N, Vannucchi AM, et al. </w:t>
      </w:r>
      <w:r w:rsidRPr="00846A81">
        <w:rPr>
          <w:rFonts w:ascii="Times New Roman" w:hAnsi="Times New Roman" w:cs="Times New Roman"/>
          <w:sz w:val="22"/>
          <w:szCs w:val="22"/>
          <w:shd w:val="clear" w:color="auto" w:fill="FFFFFF"/>
          <w:lang w:val="en-US"/>
        </w:rPr>
        <w:t>The international consensus classification of myeloid neoplasms and acute leukemias: myeloproliferative neoplasms. </w:t>
      </w:r>
      <w:r w:rsidRPr="00846A81">
        <w:rPr>
          <w:rStyle w:val="ref-journal"/>
          <w:rFonts w:ascii="Times New Roman" w:hAnsi="Times New Roman" w:cs="Times New Roman"/>
          <w:i/>
          <w:iCs/>
          <w:sz w:val="22"/>
          <w:szCs w:val="22"/>
          <w:shd w:val="clear" w:color="auto" w:fill="FFFFFF"/>
          <w:lang w:val="en-US"/>
        </w:rPr>
        <w:t>Am J Hematol </w:t>
      </w:r>
      <w:proofErr w:type="gramStart"/>
      <w:r w:rsidRPr="00846A81">
        <w:rPr>
          <w:rFonts w:ascii="Times New Roman" w:hAnsi="Times New Roman" w:cs="Times New Roman"/>
          <w:sz w:val="22"/>
          <w:szCs w:val="22"/>
          <w:shd w:val="clear" w:color="auto" w:fill="FFFFFF"/>
          <w:lang w:val="en-US"/>
        </w:rPr>
        <w:t>2023;</w:t>
      </w:r>
      <w:r w:rsidRPr="00846A81">
        <w:rPr>
          <w:rStyle w:val="ref-vol"/>
          <w:rFonts w:ascii="Times New Roman" w:hAnsi="Times New Roman" w:cs="Times New Roman"/>
          <w:b/>
          <w:bCs/>
          <w:sz w:val="22"/>
          <w:szCs w:val="22"/>
          <w:shd w:val="clear" w:color="auto" w:fill="FFFFFF"/>
          <w:lang w:val="en-US"/>
        </w:rPr>
        <w:t>98</w:t>
      </w:r>
      <w:r w:rsidRPr="00846A81">
        <w:rPr>
          <w:rFonts w:ascii="Times New Roman" w:hAnsi="Times New Roman" w:cs="Times New Roman"/>
          <w:sz w:val="22"/>
          <w:szCs w:val="22"/>
          <w:shd w:val="clear" w:color="auto" w:fill="FFFFFF"/>
          <w:lang w:val="en-US"/>
        </w:rPr>
        <w:t>:166</w:t>
      </w:r>
      <w:proofErr w:type="gramEnd"/>
      <w:r w:rsidRPr="00846A81">
        <w:rPr>
          <w:rFonts w:ascii="Times New Roman" w:hAnsi="Times New Roman" w:cs="Times New Roman"/>
          <w:sz w:val="22"/>
          <w:szCs w:val="22"/>
          <w:shd w:val="clear" w:color="auto" w:fill="FFFFFF"/>
          <w:lang w:val="en-US"/>
        </w:rPr>
        <w:t xml:space="preserve">–79. </w:t>
      </w:r>
    </w:p>
    <w:p w14:paraId="6B6E1C15" w14:textId="77777777" w:rsidR="004E16B4" w:rsidRPr="00846A81" w:rsidRDefault="004E16B4" w:rsidP="00846A81">
      <w:pPr>
        <w:pStyle w:val="Testonotaapidipagina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0953CF">
        <w:rPr>
          <w:rStyle w:val="fontstyle01"/>
          <w:rFonts w:ascii="Times New Roman" w:hAnsi="Times New Roman" w:cs="Times New Roman"/>
          <w:sz w:val="22"/>
          <w:szCs w:val="22"/>
          <w:lang w:val="da-DK"/>
        </w:rPr>
        <w:t xml:space="preserve">Mesa RA, Verstovsek S, Cervantes F, et al. </w:t>
      </w:r>
      <w:r w:rsidRPr="00846A81">
        <w:rPr>
          <w:rStyle w:val="fontstyle01"/>
          <w:rFonts w:ascii="Times New Roman" w:hAnsi="Times New Roman" w:cs="Times New Roman"/>
          <w:sz w:val="22"/>
          <w:szCs w:val="22"/>
          <w:lang w:val="en-US"/>
        </w:rPr>
        <w:t xml:space="preserve">Primary myelofibrosis (PMF), post polycythemia vera myelofibrosis (post-PV MF), post essential thrombocythemia myelofibrosis (post-ET MF), blast phase PMF (PMF-BP): Consensus on terminology by the international working group for myelofibrosis research and treatment (IWG-MRT). </w:t>
      </w:r>
      <w:r w:rsidRPr="00846A81">
        <w:rPr>
          <w:rStyle w:val="fontstyle01"/>
          <w:rFonts w:ascii="Times New Roman" w:hAnsi="Times New Roman" w:cs="Times New Roman"/>
          <w:i/>
          <w:iCs/>
          <w:sz w:val="22"/>
          <w:szCs w:val="22"/>
          <w:lang w:val="en-US"/>
        </w:rPr>
        <w:t>Leuk Res</w:t>
      </w:r>
      <w:r w:rsidRPr="00846A81">
        <w:rPr>
          <w:rStyle w:val="fontstyle01"/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gramStart"/>
      <w:r w:rsidRPr="00846A81">
        <w:rPr>
          <w:rStyle w:val="fontstyle01"/>
          <w:rFonts w:ascii="Times New Roman" w:hAnsi="Times New Roman" w:cs="Times New Roman"/>
          <w:sz w:val="22"/>
          <w:szCs w:val="22"/>
          <w:lang w:val="en-US"/>
        </w:rPr>
        <w:t>2007;</w:t>
      </w:r>
      <w:r w:rsidRPr="00846A81">
        <w:rPr>
          <w:rStyle w:val="fontstyle01"/>
          <w:rFonts w:ascii="Times New Roman" w:hAnsi="Times New Roman" w:cs="Times New Roman"/>
          <w:b/>
          <w:bCs/>
          <w:sz w:val="22"/>
          <w:szCs w:val="22"/>
          <w:lang w:val="en-US"/>
        </w:rPr>
        <w:t>31</w:t>
      </w:r>
      <w:r w:rsidRPr="00846A81">
        <w:rPr>
          <w:rStyle w:val="fontstyle01"/>
          <w:rFonts w:ascii="Times New Roman" w:hAnsi="Times New Roman" w:cs="Times New Roman"/>
          <w:sz w:val="22"/>
          <w:szCs w:val="22"/>
          <w:lang w:val="en-US"/>
        </w:rPr>
        <w:t>:737</w:t>
      </w:r>
      <w:proofErr w:type="gramEnd"/>
      <w:r w:rsidRPr="00846A81">
        <w:rPr>
          <w:rStyle w:val="fontstyle01"/>
          <w:rFonts w:ascii="Times New Roman" w:hAnsi="Times New Roman" w:cs="Times New Roman"/>
          <w:sz w:val="22"/>
          <w:szCs w:val="22"/>
          <w:lang w:val="en-US"/>
        </w:rPr>
        <w:t>–40.</w:t>
      </w:r>
    </w:p>
    <w:p w14:paraId="551239D6" w14:textId="77777777" w:rsidR="004E16B4" w:rsidRPr="00846A81" w:rsidRDefault="004E16B4" w:rsidP="00846A81">
      <w:pPr>
        <w:pStyle w:val="Testonotaapidipagina"/>
        <w:numPr>
          <w:ilvl w:val="0"/>
          <w:numId w:val="6"/>
        </w:numPr>
        <w:spacing w:line="276" w:lineRule="auto"/>
        <w:jc w:val="both"/>
        <w:rPr>
          <w:rStyle w:val="fontstyle01"/>
          <w:rFonts w:ascii="Times New Roman" w:hAnsi="Times New Roman" w:cs="Times New Roman"/>
          <w:color w:val="auto"/>
          <w:sz w:val="22"/>
          <w:szCs w:val="22"/>
        </w:rPr>
      </w:pPr>
      <w:proofErr w:type="spellStart"/>
      <w:r w:rsidRPr="00846A81">
        <w:rPr>
          <w:rStyle w:val="fontstyle01"/>
          <w:rFonts w:ascii="Times New Roman" w:hAnsi="Times New Roman" w:cs="Times New Roman"/>
          <w:sz w:val="22"/>
          <w:szCs w:val="22"/>
          <w:lang w:val="en-US"/>
        </w:rPr>
        <w:t>Mudireddy</w:t>
      </w:r>
      <w:proofErr w:type="spellEnd"/>
      <w:r w:rsidRPr="00846A81">
        <w:rPr>
          <w:rStyle w:val="fontstyle01"/>
          <w:rFonts w:ascii="Times New Roman" w:hAnsi="Times New Roman" w:cs="Times New Roman"/>
          <w:sz w:val="22"/>
          <w:szCs w:val="22"/>
          <w:lang w:val="en-US"/>
        </w:rPr>
        <w:t xml:space="preserve"> M, </w:t>
      </w:r>
      <w:proofErr w:type="spellStart"/>
      <w:r w:rsidRPr="00846A81">
        <w:rPr>
          <w:rStyle w:val="fontstyle01"/>
          <w:rFonts w:ascii="Times New Roman" w:hAnsi="Times New Roman" w:cs="Times New Roman"/>
          <w:sz w:val="22"/>
          <w:szCs w:val="22"/>
          <w:lang w:val="en-US"/>
        </w:rPr>
        <w:t>Gangat</w:t>
      </w:r>
      <w:proofErr w:type="spellEnd"/>
      <w:r w:rsidRPr="00846A81">
        <w:rPr>
          <w:rStyle w:val="fontstyle01"/>
          <w:rFonts w:ascii="Times New Roman" w:hAnsi="Times New Roman" w:cs="Times New Roman"/>
          <w:sz w:val="22"/>
          <w:szCs w:val="22"/>
          <w:lang w:val="en-US"/>
        </w:rPr>
        <w:t xml:space="preserve"> N, Hanson CA, Ketterling RP, </w:t>
      </w:r>
      <w:proofErr w:type="spellStart"/>
      <w:r w:rsidRPr="00846A81">
        <w:rPr>
          <w:rStyle w:val="fontstyle01"/>
          <w:rFonts w:ascii="Times New Roman" w:hAnsi="Times New Roman" w:cs="Times New Roman"/>
          <w:sz w:val="22"/>
          <w:szCs w:val="22"/>
          <w:lang w:val="en-US"/>
        </w:rPr>
        <w:t>Pardanani</w:t>
      </w:r>
      <w:proofErr w:type="spellEnd"/>
      <w:r w:rsidRPr="00846A81">
        <w:rPr>
          <w:rStyle w:val="fontstyle01"/>
          <w:rFonts w:ascii="Times New Roman" w:hAnsi="Times New Roman" w:cs="Times New Roman"/>
          <w:sz w:val="22"/>
          <w:szCs w:val="22"/>
          <w:lang w:val="en-US"/>
        </w:rPr>
        <w:t xml:space="preserve"> A, Tefferi A. Validation of the WHO-defined 20% circulating blasts threshold for diagnosis of leukemic transformation in primary myelofibrosis. Blood Cancer J. 2018;8(6):57</w:t>
      </w:r>
    </w:p>
    <w:p w14:paraId="5EC56B97" w14:textId="77777777" w:rsidR="004E16B4" w:rsidRPr="00846A81" w:rsidRDefault="004E16B4" w:rsidP="00846A81">
      <w:pPr>
        <w:pStyle w:val="Testonotaapidipagina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846A81">
        <w:rPr>
          <w:rStyle w:val="fontstyle01"/>
          <w:rFonts w:ascii="Times New Roman" w:hAnsi="Times New Roman" w:cs="Times New Roman"/>
          <w:sz w:val="22"/>
          <w:szCs w:val="22"/>
          <w:lang w:val="en-US"/>
        </w:rPr>
        <w:t xml:space="preserve">Tam CS, Kantarjian H, Cortes J, Lynn A, Pierce S, Zhou L, et al. Dynamic model for predicting death within 12 months in patients with primary or post-polycythemia vera/essential thrombocythemia myelofibrosis. </w:t>
      </w:r>
      <w:r w:rsidRPr="00846A81">
        <w:rPr>
          <w:rStyle w:val="fontstyle01"/>
          <w:rFonts w:ascii="Times New Roman" w:hAnsi="Times New Roman" w:cs="Times New Roman"/>
          <w:i/>
          <w:iCs/>
          <w:sz w:val="22"/>
          <w:szCs w:val="22"/>
          <w:lang w:val="en-US"/>
        </w:rPr>
        <w:t>J Clinical Oncol</w:t>
      </w:r>
      <w:r w:rsidRPr="00846A81">
        <w:rPr>
          <w:rStyle w:val="fontstyle01"/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gramStart"/>
      <w:r w:rsidRPr="00846A81">
        <w:rPr>
          <w:rStyle w:val="fontstyle01"/>
          <w:rFonts w:ascii="Times New Roman" w:hAnsi="Times New Roman" w:cs="Times New Roman"/>
          <w:sz w:val="22"/>
          <w:szCs w:val="22"/>
          <w:lang w:val="en-US"/>
        </w:rPr>
        <w:t>2009;</w:t>
      </w:r>
      <w:r w:rsidRPr="00846A81">
        <w:rPr>
          <w:rStyle w:val="fontstyle01"/>
          <w:rFonts w:ascii="Times New Roman" w:hAnsi="Times New Roman" w:cs="Times New Roman"/>
          <w:b/>
          <w:bCs/>
          <w:sz w:val="22"/>
          <w:szCs w:val="22"/>
          <w:lang w:val="en-US"/>
        </w:rPr>
        <w:t>27</w:t>
      </w:r>
      <w:r w:rsidRPr="00846A81">
        <w:rPr>
          <w:rStyle w:val="fontstyle01"/>
          <w:rFonts w:ascii="Times New Roman" w:hAnsi="Times New Roman" w:cs="Times New Roman"/>
          <w:sz w:val="22"/>
          <w:szCs w:val="22"/>
          <w:lang w:val="en-US"/>
        </w:rPr>
        <w:t>:5587</w:t>
      </w:r>
      <w:proofErr w:type="gramEnd"/>
      <w:r w:rsidRPr="00846A81">
        <w:rPr>
          <w:rStyle w:val="fontstyle01"/>
          <w:rFonts w:ascii="Times New Roman" w:hAnsi="Times New Roman" w:cs="Times New Roman"/>
          <w:sz w:val="22"/>
          <w:szCs w:val="22"/>
          <w:lang w:val="en-US"/>
        </w:rPr>
        <w:t>–93</w:t>
      </w:r>
    </w:p>
    <w:p w14:paraId="223321ED" w14:textId="77777777" w:rsidR="004E16B4" w:rsidRPr="004E224F" w:rsidRDefault="004E16B4" w:rsidP="00846A81">
      <w:pPr>
        <w:pStyle w:val="Testonotaapidipagina"/>
        <w:numPr>
          <w:ilvl w:val="0"/>
          <w:numId w:val="6"/>
        </w:numPr>
        <w:spacing w:line="276" w:lineRule="auto"/>
        <w:jc w:val="both"/>
        <w:rPr>
          <w:rStyle w:val="fontstyle01"/>
          <w:rFonts w:ascii="Times New Roman" w:hAnsi="Times New Roman" w:cs="Times New Roman"/>
          <w:color w:val="auto"/>
          <w:sz w:val="22"/>
          <w:szCs w:val="22"/>
          <w:lang w:val="en-US"/>
        </w:rPr>
      </w:pPr>
      <w:proofErr w:type="spellStart"/>
      <w:r w:rsidRPr="00D968BF">
        <w:rPr>
          <w:rStyle w:val="fontstyle01"/>
          <w:rFonts w:ascii="Times New Roman" w:hAnsi="Times New Roman" w:cs="Times New Roman"/>
          <w:sz w:val="22"/>
          <w:szCs w:val="22"/>
          <w:lang w:val="en-US"/>
        </w:rPr>
        <w:t>Masarova</w:t>
      </w:r>
      <w:proofErr w:type="spellEnd"/>
      <w:r w:rsidRPr="00D968BF">
        <w:rPr>
          <w:rStyle w:val="fontstyle01"/>
          <w:rFonts w:ascii="Times New Roman" w:hAnsi="Times New Roman" w:cs="Times New Roman"/>
          <w:sz w:val="22"/>
          <w:szCs w:val="22"/>
          <w:lang w:val="en-US"/>
        </w:rPr>
        <w:t xml:space="preserve"> L, Bose P, Pemmaraju N</w:t>
      </w:r>
      <w:proofErr w:type="gramStart"/>
      <w:r w:rsidRPr="00D968BF">
        <w:rPr>
          <w:rStyle w:val="fontstyle01"/>
          <w:rFonts w:ascii="Times New Roman" w:hAnsi="Times New Roman" w:cs="Times New Roman"/>
          <w:sz w:val="22"/>
          <w:szCs w:val="22"/>
          <w:lang w:val="en-US"/>
        </w:rPr>
        <w:t>, ,</w:t>
      </w:r>
      <w:proofErr w:type="gramEnd"/>
      <w:r w:rsidRPr="00D968BF">
        <w:rPr>
          <w:rStyle w:val="fontstyle01"/>
          <w:rFonts w:ascii="Times New Roman" w:hAnsi="Times New Roman" w:cs="Times New Roman"/>
          <w:sz w:val="22"/>
          <w:szCs w:val="22"/>
          <w:lang w:val="en-US"/>
        </w:rPr>
        <w:t xml:space="preserve"> et al. </w:t>
      </w:r>
      <w:r w:rsidRPr="00846A81">
        <w:rPr>
          <w:rStyle w:val="fontstyle01"/>
          <w:rFonts w:ascii="Times New Roman" w:hAnsi="Times New Roman" w:cs="Times New Roman"/>
          <w:sz w:val="22"/>
          <w:szCs w:val="22"/>
          <w:lang w:val="en-US"/>
        </w:rPr>
        <w:t xml:space="preserve">Prognostic value of blasts in peripheral blood in myelofibrosis in the </w:t>
      </w:r>
      <w:proofErr w:type="spellStart"/>
      <w:r w:rsidRPr="00846A81">
        <w:rPr>
          <w:rStyle w:val="fontstyle01"/>
          <w:rFonts w:ascii="Times New Roman" w:hAnsi="Times New Roman" w:cs="Times New Roman"/>
          <w:sz w:val="22"/>
          <w:szCs w:val="22"/>
          <w:lang w:val="en-US"/>
        </w:rPr>
        <w:t>ruxolitinib</w:t>
      </w:r>
      <w:proofErr w:type="spellEnd"/>
      <w:r w:rsidRPr="00846A81">
        <w:rPr>
          <w:rStyle w:val="fontstyle01"/>
          <w:rFonts w:ascii="Times New Roman" w:hAnsi="Times New Roman" w:cs="Times New Roman"/>
          <w:sz w:val="22"/>
          <w:szCs w:val="22"/>
          <w:lang w:val="en-US"/>
        </w:rPr>
        <w:t xml:space="preserve"> era. Cancer. 2020;126(19):4322–4331</w:t>
      </w:r>
    </w:p>
    <w:p w14:paraId="66EF8CC6" w14:textId="77777777" w:rsidR="004E16B4" w:rsidRPr="00846A81" w:rsidRDefault="004E16B4" w:rsidP="00846A81">
      <w:pPr>
        <w:pStyle w:val="Testonotaapidipagina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846A81">
        <w:rPr>
          <w:rFonts w:ascii="Times New Roman" w:hAnsi="Times New Roman" w:cs="Times New Roman"/>
          <w:sz w:val="22"/>
          <w:szCs w:val="22"/>
        </w:rPr>
        <w:t xml:space="preserve">Gale RP, </w:t>
      </w:r>
      <w:proofErr w:type="spellStart"/>
      <w:r w:rsidRPr="00846A81">
        <w:rPr>
          <w:rFonts w:ascii="Times New Roman" w:hAnsi="Times New Roman" w:cs="Times New Roman"/>
          <w:sz w:val="22"/>
          <w:szCs w:val="22"/>
        </w:rPr>
        <w:t>Barosi</w:t>
      </w:r>
      <w:proofErr w:type="spellEnd"/>
      <w:r w:rsidRPr="00846A81">
        <w:rPr>
          <w:rFonts w:ascii="Times New Roman" w:hAnsi="Times New Roman" w:cs="Times New Roman"/>
          <w:sz w:val="22"/>
          <w:szCs w:val="22"/>
        </w:rPr>
        <w:t xml:space="preserve"> G, </w:t>
      </w:r>
      <w:proofErr w:type="spellStart"/>
      <w:r w:rsidRPr="00846A81">
        <w:rPr>
          <w:rFonts w:ascii="Times New Roman" w:hAnsi="Times New Roman" w:cs="Times New Roman"/>
          <w:sz w:val="22"/>
          <w:szCs w:val="22"/>
        </w:rPr>
        <w:t>Barbui</w:t>
      </w:r>
      <w:proofErr w:type="spellEnd"/>
      <w:r w:rsidRPr="00846A81">
        <w:rPr>
          <w:rFonts w:ascii="Times New Roman" w:hAnsi="Times New Roman" w:cs="Times New Roman"/>
          <w:sz w:val="22"/>
          <w:szCs w:val="22"/>
        </w:rPr>
        <w:t xml:space="preserve"> T, et al. </w:t>
      </w:r>
      <w:r w:rsidRPr="00846A81">
        <w:rPr>
          <w:rFonts w:ascii="Times New Roman" w:hAnsi="Times New Roman" w:cs="Times New Roman"/>
          <w:sz w:val="22"/>
          <w:szCs w:val="22"/>
          <w:lang w:val="en-US"/>
        </w:rPr>
        <w:t xml:space="preserve">What </w:t>
      </w:r>
      <w:proofErr w:type="gramStart"/>
      <w:r w:rsidRPr="00846A81">
        <w:rPr>
          <w:rFonts w:ascii="Times New Roman" w:hAnsi="Times New Roman" w:cs="Times New Roman"/>
          <w:sz w:val="22"/>
          <w:szCs w:val="22"/>
          <w:lang w:val="en-US"/>
        </w:rPr>
        <w:t>are</w:t>
      </w:r>
      <w:proofErr w:type="gramEnd"/>
      <w:r w:rsidRPr="00846A81">
        <w:rPr>
          <w:rFonts w:ascii="Times New Roman" w:hAnsi="Times New Roman" w:cs="Times New Roman"/>
          <w:sz w:val="22"/>
          <w:szCs w:val="22"/>
          <w:lang w:val="en-US"/>
        </w:rPr>
        <w:t xml:space="preserve"> RBC-transfusion-dependence and -independence? </w:t>
      </w:r>
      <w:r w:rsidRPr="00846A81">
        <w:rPr>
          <w:rFonts w:ascii="Times New Roman" w:hAnsi="Times New Roman" w:cs="Times New Roman"/>
          <w:i/>
          <w:iCs/>
          <w:sz w:val="22"/>
          <w:szCs w:val="22"/>
          <w:lang w:val="en-US"/>
        </w:rPr>
        <w:t>Leukemia Res</w:t>
      </w:r>
      <w:r w:rsidRPr="00846A81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gramStart"/>
      <w:r w:rsidRPr="00846A81">
        <w:rPr>
          <w:rFonts w:ascii="Times New Roman" w:hAnsi="Times New Roman" w:cs="Times New Roman"/>
          <w:sz w:val="22"/>
          <w:szCs w:val="22"/>
          <w:lang w:val="en-US"/>
        </w:rPr>
        <w:t>2011;</w:t>
      </w:r>
      <w:r w:rsidRPr="00846A81">
        <w:rPr>
          <w:rFonts w:ascii="Times New Roman" w:hAnsi="Times New Roman" w:cs="Times New Roman"/>
          <w:b/>
          <w:bCs/>
          <w:sz w:val="22"/>
          <w:szCs w:val="22"/>
          <w:lang w:val="en-US"/>
        </w:rPr>
        <w:t>35</w:t>
      </w:r>
      <w:r w:rsidRPr="00846A81">
        <w:rPr>
          <w:rFonts w:ascii="Times New Roman" w:hAnsi="Times New Roman" w:cs="Times New Roman"/>
          <w:sz w:val="22"/>
          <w:szCs w:val="22"/>
          <w:lang w:val="en-US"/>
        </w:rPr>
        <w:t>:8</w:t>
      </w:r>
      <w:proofErr w:type="gramEnd"/>
      <w:r w:rsidRPr="00846A81">
        <w:rPr>
          <w:rFonts w:ascii="Times New Roman" w:hAnsi="Times New Roman" w:cs="Times New Roman"/>
          <w:sz w:val="22"/>
          <w:szCs w:val="22"/>
          <w:lang w:val="en-US"/>
        </w:rPr>
        <w:t>-11.</w:t>
      </w:r>
    </w:p>
    <w:p w14:paraId="4FACABA4" w14:textId="77777777" w:rsidR="004E16B4" w:rsidRPr="00846A81" w:rsidRDefault="004E16B4" w:rsidP="00846A81">
      <w:pPr>
        <w:pStyle w:val="Testonotaapidipagina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846A81">
        <w:rPr>
          <w:rFonts w:ascii="Times New Roman" w:hAnsi="Times New Roman" w:cs="Times New Roman"/>
          <w:sz w:val="22"/>
          <w:szCs w:val="22"/>
          <w:lang w:val="en-US"/>
        </w:rPr>
        <w:t xml:space="preserve">Common Terminology Criteria for Adverse Events (CTCAE) version 5.0 </w:t>
      </w:r>
      <w:hyperlink r:id="rId12" w:history="1">
        <w:r w:rsidRPr="00846A81">
          <w:rPr>
            <w:rStyle w:val="Collegamentoipertestuale"/>
            <w:rFonts w:ascii="Times New Roman" w:hAnsi="Times New Roman" w:cs="Times New Roman"/>
            <w:sz w:val="22"/>
            <w:szCs w:val="22"/>
            <w:lang w:val="en-US"/>
          </w:rPr>
          <w:t>ttps://ctep.cancer.gov/protocoldevelopment/electronic_applications/docs/CTCAE_v5_Quick_Reference_5x7.pdf</w:t>
        </w:r>
      </w:hyperlink>
      <w:r w:rsidRPr="00846A81">
        <w:rPr>
          <w:rFonts w:ascii="Times New Roman" w:hAnsi="Times New Roman" w:cs="Times New Roman"/>
          <w:sz w:val="22"/>
          <w:szCs w:val="22"/>
          <w:lang w:val="en-US"/>
        </w:rPr>
        <w:t xml:space="preserve"> (accessed on August 31st) </w:t>
      </w:r>
    </w:p>
    <w:p w14:paraId="1205B88A" w14:textId="02C80D23" w:rsidR="004E16B4" w:rsidRPr="00846A81" w:rsidRDefault="004E16B4" w:rsidP="00846A81">
      <w:pPr>
        <w:pStyle w:val="Testonotaapidipagina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proofErr w:type="spellStart"/>
      <w:r w:rsidRPr="00846A81">
        <w:rPr>
          <w:rFonts w:ascii="Times New Roman" w:hAnsi="Times New Roman" w:cs="Times New Roman"/>
          <w:sz w:val="22"/>
          <w:szCs w:val="22"/>
        </w:rPr>
        <w:t>Tefferi</w:t>
      </w:r>
      <w:proofErr w:type="spellEnd"/>
      <w:r w:rsidRPr="00846A8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proofErr w:type="gramStart"/>
      <w:r w:rsidRPr="00846A81">
        <w:rPr>
          <w:rFonts w:ascii="Times New Roman" w:hAnsi="Times New Roman" w:cs="Times New Roman"/>
          <w:sz w:val="22"/>
          <w:szCs w:val="22"/>
        </w:rPr>
        <w:t>A,Cervantes</w:t>
      </w:r>
      <w:proofErr w:type="spellEnd"/>
      <w:proofErr w:type="gramEnd"/>
      <w:r w:rsidRPr="00846A81">
        <w:rPr>
          <w:rFonts w:ascii="Times New Roman" w:hAnsi="Times New Roman" w:cs="Times New Roman"/>
          <w:sz w:val="22"/>
          <w:szCs w:val="22"/>
        </w:rPr>
        <w:t xml:space="preserve"> F, Mesa R, et al. </w:t>
      </w:r>
      <w:r w:rsidRPr="00846A81">
        <w:rPr>
          <w:rFonts w:ascii="Times New Roman" w:hAnsi="Times New Roman" w:cs="Times New Roman"/>
          <w:spacing w:val="-2"/>
          <w:sz w:val="22"/>
          <w:szCs w:val="22"/>
          <w:lang w:val="en-US"/>
        </w:rPr>
        <w:t xml:space="preserve">Revised response criteria for myelofibrosis: International Working Group-Myeloproliferative Neoplasms Research and Treatment (IWG-MRT) and European </w:t>
      </w:r>
      <w:proofErr w:type="spellStart"/>
      <w:r w:rsidRPr="00846A81">
        <w:rPr>
          <w:rFonts w:ascii="Times New Roman" w:hAnsi="Times New Roman" w:cs="Times New Roman"/>
          <w:spacing w:val="-2"/>
          <w:sz w:val="22"/>
          <w:szCs w:val="22"/>
          <w:lang w:val="en-US"/>
        </w:rPr>
        <w:t>LeukemiaNet</w:t>
      </w:r>
      <w:proofErr w:type="spellEnd"/>
      <w:r w:rsidRPr="00846A81">
        <w:rPr>
          <w:rFonts w:ascii="Times New Roman" w:hAnsi="Times New Roman" w:cs="Times New Roman"/>
          <w:spacing w:val="-2"/>
          <w:sz w:val="22"/>
          <w:szCs w:val="22"/>
          <w:lang w:val="en-US"/>
        </w:rPr>
        <w:t xml:space="preserve"> (ELN) consensus report. </w:t>
      </w:r>
      <w:hyperlink r:id="rId13" w:history="1">
        <w:r w:rsidRPr="00846A81">
          <w:rPr>
            <w:rStyle w:val="Collegamentoipertestuale"/>
            <w:rFonts w:ascii="Times New Roman" w:hAnsi="Times New Roman" w:cs="Times New Roman"/>
            <w:i/>
            <w:iCs/>
            <w:color w:val="auto"/>
            <w:sz w:val="22"/>
            <w:szCs w:val="22"/>
            <w:u w:val="none"/>
            <w:lang w:val="en-US"/>
          </w:rPr>
          <w:t>Blood</w:t>
        </w:r>
      </w:hyperlink>
      <w:r w:rsidRPr="00846A81"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  <w:lang w:val="en-US"/>
        </w:rPr>
        <w:t> </w:t>
      </w:r>
      <w:r w:rsidRPr="00846A81">
        <w:rPr>
          <w:rFonts w:ascii="Times New Roman" w:hAnsi="Times New Roman" w:cs="Times New Roman"/>
          <w:sz w:val="22"/>
          <w:szCs w:val="22"/>
          <w:shd w:val="clear" w:color="auto" w:fill="FFFFFF"/>
          <w:lang w:val="en-US"/>
        </w:rPr>
        <w:t xml:space="preserve">2013; </w:t>
      </w:r>
      <w:r w:rsidRPr="00846A81"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  <w:lang w:val="en-US"/>
        </w:rPr>
        <w:t xml:space="preserve">122: </w:t>
      </w:r>
      <w:r w:rsidRPr="00846A81">
        <w:rPr>
          <w:rFonts w:ascii="Times New Roman" w:hAnsi="Times New Roman" w:cs="Times New Roman"/>
          <w:sz w:val="22"/>
          <w:szCs w:val="22"/>
          <w:shd w:val="clear" w:color="auto" w:fill="FFFFFF"/>
          <w:lang w:val="en-US"/>
        </w:rPr>
        <w:t>1395–8.</w:t>
      </w:r>
    </w:p>
    <w:p w14:paraId="49FF49AB" w14:textId="77777777" w:rsidR="004E16B4" w:rsidRPr="00846A81" w:rsidRDefault="004E16B4" w:rsidP="00846A81">
      <w:pPr>
        <w:pStyle w:val="Testonotaapidipagina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D968BF">
        <w:rPr>
          <w:rFonts w:ascii="Times New Roman" w:hAnsi="Times New Roman" w:cs="Times New Roman"/>
          <w:sz w:val="22"/>
          <w:szCs w:val="22"/>
          <w:lang w:val="en-US"/>
        </w:rPr>
        <w:t xml:space="preserve">Mesa RA, Gotlib J, Gupta V, et al. </w:t>
      </w:r>
      <w:r w:rsidRPr="00846A81">
        <w:rPr>
          <w:rFonts w:ascii="Times New Roman" w:hAnsi="Times New Roman" w:cs="Times New Roman"/>
          <w:sz w:val="22"/>
          <w:szCs w:val="22"/>
          <w:lang w:val="en-US"/>
        </w:rPr>
        <w:t xml:space="preserve">Effect of </w:t>
      </w:r>
      <w:proofErr w:type="spellStart"/>
      <w:r w:rsidRPr="00846A81">
        <w:rPr>
          <w:rFonts w:ascii="Times New Roman" w:hAnsi="Times New Roman" w:cs="Times New Roman"/>
          <w:sz w:val="22"/>
          <w:szCs w:val="22"/>
          <w:lang w:val="en-US"/>
        </w:rPr>
        <w:t>ruxolitinib</w:t>
      </w:r>
      <w:proofErr w:type="spellEnd"/>
      <w:r w:rsidRPr="00846A81">
        <w:rPr>
          <w:rFonts w:ascii="Times New Roman" w:hAnsi="Times New Roman" w:cs="Times New Roman"/>
          <w:sz w:val="22"/>
          <w:szCs w:val="22"/>
          <w:lang w:val="en-US"/>
        </w:rPr>
        <w:t xml:space="preserve"> therapy on myelofibrosis-related symptoms and other patient-reported outcomes in COMFORT-I: a randomized, double-blind, placebo-controlled trial. </w:t>
      </w:r>
      <w:r w:rsidRPr="004E224F">
        <w:rPr>
          <w:rFonts w:ascii="Times New Roman" w:hAnsi="Times New Roman" w:cs="Times New Roman"/>
          <w:i/>
          <w:iCs/>
          <w:sz w:val="22"/>
          <w:szCs w:val="22"/>
          <w:lang w:val="en-US"/>
        </w:rPr>
        <w:t>J Clin Oncol</w:t>
      </w:r>
      <w:r w:rsidRPr="004E224F">
        <w:rPr>
          <w:rFonts w:ascii="Times New Roman" w:hAnsi="Times New Roman" w:cs="Times New Roman"/>
          <w:sz w:val="22"/>
          <w:szCs w:val="22"/>
          <w:lang w:val="en-US"/>
        </w:rPr>
        <w:t xml:space="preserve"> 2013; </w:t>
      </w:r>
      <w:r w:rsidRPr="004E224F">
        <w:rPr>
          <w:rFonts w:ascii="Times New Roman" w:hAnsi="Times New Roman" w:cs="Times New Roman"/>
          <w:b/>
          <w:bCs/>
          <w:sz w:val="22"/>
          <w:szCs w:val="22"/>
          <w:lang w:val="en-US"/>
        </w:rPr>
        <w:t>31</w:t>
      </w:r>
      <w:r w:rsidRPr="004E224F">
        <w:rPr>
          <w:rFonts w:ascii="Times New Roman" w:hAnsi="Times New Roman" w:cs="Times New Roman"/>
          <w:sz w:val="22"/>
          <w:szCs w:val="22"/>
          <w:lang w:val="en-US"/>
        </w:rPr>
        <w:t>: 1285-92.</w:t>
      </w:r>
    </w:p>
    <w:p w14:paraId="37DF8800" w14:textId="77777777" w:rsidR="004E16B4" w:rsidRPr="00846A81" w:rsidRDefault="004E16B4" w:rsidP="00846A81">
      <w:pPr>
        <w:pStyle w:val="Testonotaapidipagina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846A81">
        <w:rPr>
          <w:rFonts w:ascii="Times New Roman" w:hAnsi="Times New Roman" w:cs="Times New Roman"/>
          <w:sz w:val="22"/>
          <w:szCs w:val="22"/>
        </w:rPr>
        <w:t xml:space="preserve">Marchetti M, </w:t>
      </w:r>
      <w:proofErr w:type="spellStart"/>
      <w:r w:rsidRPr="00846A81">
        <w:rPr>
          <w:rFonts w:ascii="Times New Roman" w:hAnsi="Times New Roman" w:cs="Times New Roman"/>
          <w:sz w:val="22"/>
          <w:szCs w:val="22"/>
        </w:rPr>
        <w:t>Barosi</w:t>
      </w:r>
      <w:proofErr w:type="spellEnd"/>
      <w:r w:rsidRPr="00846A81">
        <w:rPr>
          <w:rFonts w:ascii="Times New Roman" w:hAnsi="Times New Roman" w:cs="Times New Roman"/>
          <w:sz w:val="22"/>
          <w:szCs w:val="22"/>
        </w:rPr>
        <w:t xml:space="preserve"> G, Cervantes F, et al. </w:t>
      </w:r>
      <w:r w:rsidRPr="00846A81">
        <w:rPr>
          <w:rFonts w:ascii="Times New Roman" w:hAnsi="Times New Roman" w:cs="Times New Roman"/>
          <w:sz w:val="22"/>
          <w:szCs w:val="22"/>
          <w:lang w:val="en-US"/>
        </w:rPr>
        <w:t xml:space="preserve">Which patients with myelofibrosis should receive </w:t>
      </w:r>
      <w:proofErr w:type="spellStart"/>
      <w:r w:rsidRPr="00846A81">
        <w:rPr>
          <w:rFonts w:ascii="Times New Roman" w:hAnsi="Times New Roman" w:cs="Times New Roman"/>
          <w:sz w:val="22"/>
          <w:szCs w:val="22"/>
          <w:lang w:val="en-US"/>
        </w:rPr>
        <w:t>ruxolitinib</w:t>
      </w:r>
      <w:proofErr w:type="spellEnd"/>
      <w:r w:rsidRPr="00846A81">
        <w:rPr>
          <w:rFonts w:ascii="Times New Roman" w:hAnsi="Times New Roman" w:cs="Times New Roman"/>
          <w:sz w:val="22"/>
          <w:szCs w:val="22"/>
          <w:lang w:val="en-US"/>
        </w:rPr>
        <w:t xml:space="preserve"> therapy? ELN-SIE evidence-based recommendations. </w:t>
      </w:r>
      <w:r w:rsidRPr="00846A81">
        <w:rPr>
          <w:rFonts w:ascii="Times New Roman" w:hAnsi="Times New Roman" w:cs="Times New Roman"/>
          <w:i/>
          <w:iCs/>
          <w:sz w:val="22"/>
          <w:szCs w:val="22"/>
          <w:lang w:val="en-US"/>
        </w:rPr>
        <w:t>Leukemia</w:t>
      </w:r>
      <w:r w:rsidRPr="00846A81">
        <w:rPr>
          <w:rFonts w:ascii="Times New Roman" w:hAnsi="Times New Roman" w:cs="Times New Roman"/>
          <w:sz w:val="22"/>
          <w:szCs w:val="22"/>
          <w:lang w:val="en-US"/>
        </w:rPr>
        <w:t xml:space="preserve"> 2017; </w:t>
      </w:r>
      <w:r w:rsidRPr="00846A81">
        <w:rPr>
          <w:rFonts w:ascii="Times New Roman" w:hAnsi="Times New Roman" w:cs="Times New Roman"/>
          <w:b/>
          <w:bCs/>
          <w:sz w:val="22"/>
          <w:szCs w:val="22"/>
          <w:lang w:val="en-US"/>
        </w:rPr>
        <w:t>31</w:t>
      </w:r>
      <w:r w:rsidRPr="00846A81">
        <w:rPr>
          <w:rFonts w:ascii="Times New Roman" w:hAnsi="Times New Roman" w:cs="Times New Roman"/>
          <w:sz w:val="22"/>
          <w:szCs w:val="22"/>
          <w:lang w:val="en-US"/>
        </w:rPr>
        <w:t>: 882-8.</w:t>
      </w:r>
    </w:p>
    <w:p w14:paraId="22FFB5B2" w14:textId="61B95091" w:rsidR="004E16B4" w:rsidRPr="00846A81" w:rsidRDefault="00846A81" w:rsidP="00846A81">
      <w:pPr>
        <w:pStyle w:val="Testonotaapidipagina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D968BF">
        <w:rPr>
          <w:rFonts w:ascii="Times New Roman" w:hAnsi="Times New Roman" w:cs="Times New Roman"/>
          <w:sz w:val="22"/>
          <w:szCs w:val="22"/>
          <w:shd w:val="clear" w:color="auto" w:fill="FFFFFF"/>
          <w:lang w:val="en-US"/>
        </w:rPr>
        <w:t xml:space="preserve">Arber DA, Orazi A, </w:t>
      </w:r>
      <w:proofErr w:type="spellStart"/>
      <w:r w:rsidRPr="00D968BF">
        <w:rPr>
          <w:rFonts w:ascii="Times New Roman" w:hAnsi="Times New Roman" w:cs="Times New Roman"/>
          <w:sz w:val="22"/>
          <w:szCs w:val="22"/>
          <w:shd w:val="clear" w:color="auto" w:fill="FFFFFF"/>
          <w:lang w:val="en-US"/>
        </w:rPr>
        <w:t>Hasserjian</w:t>
      </w:r>
      <w:proofErr w:type="spellEnd"/>
      <w:r w:rsidRPr="00D968BF">
        <w:rPr>
          <w:rFonts w:ascii="Times New Roman" w:hAnsi="Times New Roman" w:cs="Times New Roman"/>
          <w:sz w:val="22"/>
          <w:szCs w:val="22"/>
          <w:shd w:val="clear" w:color="auto" w:fill="FFFFFF"/>
          <w:lang w:val="en-US"/>
        </w:rPr>
        <w:t xml:space="preserve"> RP, et al. </w:t>
      </w:r>
      <w:r w:rsidRPr="003F24A7">
        <w:rPr>
          <w:rFonts w:ascii="Times New Roman" w:hAnsi="Times New Roman" w:cs="Times New Roman"/>
          <w:sz w:val="22"/>
          <w:szCs w:val="22"/>
          <w:shd w:val="clear" w:color="auto" w:fill="FFFFFF"/>
          <w:lang w:val="en-US"/>
        </w:rPr>
        <w:t>International Consensus Classification of Myeloid Neoplasms and Acute Leukemias: integrating morphologic, clinical, and genomic data. </w:t>
      </w:r>
      <w:r w:rsidRPr="003F24A7">
        <w:rPr>
          <w:rStyle w:val="ref-journal"/>
          <w:rFonts w:ascii="Times New Roman" w:hAnsi="Times New Roman" w:cs="Times New Roman"/>
          <w:i/>
          <w:iCs/>
          <w:sz w:val="22"/>
          <w:szCs w:val="22"/>
          <w:shd w:val="clear" w:color="auto" w:fill="FFFFFF"/>
          <w:lang w:val="en-US"/>
        </w:rPr>
        <w:t>Blood </w:t>
      </w:r>
      <w:r w:rsidRPr="003F24A7">
        <w:rPr>
          <w:rFonts w:ascii="Times New Roman" w:hAnsi="Times New Roman" w:cs="Times New Roman"/>
          <w:sz w:val="22"/>
          <w:szCs w:val="22"/>
          <w:shd w:val="clear" w:color="auto" w:fill="FFFFFF"/>
          <w:lang w:val="en-US"/>
        </w:rPr>
        <w:t>2022;</w:t>
      </w:r>
      <w:r>
        <w:rPr>
          <w:rFonts w:ascii="Times New Roman" w:hAnsi="Times New Roman" w:cs="Times New Roman"/>
          <w:sz w:val="22"/>
          <w:szCs w:val="22"/>
          <w:shd w:val="clear" w:color="auto" w:fill="FFFFFF"/>
          <w:lang w:val="en-US"/>
        </w:rPr>
        <w:t xml:space="preserve"> </w:t>
      </w:r>
      <w:r w:rsidRPr="003F24A7">
        <w:rPr>
          <w:rStyle w:val="ref-vol"/>
          <w:rFonts w:ascii="Times New Roman" w:hAnsi="Times New Roman" w:cs="Times New Roman"/>
          <w:b/>
          <w:bCs/>
          <w:sz w:val="22"/>
          <w:szCs w:val="22"/>
          <w:shd w:val="clear" w:color="auto" w:fill="FFFFFF"/>
          <w:lang w:val="en-US"/>
        </w:rPr>
        <w:t>140</w:t>
      </w:r>
      <w:r w:rsidRPr="003F24A7">
        <w:rPr>
          <w:rFonts w:ascii="Times New Roman" w:hAnsi="Times New Roman" w:cs="Times New Roman"/>
          <w:sz w:val="22"/>
          <w:szCs w:val="22"/>
          <w:shd w:val="clear" w:color="auto" w:fill="FFFFFF"/>
          <w:lang w:val="en-US"/>
        </w:rPr>
        <w:t>:</w:t>
      </w:r>
      <w:r>
        <w:rPr>
          <w:rFonts w:ascii="Times New Roman" w:hAnsi="Times New Roman" w:cs="Times New Roman"/>
          <w:sz w:val="22"/>
          <w:szCs w:val="22"/>
          <w:shd w:val="clear" w:color="auto" w:fill="FFFFFF"/>
          <w:lang w:val="en-US"/>
        </w:rPr>
        <w:t xml:space="preserve"> </w:t>
      </w:r>
      <w:r w:rsidRPr="003F24A7">
        <w:rPr>
          <w:rFonts w:ascii="Times New Roman" w:hAnsi="Times New Roman" w:cs="Times New Roman"/>
          <w:sz w:val="22"/>
          <w:szCs w:val="22"/>
          <w:shd w:val="clear" w:color="auto" w:fill="FFFFFF"/>
          <w:lang w:val="en-US"/>
        </w:rPr>
        <w:t xml:space="preserve">1200–28. </w:t>
      </w:r>
    </w:p>
    <w:p w14:paraId="63C3C1B0" w14:textId="77777777" w:rsidR="004E16B4" w:rsidRPr="00846A81" w:rsidRDefault="004E16B4" w:rsidP="00846A81">
      <w:pPr>
        <w:pStyle w:val="Testonotaapidipagina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D968BF">
        <w:rPr>
          <w:rFonts w:ascii="Times New Roman" w:hAnsi="Times New Roman" w:cs="Times New Roman"/>
          <w:sz w:val="22"/>
          <w:szCs w:val="22"/>
          <w:lang w:val="da-DK"/>
        </w:rPr>
        <w:t xml:space="preserve">Hudgens S, Verstovsek S, Floden L, et al. </w:t>
      </w:r>
      <w:r w:rsidRPr="00846A81">
        <w:rPr>
          <w:rFonts w:ascii="Times New Roman" w:hAnsi="Times New Roman" w:cs="Times New Roman"/>
          <w:sz w:val="22"/>
          <w:szCs w:val="22"/>
          <w:lang w:val="en-US"/>
        </w:rPr>
        <w:t xml:space="preserve">Meaningful symptomatic change in patients with myelofibrosis from the SIMPLIFY studies. </w:t>
      </w:r>
      <w:r w:rsidRPr="00846A81">
        <w:rPr>
          <w:rFonts w:ascii="Times New Roman" w:hAnsi="Times New Roman" w:cs="Times New Roman"/>
          <w:i/>
          <w:iCs/>
          <w:sz w:val="22"/>
          <w:szCs w:val="22"/>
          <w:lang w:val="en-US"/>
        </w:rPr>
        <w:t>Value Health</w:t>
      </w:r>
      <w:r w:rsidRPr="00846A81">
        <w:rPr>
          <w:rFonts w:ascii="Times New Roman" w:hAnsi="Times New Roman" w:cs="Times New Roman"/>
          <w:sz w:val="22"/>
          <w:szCs w:val="22"/>
          <w:lang w:val="en-US"/>
        </w:rPr>
        <w:t xml:space="preserve"> 2024; </w:t>
      </w:r>
      <w:r w:rsidRPr="00846A81">
        <w:rPr>
          <w:rFonts w:ascii="Times New Roman" w:hAnsi="Times New Roman" w:cs="Times New Roman"/>
          <w:b/>
          <w:bCs/>
          <w:sz w:val="22"/>
          <w:szCs w:val="22"/>
          <w:lang w:val="en-US"/>
        </w:rPr>
        <w:t>27</w:t>
      </w:r>
      <w:r w:rsidRPr="00846A81">
        <w:rPr>
          <w:rFonts w:ascii="Times New Roman" w:hAnsi="Times New Roman" w:cs="Times New Roman"/>
          <w:sz w:val="22"/>
          <w:szCs w:val="22"/>
          <w:lang w:val="en-US"/>
        </w:rPr>
        <w:t xml:space="preserve">: 607-13. </w:t>
      </w:r>
    </w:p>
    <w:p w14:paraId="40D7B147" w14:textId="77777777" w:rsidR="004E16B4" w:rsidRPr="00846A81" w:rsidRDefault="004E16B4" w:rsidP="00846A81">
      <w:pPr>
        <w:pStyle w:val="Testonotaapidipagina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846A81">
        <w:rPr>
          <w:rFonts w:ascii="Times New Roman" w:hAnsi="Times New Roman" w:cs="Times New Roman"/>
          <w:sz w:val="22"/>
          <w:szCs w:val="22"/>
          <w:lang w:val="en-US"/>
        </w:rPr>
        <w:t xml:space="preserve">Mesa RA, Hudgens S, Floden L. Symptomatic benefit of </w:t>
      </w:r>
      <w:proofErr w:type="spellStart"/>
      <w:r w:rsidRPr="00846A81">
        <w:rPr>
          <w:rFonts w:ascii="Times New Roman" w:hAnsi="Times New Roman" w:cs="Times New Roman"/>
          <w:sz w:val="22"/>
          <w:szCs w:val="22"/>
          <w:lang w:val="en-US"/>
        </w:rPr>
        <w:t>momelotinib</w:t>
      </w:r>
      <w:proofErr w:type="spellEnd"/>
      <w:r w:rsidRPr="00846A81">
        <w:rPr>
          <w:rFonts w:ascii="Times New Roman" w:hAnsi="Times New Roman" w:cs="Times New Roman"/>
          <w:sz w:val="22"/>
          <w:szCs w:val="22"/>
          <w:lang w:val="en-US"/>
        </w:rPr>
        <w:t xml:space="preserve"> in patients with myelofibrosis: results from the SIMPLIFY phase III studies. </w:t>
      </w:r>
      <w:r w:rsidRPr="00846A81">
        <w:rPr>
          <w:rFonts w:ascii="Times New Roman" w:hAnsi="Times New Roman" w:cs="Times New Roman"/>
          <w:i/>
          <w:iCs/>
          <w:sz w:val="22"/>
          <w:szCs w:val="22"/>
          <w:lang w:val="en-US"/>
        </w:rPr>
        <w:t>Cancer Med</w:t>
      </w:r>
      <w:r w:rsidRPr="00846A81">
        <w:rPr>
          <w:rFonts w:ascii="Times New Roman" w:hAnsi="Times New Roman" w:cs="Times New Roman"/>
          <w:sz w:val="22"/>
          <w:szCs w:val="22"/>
          <w:lang w:val="en-US"/>
        </w:rPr>
        <w:t xml:space="preserve"> 2023; </w:t>
      </w:r>
      <w:r w:rsidRPr="00846A81">
        <w:rPr>
          <w:rFonts w:ascii="Times New Roman" w:hAnsi="Times New Roman" w:cs="Times New Roman"/>
          <w:b/>
          <w:bCs/>
          <w:sz w:val="22"/>
          <w:szCs w:val="22"/>
          <w:lang w:val="en-US"/>
        </w:rPr>
        <w:t>12</w:t>
      </w:r>
      <w:r w:rsidRPr="00846A81">
        <w:rPr>
          <w:rFonts w:ascii="Times New Roman" w:hAnsi="Times New Roman" w:cs="Times New Roman"/>
          <w:sz w:val="22"/>
          <w:szCs w:val="22"/>
          <w:lang w:val="en-US"/>
        </w:rPr>
        <w:t>: 10612-24</w:t>
      </w:r>
    </w:p>
    <w:p w14:paraId="21A9E04F" w14:textId="77777777" w:rsidR="004E16B4" w:rsidRPr="00846A81" w:rsidRDefault="004E16B4" w:rsidP="00846A81">
      <w:pPr>
        <w:pStyle w:val="Testonotaapidipagina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846A81">
        <w:rPr>
          <w:rFonts w:ascii="Times New Roman" w:hAnsi="Times New Roman" w:cs="Times New Roman"/>
          <w:sz w:val="22"/>
          <w:szCs w:val="22"/>
          <w:lang w:val="en-US"/>
        </w:rPr>
        <w:t xml:space="preserve">Bosco E, Hsueh L, McConeghy KW, </w:t>
      </w:r>
      <w:proofErr w:type="spellStart"/>
      <w:r w:rsidRPr="00846A81">
        <w:rPr>
          <w:rFonts w:ascii="Times New Roman" w:hAnsi="Times New Roman" w:cs="Times New Roman"/>
          <w:sz w:val="22"/>
          <w:szCs w:val="22"/>
          <w:lang w:val="en-US"/>
        </w:rPr>
        <w:t>Gravenstain</w:t>
      </w:r>
      <w:proofErr w:type="spellEnd"/>
      <w:r w:rsidRPr="00846A81">
        <w:rPr>
          <w:rFonts w:ascii="Times New Roman" w:hAnsi="Times New Roman" w:cs="Times New Roman"/>
          <w:sz w:val="22"/>
          <w:szCs w:val="22"/>
          <w:lang w:val="en-US"/>
        </w:rPr>
        <w:t xml:space="preserve"> S, Saade E. Major adverse cardiovascular event definitions used in observational analysis of administrative databases: a systematic review. </w:t>
      </w:r>
      <w:r w:rsidRPr="00846A81">
        <w:rPr>
          <w:rFonts w:ascii="Times New Roman" w:hAnsi="Times New Roman" w:cs="Times New Roman"/>
          <w:i/>
          <w:iCs/>
          <w:sz w:val="22"/>
          <w:szCs w:val="22"/>
          <w:lang w:val="en-US"/>
        </w:rPr>
        <w:t xml:space="preserve">BMC Medical Res </w:t>
      </w:r>
      <w:proofErr w:type="spellStart"/>
      <w:r w:rsidRPr="00846A81">
        <w:rPr>
          <w:rFonts w:ascii="Times New Roman" w:hAnsi="Times New Roman" w:cs="Times New Roman"/>
          <w:i/>
          <w:iCs/>
          <w:sz w:val="22"/>
          <w:szCs w:val="22"/>
          <w:lang w:val="en-US"/>
        </w:rPr>
        <w:t>Methodol</w:t>
      </w:r>
      <w:proofErr w:type="spellEnd"/>
      <w:r w:rsidRPr="00846A81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gramStart"/>
      <w:r w:rsidRPr="00846A81">
        <w:rPr>
          <w:rFonts w:ascii="Times New Roman" w:hAnsi="Times New Roman" w:cs="Times New Roman"/>
          <w:sz w:val="22"/>
          <w:szCs w:val="22"/>
          <w:lang w:val="en-US"/>
        </w:rPr>
        <w:t>2021;</w:t>
      </w:r>
      <w:r w:rsidRPr="00846A81">
        <w:rPr>
          <w:rFonts w:ascii="Times New Roman" w:hAnsi="Times New Roman" w:cs="Times New Roman"/>
          <w:b/>
          <w:bCs/>
          <w:sz w:val="22"/>
          <w:szCs w:val="22"/>
          <w:lang w:val="en-US"/>
        </w:rPr>
        <w:t>21</w:t>
      </w:r>
      <w:r w:rsidRPr="00846A81">
        <w:rPr>
          <w:rFonts w:ascii="Times New Roman" w:hAnsi="Times New Roman" w:cs="Times New Roman"/>
          <w:sz w:val="22"/>
          <w:szCs w:val="22"/>
          <w:lang w:val="en-US"/>
        </w:rPr>
        <w:t>:241</w:t>
      </w:r>
      <w:proofErr w:type="gramEnd"/>
      <w:r w:rsidRPr="00846A81">
        <w:rPr>
          <w:rFonts w:ascii="Times New Roman" w:hAnsi="Times New Roman" w:cs="Times New Roman"/>
          <w:sz w:val="22"/>
          <w:szCs w:val="22"/>
          <w:lang w:val="en-US"/>
        </w:rPr>
        <w:t>.</w:t>
      </w:r>
    </w:p>
    <w:p w14:paraId="26F990AF" w14:textId="77777777" w:rsidR="004E16B4" w:rsidRPr="00846A81" w:rsidRDefault="004E16B4" w:rsidP="00846A81">
      <w:pPr>
        <w:pStyle w:val="Testonotaapidipagina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846A81">
        <w:rPr>
          <w:rFonts w:ascii="Times New Roman" w:hAnsi="Times New Roman" w:cs="Times New Roman"/>
          <w:sz w:val="22"/>
          <w:szCs w:val="22"/>
          <w:lang w:val="en-US"/>
        </w:rPr>
        <w:lastRenderedPageBreak/>
        <w:t xml:space="preserve">Schulman S, Kearon C. Subcommittee on control of anticoagulation of the Scientific and Standardization Committee of the International Society on Thrombosis and </w:t>
      </w:r>
      <w:proofErr w:type="spellStart"/>
      <w:r w:rsidRPr="00846A81">
        <w:rPr>
          <w:rFonts w:ascii="Times New Roman" w:hAnsi="Times New Roman" w:cs="Times New Roman"/>
          <w:sz w:val="22"/>
          <w:szCs w:val="22"/>
          <w:lang w:val="en-US"/>
        </w:rPr>
        <w:t>Haemostasis</w:t>
      </w:r>
      <w:proofErr w:type="spellEnd"/>
      <w:r w:rsidRPr="00846A81">
        <w:rPr>
          <w:rFonts w:ascii="Times New Roman" w:hAnsi="Times New Roman" w:cs="Times New Roman"/>
          <w:sz w:val="22"/>
          <w:szCs w:val="22"/>
          <w:lang w:val="en-US"/>
        </w:rPr>
        <w:t xml:space="preserve">. Definition of major bleeding in clinical investigations of </w:t>
      </w:r>
      <w:proofErr w:type="spellStart"/>
      <w:r w:rsidRPr="00846A81">
        <w:rPr>
          <w:rFonts w:ascii="Times New Roman" w:hAnsi="Times New Roman" w:cs="Times New Roman"/>
          <w:sz w:val="22"/>
          <w:szCs w:val="22"/>
          <w:lang w:val="en-US"/>
        </w:rPr>
        <w:t>antihemostatic</w:t>
      </w:r>
      <w:proofErr w:type="spellEnd"/>
      <w:r w:rsidRPr="00846A81">
        <w:rPr>
          <w:rFonts w:ascii="Times New Roman" w:hAnsi="Times New Roman" w:cs="Times New Roman"/>
          <w:sz w:val="22"/>
          <w:szCs w:val="22"/>
          <w:lang w:val="en-US"/>
        </w:rPr>
        <w:t xml:space="preserve"> medicinal products in non-surgical patients. </w:t>
      </w:r>
      <w:r w:rsidRPr="00846A81">
        <w:rPr>
          <w:rFonts w:ascii="Times New Roman" w:hAnsi="Times New Roman" w:cs="Times New Roman"/>
          <w:i/>
          <w:iCs/>
          <w:sz w:val="22"/>
          <w:szCs w:val="22"/>
          <w:lang w:val="en-US"/>
        </w:rPr>
        <w:t xml:space="preserve">J </w:t>
      </w:r>
      <w:proofErr w:type="spellStart"/>
      <w:r w:rsidRPr="00846A81">
        <w:rPr>
          <w:rFonts w:ascii="Times New Roman" w:hAnsi="Times New Roman" w:cs="Times New Roman"/>
          <w:i/>
          <w:iCs/>
          <w:sz w:val="22"/>
          <w:szCs w:val="22"/>
          <w:lang w:val="en-US"/>
        </w:rPr>
        <w:t>Thromb</w:t>
      </w:r>
      <w:proofErr w:type="spellEnd"/>
      <w:r w:rsidRPr="00846A81">
        <w:rPr>
          <w:rFonts w:ascii="Times New Roman" w:hAnsi="Times New Roman" w:cs="Times New Roman"/>
          <w:i/>
          <w:iCs/>
          <w:sz w:val="22"/>
          <w:szCs w:val="22"/>
          <w:lang w:val="en-US"/>
        </w:rPr>
        <w:t xml:space="preserve"> </w:t>
      </w:r>
      <w:proofErr w:type="spellStart"/>
      <w:r w:rsidRPr="00846A81">
        <w:rPr>
          <w:rFonts w:ascii="Times New Roman" w:hAnsi="Times New Roman" w:cs="Times New Roman"/>
          <w:i/>
          <w:iCs/>
          <w:sz w:val="22"/>
          <w:szCs w:val="22"/>
          <w:lang w:val="en-US"/>
        </w:rPr>
        <w:t>Haemost</w:t>
      </w:r>
      <w:proofErr w:type="spellEnd"/>
      <w:r w:rsidRPr="00846A81">
        <w:rPr>
          <w:rFonts w:ascii="Times New Roman" w:hAnsi="Times New Roman" w:cs="Times New Roman"/>
          <w:sz w:val="22"/>
          <w:szCs w:val="22"/>
          <w:lang w:val="en-US"/>
        </w:rPr>
        <w:t xml:space="preserve"> 2005; </w:t>
      </w:r>
      <w:r w:rsidRPr="00846A81">
        <w:rPr>
          <w:rFonts w:ascii="Times New Roman" w:hAnsi="Times New Roman" w:cs="Times New Roman"/>
          <w:b/>
          <w:bCs/>
          <w:sz w:val="22"/>
          <w:szCs w:val="22"/>
          <w:lang w:val="en-US"/>
        </w:rPr>
        <w:t>3</w:t>
      </w:r>
      <w:r w:rsidRPr="00846A81">
        <w:rPr>
          <w:rFonts w:ascii="Times New Roman" w:hAnsi="Times New Roman" w:cs="Times New Roman"/>
          <w:sz w:val="22"/>
          <w:szCs w:val="22"/>
          <w:lang w:val="en-US"/>
        </w:rPr>
        <w:t>: 692-4.</w:t>
      </w:r>
    </w:p>
    <w:p w14:paraId="36954222" w14:textId="77777777" w:rsidR="004E16B4" w:rsidRPr="00846A81" w:rsidRDefault="004E16B4" w:rsidP="00846A81">
      <w:pPr>
        <w:pStyle w:val="Testonotaapidipagina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D968BF">
        <w:rPr>
          <w:rFonts w:ascii="Times New Roman" w:hAnsi="Times New Roman" w:cs="Times New Roman"/>
          <w:sz w:val="22"/>
          <w:szCs w:val="22"/>
          <w:shd w:val="clear" w:color="auto" w:fill="FFFFFF"/>
          <w:lang w:val="da-DK"/>
        </w:rPr>
        <w:t xml:space="preserve">England JT, McNamara CJ, Kennedy JA, et al. </w:t>
      </w:r>
      <w:r w:rsidRPr="00846A81">
        <w:rPr>
          <w:rFonts w:ascii="Times New Roman" w:hAnsi="Times New Roman" w:cs="Times New Roman"/>
          <w:sz w:val="22"/>
          <w:szCs w:val="22"/>
          <w:shd w:val="clear" w:color="auto" w:fill="FFFFFF"/>
          <w:lang w:val="en-US"/>
        </w:rPr>
        <w:t xml:space="preserve">Clinical and molecular correlates of JAK-inhibitor therapy failure in myelofibrosis: long-term data from a molecularly annotated cohort. </w:t>
      </w:r>
      <w:r w:rsidRPr="00846A81">
        <w:rPr>
          <w:rFonts w:ascii="Times New Roman" w:hAnsi="Times New Roman" w:cs="Times New Roman"/>
          <w:i/>
          <w:iCs/>
          <w:sz w:val="22"/>
          <w:szCs w:val="22"/>
          <w:shd w:val="clear" w:color="auto" w:fill="FFFFFF"/>
          <w:lang w:val="en-US"/>
        </w:rPr>
        <w:t>Leukemia</w:t>
      </w:r>
      <w:r w:rsidRPr="00846A81">
        <w:rPr>
          <w:rFonts w:ascii="Times New Roman" w:hAnsi="Times New Roman" w:cs="Times New Roman"/>
          <w:sz w:val="22"/>
          <w:szCs w:val="22"/>
          <w:shd w:val="clear" w:color="auto" w:fill="FFFFFF"/>
          <w:lang w:val="en-US"/>
        </w:rPr>
        <w:t xml:space="preserve"> 2022; </w:t>
      </w:r>
      <w:r w:rsidRPr="00846A81"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  <w:lang w:val="en-US"/>
        </w:rPr>
        <w:t>36</w:t>
      </w:r>
      <w:r w:rsidRPr="00846A81">
        <w:rPr>
          <w:rFonts w:ascii="Times New Roman" w:hAnsi="Times New Roman" w:cs="Times New Roman"/>
          <w:sz w:val="22"/>
          <w:szCs w:val="22"/>
          <w:shd w:val="clear" w:color="auto" w:fill="FFFFFF"/>
          <w:lang w:val="en-US"/>
        </w:rPr>
        <w:t xml:space="preserve">: 1689-92. </w:t>
      </w:r>
    </w:p>
    <w:p w14:paraId="3FD29D9D" w14:textId="77777777" w:rsidR="004E16B4" w:rsidRPr="00846A81" w:rsidRDefault="004E16B4" w:rsidP="00846A81">
      <w:pPr>
        <w:pStyle w:val="Testonotaapidipagina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D968BF">
        <w:rPr>
          <w:rFonts w:ascii="Times New Roman" w:hAnsi="Times New Roman" w:cs="Times New Roman"/>
          <w:sz w:val="22"/>
          <w:szCs w:val="22"/>
          <w:shd w:val="clear" w:color="auto" w:fill="FFFFFF"/>
          <w:lang w:val="da-DK"/>
        </w:rPr>
        <w:t xml:space="preserve">Grinfeld J, Nangalia J, Baxter EJ, et al. </w:t>
      </w:r>
      <w:r w:rsidRPr="00846A81">
        <w:rPr>
          <w:rFonts w:ascii="Times New Roman" w:hAnsi="Times New Roman" w:cs="Times New Roman"/>
          <w:sz w:val="22"/>
          <w:szCs w:val="22"/>
          <w:shd w:val="clear" w:color="auto" w:fill="FFFFFF"/>
          <w:lang w:val="en-US"/>
        </w:rPr>
        <w:t xml:space="preserve">Classification and Personalized Prognosis in Myeloproliferative Neoplasms. </w:t>
      </w:r>
      <w:r w:rsidRPr="00846A81">
        <w:rPr>
          <w:rFonts w:ascii="Times New Roman" w:hAnsi="Times New Roman" w:cs="Times New Roman"/>
          <w:i/>
          <w:iCs/>
          <w:sz w:val="22"/>
          <w:szCs w:val="22"/>
          <w:shd w:val="clear" w:color="auto" w:fill="FFFFFF"/>
          <w:lang w:val="en-US"/>
        </w:rPr>
        <w:t>N Engl J Med</w:t>
      </w:r>
      <w:r w:rsidRPr="00846A81">
        <w:rPr>
          <w:rFonts w:ascii="Times New Roman" w:hAnsi="Times New Roman" w:cs="Times New Roman"/>
          <w:sz w:val="22"/>
          <w:szCs w:val="22"/>
          <w:shd w:val="clear" w:color="auto" w:fill="FFFFFF"/>
          <w:lang w:val="en-US"/>
        </w:rPr>
        <w:t xml:space="preserve"> 2018; </w:t>
      </w:r>
      <w:r w:rsidRPr="00846A81"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  <w:lang w:val="en-US"/>
        </w:rPr>
        <w:t>379:</w:t>
      </w:r>
      <w:r w:rsidRPr="00846A81">
        <w:rPr>
          <w:rFonts w:ascii="Times New Roman" w:hAnsi="Times New Roman" w:cs="Times New Roman"/>
          <w:sz w:val="22"/>
          <w:szCs w:val="22"/>
          <w:shd w:val="clear" w:color="auto" w:fill="FFFFFF"/>
          <w:lang w:val="en-US"/>
        </w:rPr>
        <w:t xml:space="preserve"> 1416-30</w:t>
      </w:r>
    </w:p>
    <w:p w14:paraId="0DDD1016" w14:textId="77777777" w:rsidR="004E16B4" w:rsidRPr="00846A81" w:rsidRDefault="004E16B4" w:rsidP="00846A81">
      <w:pPr>
        <w:pStyle w:val="Testonotaapidipagina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D968BF">
        <w:rPr>
          <w:rFonts w:ascii="Times New Roman" w:hAnsi="Times New Roman" w:cs="Times New Roman"/>
          <w:sz w:val="22"/>
          <w:szCs w:val="22"/>
          <w:lang w:val="en-US"/>
        </w:rPr>
        <w:t xml:space="preserve">Kuykendall AT, Talati C, Padron E, et al. </w:t>
      </w:r>
      <w:r w:rsidRPr="00846A81">
        <w:rPr>
          <w:rFonts w:ascii="Times New Roman" w:hAnsi="Times New Roman" w:cs="Times New Roman"/>
          <w:sz w:val="22"/>
          <w:szCs w:val="22"/>
          <w:lang w:val="en-US"/>
        </w:rPr>
        <w:t>Genetically inspired prognostic scoring system (GIPSS) outperforms dynamic international prognostic scoring system (DIPSS) in myelofibrosis patients. </w:t>
      </w:r>
      <w:proofErr w:type="gramStart"/>
      <w:r w:rsidRPr="00846A81">
        <w:rPr>
          <w:rFonts w:ascii="Times New Roman" w:hAnsi="Times New Roman" w:cs="Times New Roman"/>
          <w:i/>
          <w:iCs/>
          <w:sz w:val="22"/>
          <w:szCs w:val="22"/>
          <w:lang w:val="en-US"/>
        </w:rPr>
        <w:t>Am</w:t>
      </w:r>
      <w:proofErr w:type="gramEnd"/>
      <w:r w:rsidRPr="00846A81">
        <w:rPr>
          <w:rFonts w:ascii="Times New Roman" w:hAnsi="Times New Roman" w:cs="Times New Roman"/>
          <w:i/>
          <w:iCs/>
          <w:sz w:val="22"/>
          <w:szCs w:val="22"/>
          <w:lang w:val="en-US"/>
        </w:rPr>
        <w:t xml:space="preserve"> J Hematol</w:t>
      </w:r>
      <w:r w:rsidRPr="00846A81">
        <w:rPr>
          <w:rFonts w:ascii="Times New Roman" w:hAnsi="Times New Roman" w:cs="Times New Roman"/>
          <w:sz w:val="22"/>
          <w:szCs w:val="22"/>
          <w:lang w:val="en-US"/>
        </w:rPr>
        <w:t xml:space="preserve"> 2019; </w:t>
      </w:r>
      <w:r w:rsidRPr="00846A81">
        <w:rPr>
          <w:rFonts w:ascii="Times New Roman" w:hAnsi="Times New Roman" w:cs="Times New Roman"/>
          <w:b/>
          <w:bCs/>
          <w:sz w:val="22"/>
          <w:szCs w:val="22"/>
          <w:lang w:val="en-US"/>
        </w:rPr>
        <w:t>94</w:t>
      </w:r>
      <w:r w:rsidRPr="00846A81">
        <w:rPr>
          <w:rFonts w:ascii="Times New Roman" w:hAnsi="Times New Roman" w:cs="Times New Roman"/>
          <w:sz w:val="22"/>
          <w:szCs w:val="22"/>
          <w:lang w:val="en-US"/>
        </w:rPr>
        <w:t xml:space="preserve">: 87-92. </w:t>
      </w:r>
    </w:p>
    <w:p w14:paraId="1FC7E729" w14:textId="77777777" w:rsidR="004E16B4" w:rsidRPr="00846A81" w:rsidRDefault="004E16B4" w:rsidP="00846A81">
      <w:pPr>
        <w:pStyle w:val="Testonotaapidipagina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846A81">
        <w:rPr>
          <w:rStyle w:val="fontstyle01"/>
          <w:rFonts w:ascii="Times New Roman" w:hAnsi="Times New Roman" w:cs="Times New Roman"/>
          <w:sz w:val="22"/>
          <w:szCs w:val="22"/>
          <w:lang w:val="en-US"/>
        </w:rPr>
        <w:t>Mollard L-M, Chauveau A, Boyer-</w:t>
      </w:r>
      <w:proofErr w:type="spellStart"/>
      <w:r w:rsidRPr="00846A81">
        <w:rPr>
          <w:rStyle w:val="fontstyle01"/>
          <w:rFonts w:ascii="Times New Roman" w:hAnsi="Times New Roman" w:cs="Times New Roman"/>
          <w:sz w:val="22"/>
          <w:szCs w:val="22"/>
          <w:lang w:val="en-US"/>
        </w:rPr>
        <w:t>Perrard</w:t>
      </w:r>
      <w:proofErr w:type="spellEnd"/>
      <w:r w:rsidRPr="00846A81">
        <w:rPr>
          <w:rStyle w:val="fontstyle01"/>
          <w:rFonts w:ascii="Times New Roman" w:hAnsi="Times New Roman" w:cs="Times New Roman"/>
          <w:sz w:val="22"/>
          <w:szCs w:val="22"/>
          <w:lang w:val="en-US"/>
        </w:rPr>
        <w:t xml:space="preserve"> F, Douet-Guilbert N, </w:t>
      </w:r>
      <w:proofErr w:type="spellStart"/>
      <w:r w:rsidRPr="00846A81">
        <w:rPr>
          <w:rStyle w:val="fontstyle01"/>
          <w:rFonts w:ascii="Times New Roman" w:hAnsi="Times New Roman" w:cs="Times New Roman"/>
          <w:sz w:val="22"/>
          <w:szCs w:val="22"/>
          <w:lang w:val="en-US"/>
        </w:rPr>
        <w:t>Houot</w:t>
      </w:r>
      <w:proofErr w:type="spellEnd"/>
      <w:r w:rsidRPr="00846A81">
        <w:rPr>
          <w:rStyle w:val="fontstyle01"/>
          <w:rFonts w:ascii="Times New Roman" w:hAnsi="Times New Roman" w:cs="Times New Roman"/>
          <w:sz w:val="22"/>
          <w:szCs w:val="22"/>
          <w:lang w:val="en-US"/>
        </w:rPr>
        <w:t xml:space="preserve"> R, Quintin-Roué I, et </w:t>
      </w:r>
      <w:proofErr w:type="spellStart"/>
      <w:proofErr w:type="gramStart"/>
      <w:r w:rsidRPr="00846A81">
        <w:rPr>
          <w:rStyle w:val="fontstyle01"/>
          <w:rFonts w:ascii="Times New Roman" w:hAnsi="Times New Roman" w:cs="Times New Roman"/>
          <w:sz w:val="22"/>
          <w:szCs w:val="22"/>
          <w:lang w:val="en-US"/>
        </w:rPr>
        <w:t>al.Outcome</w:t>
      </w:r>
      <w:proofErr w:type="spellEnd"/>
      <w:proofErr w:type="gramEnd"/>
      <w:r w:rsidRPr="00846A81">
        <w:rPr>
          <w:rStyle w:val="fontstyle01"/>
          <w:rFonts w:ascii="Times New Roman" w:hAnsi="Times New Roman" w:cs="Times New Roman"/>
          <w:sz w:val="22"/>
          <w:szCs w:val="22"/>
          <w:lang w:val="en-US"/>
        </w:rPr>
        <w:t xml:space="preserve"> of Ph-negative myeloproliferative neoplasms transforming to accelerated or leukemic phase. </w:t>
      </w:r>
      <w:r w:rsidRPr="00846A81">
        <w:rPr>
          <w:rStyle w:val="fontstyle01"/>
          <w:rFonts w:ascii="Times New Roman" w:hAnsi="Times New Roman" w:cs="Times New Roman"/>
          <w:i/>
          <w:iCs/>
          <w:sz w:val="22"/>
          <w:szCs w:val="22"/>
          <w:lang w:val="en-US"/>
        </w:rPr>
        <w:t>Leukemia Lymphoma</w:t>
      </w:r>
      <w:r w:rsidRPr="00846A81">
        <w:rPr>
          <w:rStyle w:val="fontstyle01"/>
          <w:rFonts w:ascii="Times New Roman" w:hAnsi="Times New Roman" w:cs="Times New Roman"/>
          <w:sz w:val="22"/>
          <w:szCs w:val="22"/>
          <w:lang w:val="en-US"/>
        </w:rPr>
        <w:t xml:space="preserve"> 2018; </w:t>
      </w:r>
      <w:r w:rsidRPr="00846A81">
        <w:rPr>
          <w:rStyle w:val="fontstyle01"/>
          <w:rFonts w:ascii="Times New Roman" w:hAnsi="Times New Roman" w:cs="Times New Roman"/>
          <w:b/>
          <w:bCs/>
          <w:sz w:val="22"/>
          <w:szCs w:val="22"/>
          <w:lang w:val="en-US"/>
        </w:rPr>
        <w:t>59</w:t>
      </w:r>
      <w:r w:rsidRPr="00846A81">
        <w:rPr>
          <w:rStyle w:val="fontstyle01"/>
          <w:rFonts w:ascii="Times New Roman" w:hAnsi="Times New Roman" w:cs="Times New Roman"/>
          <w:sz w:val="22"/>
          <w:szCs w:val="22"/>
          <w:lang w:val="en-US"/>
        </w:rPr>
        <w:t>: 2812–20.</w:t>
      </w:r>
    </w:p>
    <w:p w14:paraId="6E2AE992" w14:textId="77777777" w:rsidR="004E16B4" w:rsidRPr="00846A81" w:rsidRDefault="004E16B4" w:rsidP="00846A81">
      <w:pPr>
        <w:pStyle w:val="Testonotaapidipagina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D968BF">
        <w:rPr>
          <w:rStyle w:val="fontstyle01"/>
          <w:rFonts w:ascii="Times New Roman" w:hAnsi="Times New Roman" w:cs="Times New Roman"/>
          <w:sz w:val="22"/>
          <w:szCs w:val="22"/>
          <w:lang w:val="da-DK"/>
        </w:rPr>
        <w:t xml:space="preserve">Kennedy JA, Atenafu EG, Messner HA, et al. </w:t>
      </w:r>
      <w:r w:rsidRPr="00846A81">
        <w:rPr>
          <w:rStyle w:val="fontstyle01"/>
          <w:rFonts w:ascii="Times New Roman" w:hAnsi="Times New Roman" w:cs="Times New Roman"/>
          <w:sz w:val="22"/>
          <w:szCs w:val="22"/>
          <w:lang w:val="en-US"/>
        </w:rPr>
        <w:t xml:space="preserve">Treatment outcomes following leukemic transformation in Philadelphia-negative myeloproliferative neoplasms. </w:t>
      </w:r>
      <w:r w:rsidRPr="00846A81">
        <w:rPr>
          <w:rStyle w:val="fontstyle01"/>
          <w:rFonts w:ascii="Times New Roman" w:hAnsi="Times New Roman" w:cs="Times New Roman"/>
          <w:i/>
          <w:iCs/>
          <w:sz w:val="22"/>
          <w:szCs w:val="22"/>
          <w:lang w:val="en-US"/>
        </w:rPr>
        <w:t>Blood</w:t>
      </w:r>
      <w:r w:rsidRPr="00846A81">
        <w:rPr>
          <w:rStyle w:val="fontstyle01"/>
          <w:rFonts w:ascii="Times New Roman" w:hAnsi="Times New Roman" w:cs="Times New Roman"/>
          <w:sz w:val="22"/>
          <w:szCs w:val="22"/>
          <w:lang w:val="en-US"/>
        </w:rPr>
        <w:t xml:space="preserve"> 2013; </w:t>
      </w:r>
      <w:r w:rsidRPr="00846A81">
        <w:rPr>
          <w:rStyle w:val="fontstyle01"/>
          <w:rFonts w:ascii="Times New Roman" w:hAnsi="Times New Roman" w:cs="Times New Roman"/>
          <w:b/>
          <w:bCs/>
          <w:sz w:val="22"/>
          <w:szCs w:val="22"/>
          <w:lang w:val="en-US"/>
        </w:rPr>
        <w:t>121:</w:t>
      </w:r>
      <w:r w:rsidRPr="00846A81">
        <w:rPr>
          <w:rStyle w:val="fontstyle01"/>
          <w:rFonts w:ascii="Times New Roman" w:hAnsi="Times New Roman" w:cs="Times New Roman"/>
          <w:sz w:val="22"/>
          <w:szCs w:val="22"/>
          <w:lang w:val="en-US"/>
        </w:rPr>
        <w:t xml:space="preserve"> 2725– 33</w:t>
      </w:r>
    </w:p>
    <w:p w14:paraId="1D8EB4DE" w14:textId="77777777" w:rsidR="004E16B4" w:rsidRPr="00846A81" w:rsidRDefault="004E16B4" w:rsidP="00846A81">
      <w:pPr>
        <w:pStyle w:val="Testonotaapidipagina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proofErr w:type="spellStart"/>
      <w:r w:rsidRPr="00846A81">
        <w:rPr>
          <w:rStyle w:val="fontstyle01"/>
          <w:rFonts w:ascii="Times New Roman" w:hAnsi="Times New Roman" w:cs="Times New Roman"/>
          <w:sz w:val="22"/>
          <w:szCs w:val="22"/>
          <w:lang w:val="en-US"/>
        </w:rPr>
        <w:t>Lancman</w:t>
      </w:r>
      <w:proofErr w:type="spellEnd"/>
      <w:r w:rsidRPr="00846A81">
        <w:rPr>
          <w:rStyle w:val="fontstyle01"/>
          <w:rFonts w:ascii="Times New Roman" w:hAnsi="Times New Roman" w:cs="Times New Roman"/>
          <w:sz w:val="22"/>
          <w:szCs w:val="22"/>
          <w:lang w:val="en-US"/>
        </w:rPr>
        <w:t xml:space="preserve"> G, Brunner A, Hoffman R, Mascarenhas J, Hobbs G. Outcomes and predictors of survival in blast phase myeloproliferative neoplasms. </w:t>
      </w:r>
      <w:r w:rsidRPr="00846A81">
        <w:rPr>
          <w:rStyle w:val="fontstyle01"/>
          <w:rFonts w:ascii="Times New Roman" w:hAnsi="Times New Roman" w:cs="Times New Roman"/>
          <w:i/>
          <w:iCs/>
          <w:sz w:val="22"/>
          <w:szCs w:val="22"/>
          <w:lang w:val="en-US"/>
        </w:rPr>
        <w:t>Leuk Res</w:t>
      </w:r>
      <w:r w:rsidRPr="00846A81">
        <w:rPr>
          <w:rStyle w:val="fontstyle01"/>
          <w:rFonts w:ascii="Times New Roman" w:hAnsi="Times New Roman" w:cs="Times New Roman"/>
          <w:sz w:val="22"/>
          <w:szCs w:val="22"/>
          <w:lang w:val="en-US"/>
        </w:rPr>
        <w:t xml:space="preserve"> 2018; </w:t>
      </w:r>
      <w:r w:rsidRPr="00846A81">
        <w:rPr>
          <w:rStyle w:val="fontstyle01"/>
          <w:rFonts w:ascii="Times New Roman" w:hAnsi="Times New Roman" w:cs="Times New Roman"/>
          <w:b/>
          <w:bCs/>
          <w:sz w:val="22"/>
          <w:szCs w:val="22"/>
          <w:lang w:val="en-US"/>
        </w:rPr>
        <w:t>70</w:t>
      </w:r>
      <w:r w:rsidRPr="00846A81">
        <w:rPr>
          <w:rStyle w:val="fontstyle01"/>
          <w:rFonts w:ascii="Times New Roman" w:hAnsi="Times New Roman" w:cs="Times New Roman"/>
          <w:sz w:val="22"/>
          <w:szCs w:val="22"/>
          <w:lang w:val="en-US"/>
        </w:rPr>
        <w:t>: 49–55.</w:t>
      </w:r>
    </w:p>
    <w:p w14:paraId="4E58DEB6" w14:textId="77777777" w:rsidR="004E16B4" w:rsidRPr="00846A81" w:rsidRDefault="004E16B4" w:rsidP="00846A81">
      <w:pPr>
        <w:pStyle w:val="Testonotaapidipagina"/>
        <w:numPr>
          <w:ilvl w:val="0"/>
          <w:numId w:val="6"/>
        </w:numPr>
        <w:spacing w:line="276" w:lineRule="auto"/>
        <w:jc w:val="both"/>
        <w:rPr>
          <w:rStyle w:val="fontstyle01"/>
          <w:rFonts w:ascii="Times New Roman" w:hAnsi="Times New Roman" w:cs="Times New Roman"/>
          <w:color w:val="auto"/>
          <w:sz w:val="22"/>
          <w:szCs w:val="22"/>
          <w:lang w:val="en-US"/>
        </w:rPr>
      </w:pPr>
      <w:r w:rsidRPr="00D968BF">
        <w:rPr>
          <w:rStyle w:val="fontstyle01"/>
          <w:rFonts w:ascii="Times New Roman" w:hAnsi="Times New Roman" w:cs="Times New Roman"/>
          <w:sz w:val="22"/>
          <w:szCs w:val="22"/>
          <w:lang w:val="da-DK"/>
        </w:rPr>
        <w:t xml:space="preserve">Chihara D, Kantarjian HM, Newberry KJ, et al. </w:t>
      </w:r>
      <w:r w:rsidRPr="00846A81">
        <w:rPr>
          <w:rStyle w:val="fontstyle01"/>
          <w:rFonts w:ascii="Times New Roman" w:hAnsi="Times New Roman" w:cs="Times New Roman"/>
          <w:sz w:val="22"/>
          <w:szCs w:val="22"/>
          <w:lang w:val="en-US"/>
        </w:rPr>
        <w:t xml:space="preserve">Survival outcome of patients with acute myeloid leukemia transformed from myeloproliferative neoplasms. </w:t>
      </w:r>
      <w:r w:rsidRPr="00846A81">
        <w:rPr>
          <w:rStyle w:val="fontstyle01"/>
          <w:rFonts w:ascii="Times New Roman" w:hAnsi="Times New Roman" w:cs="Times New Roman"/>
          <w:i/>
          <w:iCs/>
          <w:sz w:val="22"/>
          <w:szCs w:val="22"/>
          <w:lang w:val="en-US"/>
        </w:rPr>
        <w:t xml:space="preserve">Blood </w:t>
      </w:r>
      <w:r w:rsidRPr="00846A81">
        <w:rPr>
          <w:rStyle w:val="fontstyle01"/>
          <w:rFonts w:ascii="Times New Roman" w:hAnsi="Times New Roman" w:cs="Times New Roman"/>
          <w:sz w:val="22"/>
          <w:szCs w:val="22"/>
          <w:lang w:val="en-US"/>
        </w:rPr>
        <w:t xml:space="preserve">2016; </w:t>
      </w:r>
      <w:r w:rsidRPr="00846A81">
        <w:rPr>
          <w:rStyle w:val="fontstyle01"/>
          <w:rFonts w:ascii="Times New Roman" w:hAnsi="Times New Roman" w:cs="Times New Roman"/>
          <w:b/>
          <w:bCs/>
          <w:sz w:val="22"/>
          <w:szCs w:val="22"/>
          <w:lang w:val="en-US"/>
        </w:rPr>
        <w:t>128:</w:t>
      </w:r>
      <w:r w:rsidRPr="00846A81">
        <w:rPr>
          <w:rStyle w:val="fontstyle01"/>
          <w:rFonts w:ascii="Times New Roman" w:hAnsi="Times New Roman" w:cs="Times New Roman"/>
          <w:sz w:val="22"/>
          <w:szCs w:val="22"/>
          <w:lang w:val="en-US"/>
        </w:rPr>
        <w:t xml:space="preserve"> 194</w:t>
      </w:r>
    </w:p>
    <w:p w14:paraId="00FFE5EF" w14:textId="77777777" w:rsidR="004E16B4" w:rsidRPr="00846A81" w:rsidRDefault="004E16B4" w:rsidP="00846A81">
      <w:pPr>
        <w:pStyle w:val="Testonotaapidipagina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846A81">
        <w:rPr>
          <w:rStyle w:val="fontstyle01"/>
          <w:rFonts w:ascii="Times New Roman" w:hAnsi="Times New Roman" w:cs="Times New Roman"/>
          <w:sz w:val="22"/>
          <w:szCs w:val="22"/>
          <w:lang w:val="en-US"/>
        </w:rPr>
        <w:t xml:space="preserve">Geyer JT, </w:t>
      </w:r>
      <w:proofErr w:type="spellStart"/>
      <w:r w:rsidRPr="00846A81">
        <w:rPr>
          <w:rStyle w:val="fontstyle01"/>
          <w:rFonts w:ascii="Times New Roman" w:hAnsi="Times New Roman" w:cs="Times New Roman"/>
          <w:sz w:val="22"/>
          <w:szCs w:val="22"/>
          <w:lang w:val="en-US"/>
        </w:rPr>
        <w:t>Margolskee</w:t>
      </w:r>
      <w:proofErr w:type="spellEnd"/>
      <w:r w:rsidRPr="00846A81">
        <w:rPr>
          <w:rStyle w:val="fontstyle01"/>
          <w:rFonts w:ascii="Times New Roman" w:hAnsi="Times New Roman" w:cs="Times New Roman"/>
          <w:sz w:val="22"/>
          <w:szCs w:val="22"/>
          <w:lang w:val="en-US"/>
        </w:rPr>
        <w:t xml:space="preserve"> E, Krichevsky SA, Cattaneo D, </w:t>
      </w:r>
      <w:proofErr w:type="spellStart"/>
      <w:r w:rsidRPr="00846A81">
        <w:rPr>
          <w:rStyle w:val="fontstyle01"/>
          <w:rFonts w:ascii="Times New Roman" w:hAnsi="Times New Roman" w:cs="Times New Roman"/>
          <w:sz w:val="22"/>
          <w:szCs w:val="22"/>
          <w:lang w:val="en-US"/>
        </w:rPr>
        <w:t>Boiocchi</w:t>
      </w:r>
      <w:proofErr w:type="spellEnd"/>
      <w:r w:rsidRPr="00846A81">
        <w:rPr>
          <w:rStyle w:val="fontstyle01"/>
          <w:rFonts w:ascii="Times New Roman" w:hAnsi="Times New Roman" w:cs="Times New Roman"/>
          <w:sz w:val="22"/>
          <w:szCs w:val="22"/>
          <w:lang w:val="en-US"/>
        </w:rPr>
        <w:t xml:space="preserve"> L, Ronchi P, et </w:t>
      </w:r>
      <w:proofErr w:type="spellStart"/>
      <w:proofErr w:type="gramStart"/>
      <w:r w:rsidRPr="00846A81">
        <w:rPr>
          <w:rStyle w:val="fontstyle01"/>
          <w:rFonts w:ascii="Times New Roman" w:hAnsi="Times New Roman" w:cs="Times New Roman"/>
          <w:sz w:val="22"/>
          <w:szCs w:val="22"/>
          <w:lang w:val="en-US"/>
        </w:rPr>
        <w:t>al.Disease</w:t>
      </w:r>
      <w:proofErr w:type="spellEnd"/>
      <w:proofErr w:type="gramEnd"/>
      <w:r w:rsidRPr="00846A81">
        <w:rPr>
          <w:rStyle w:val="fontstyle01"/>
          <w:rFonts w:ascii="Times New Roman" w:hAnsi="Times New Roman" w:cs="Times New Roman"/>
          <w:sz w:val="22"/>
          <w:szCs w:val="22"/>
          <w:lang w:val="en-US"/>
        </w:rPr>
        <w:t xml:space="preserve"> progression in myeloproliferative neoplasms: comparing patients in accelerated phase with those in chronic phase with increased blasts (&lt;10%) or with other types of disease progression. </w:t>
      </w:r>
      <w:proofErr w:type="spellStart"/>
      <w:r w:rsidRPr="00846A81">
        <w:rPr>
          <w:rStyle w:val="fontstyle01"/>
          <w:rFonts w:ascii="Times New Roman" w:hAnsi="Times New Roman" w:cs="Times New Roman"/>
          <w:i/>
          <w:iCs/>
          <w:sz w:val="22"/>
          <w:szCs w:val="22"/>
        </w:rPr>
        <w:t>Haematologica</w:t>
      </w:r>
      <w:proofErr w:type="spellEnd"/>
      <w:r w:rsidRPr="00846A81">
        <w:rPr>
          <w:rStyle w:val="fontstyle01"/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Pr="00846A81">
        <w:rPr>
          <w:rStyle w:val="fontstyle01"/>
          <w:rFonts w:ascii="Times New Roman" w:hAnsi="Times New Roman" w:cs="Times New Roman"/>
          <w:sz w:val="22"/>
          <w:szCs w:val="22"/>
        </w:rPr>
        <w:t xml:space="preserve">2020; </w:t>
      </w:r>
      <w:r w:rsidRPr="00846A81">
        <w:rPr>
          <w:rStyle w:val="fontstyle01"/>
          <w:rFonts w:ascii="Times New Roman" w:hAnsi="Times New Roman" w:cs="Times New Roman"/>
          <w:b/>
          <w:bCs/>
          <w:sz w:val="22"/>
          <w:szCs w:val="22"/>
        </w:rPr>
        <w:t>105</w:t>
      </w:r>
      <w:r w:rsidRPr="00846A81">
        <w:rPr>
          <w:rStyle w:val="fontstyle01"/>
          <w:rFonts w:ascii="Times New Roman" w:hAnsi="Times New Roman" w:cs="Times New Roman"/>
          <w:sz w:val="22"/>
          <w:szCs w:val="22"/>
        </w:rPr>
        <w:t>: e221–4</w:t>
      </w:r>
    </w:p>
    <w:p w14:paraId="08EB4589" w14:textId="77777777" w:rsidR="004E16B4" w:rsidRPr="00846A81" w:rsidRDefault="004E16B4" w:rsidP="00846A81">
      <w:pPr>
        <w:pStyle w:val="Testonotaapidipagina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proofErr w:type="spellStart"/>
      <w:r w:rsidRPr="00D968BF">
        <w:rPr>
          <w:rFonts w:ascii="Times New Roman" w:hAnsi="Times New Roman" w:cs="Times New Roman"/>
          <w:sz w:val="22"/>
          <w:szCs w:val="22"/>
          <w:lang w:val="en-US"/>
        </w:rPr>
        <w:t>Masarova</w:t>
      </w:r>
      <w:proofErr w:type="spellEnd"/>
      <w:r w:rsidRPr="00D968BF">
        <w:rPr>
          <w:rFonts w:ascii="Times New Roman" w:hAnsi="Times New Roman" w:cs="Times New Roman"/>
          <w:sz w:val="22"/>
          <w:szCs w:val="22"/>
          <w:lang w:val="en-US"/>
        </w:rPr>
        <w:t xml:space="preserve"> L, Bose P, Pemmaraju N, et al. </w:t>
      </w:r>
      <w:r w:rsidRPr="00846A81">
        <w:rPr>
          <w:rFonts w:ascii="Times New Roman" w:hAnsi="Times New Roman" w:cs="Times New Roman"/>
          <w:sz w:val="22"/>
          <w:szCs w:val="22"/>
          <w:lang w:val="en-US"/>
        </w:rPr>
        <w:t xml:space="preserve">Clinical significance of bone marrow blast percentage in patients with myelofibrosis and the effect of </w:t>
      </w:r>
      <w:proofErr w:type="spellStart"/>
      <w:r w:rsidRPr="00846A81">
        <w:rPr>
          <w:rFonts w:ascii="Times New Roman" w:hAnsi="Times New Roman" w:cs="Times New Roman"/>
          <w:sz w:val="22"/>
          <w:szCs w:val="22"/>
          <w:lang w:val="en-US"/>
        </w:rPr>
        <w:t>ruxolitinib</w:t>
      </w:r>
      <w:proofErr w:type="spellEnd"/>
      <w:r w:rsidRPr="00846A81">
        <w:rPr>
          <w:rFonts w:ascii="Times New Roman" w:hAnsi="Times New Roman" w:cs="Times New Roman"/>
          <w:sz w:val="22"/>
          <w:szCs w:val="22"/>
          <w:lang w:val="en-US"/>
        </w:rPr>
        <w:t xml:space="preserve"> therapy. </w:t>
      </w:r>
      <w:r w:rsidRPr="004E224F">
        <w:rPr>
          <w:rFonts w:ascii="Times New Roman" w:hAnsi="Times New Roman" w:cs="Times New Roman"/>
          <w:i/>
          <w:iCs/>
          <w:sz w:val="22"/>
          <w:szCs w:val="22"/>
          <w:lang w:val="en-US"/>
        </w:rPr>
        <w:t>Clin Lymphoma Myeloma Leuk</w:t>
      </w:r>
      <w:r w:rsidRPr="004E224F">
        <w:rPr>
          <w:rFonts w:ascii="Times New Roman" w:hAnsi="Times New Roman" w:cs="Times New Roman"/>
          <w:sz w:val="22"/>
          <w:szCs w:val="22"/>
          <w:lang w:val="en-US"/>
        </w:rPr>
        <w:t xml:space="preserve"> 2021; </w:t>
      </w:r>
      <w:r w:rsidRPr="004E224F">
        <w:rPr>
          <w:rFonts w:ascii="Times New Roman" w:hAnsi="Times New Roman" w:cs="Times New Roman"/>
          <w:b/>
          <w:bCs/>
          <w:sz w:val="22"/>
          <w:szCs w:val="22"/>
          <w:lang w:val="en-US"/>
        </w:rPr>
        <w:t>21</w:t>
      </w:r>
      <w:r w:rsidRPr="004E224F">
        <w:rPr>
          <w:rFonts w:ascii="Times New Roman" w:hAnsi="Times New Roman" w:cs="Times New Roman"/>
          <w:sz w:val="22"/>
          <w:szCs w:val="22"/>
          <w:lang w:val="en-US"/>
        </w:rPr>
        <w:t>: 318-27.  </w:t>
      </w:r>
    </w:p>
    <w:p w14:paraId="5CAE80C0" w14:textId="77777777" w:rsidR="004E16B4" w:rsidRPr="00846A81" w:rsidRDefault="004E16B4" w:rsidP="00846A81">
      <w:pPr>
        <w:pStyle w:val="Testonotaapidipagina"/>
        <w:numPr>
          <w:ilvl w:val="0"/>
          <w:numId w:val="6"/>
        </w:numPr>
        <w:spacing w:line="276" w:lineRule="auto"/>
        <w:jc w:val="both"/>
        <w:rPr>
          <w:rStyle w:val="fontstyle01"/>
          <w:rFonts w:ascii="Times New Roman" w:hAnsi="Times New Roman" w:cs="Times New Roman"/>
          <w:color w:val="auto"/>
          <w:sz w:val="22"/>
          <w:szCs w:val="22"/>
          <w:lang w:val="en-US"/>
        </w:rPr>
      </w:pPr>
      <w:proofErr w:type="spellStart"/>
      <w:r w:rsidRPr="00846A81">
        <w:rPr>
          <w:rStyle w:val="fontstyle01"/>
          <w:rFonts w:ascii="Times New Roman" w:hAnsi="Times New Roman" w:cs="Times New Roman"/>
          <w:sz w:val="22"/>
          <w:szCs w:val="22"/>
        </w:rPr>
        <w:t>Vallapureddy</w:t>
      </w:r>
      <w:proofErr w:type="spellEnd"/>
      <w:r w:rsidRPr="00846A81">
        <w:rPr>
          <w:rStyle w:val="fontstyle01"/>
          <w:rFonts w:ascii="Times New Roman" w:hAnsi="Times New Roman" w:cs="Times New Roman"/>
          <w:sz w:val="22"/>
          <w:szCs w:val="22"/>
        </w:rPr>
        <w:t xml:space="preserve"> RR, </w:t>
      </w:r>
      <w:proofErr w:type="spellStart"/>
      <w:r w:rsidRPr="00846A81">
        <w:rPr>
          <w:rStyle w:val="fontstyle01"/>
          <w:rFonts w:ascii="Times New Roman" w:hAnsi="Times New Roman" w:cs="Times New Roman"/>
          <w:sz w:val="22"/>
          <w:szCs w:val="22"/>
        </w:rPr>
        <w:t>Mudireddy</w:t>
      </w:r>
      <w:proofErr w:type="spellEnd"/>
      <w:r w:rsidRPr="00846A81">
        <w:rPr>
          <w:rStyle w:val="fontstyle01"/>
          <w:rFonts w:ascii="Times New Roman" w:hAnsi="Times New Roman" w:cs="Times New Roman"/>
          <w:sz w:val="22"/>
          <w:szCs w:val="22"/>
        </w:rPr>
        <w:t xml:space="preserve"> M, Penna D, et al. </w:t>
      </w:r>
      <w:r w:rsidRPr="00846A81">
        <w:rPr>
          <w:rStyle w:val="fontstyle01"/>
          <w:rFonts w:ascii="Times New Roman" w:hAnsi="Times New Roman" w:cs="Times New Roman"/>
          <w:sz w:val="22"/>
          <w:szCs w:val="22"/>
          <w:lang w:val="en-US"/>
        </w:rPr>
        <w:t xml:space="preserve">Leukemic transformation among 1306 patients with primary myelofibrosis: risk factors and development of a predictive model. </w:t>
      </w:r>
      <w:r w:rsidRPr="00846A81">
        <w:rPr>
          <w:rStyle w:val="fontstyle01"/>
          <w:rFonts w:ascii="Times New Roman" w:hAnsi="Times New Roman" w:cs="Times New Roman"/>
          <w:i/>
          <w:iCs/>
          <w:sz w:val="22"/>
          <w:szCs w:val="22"/>
        </w:rPr>
        <w:t>Blood Cancer J</w:t>
      </w:r>
      <w:r w:rsidRPr="00846A81">
        <w:rPr>
          <w:rStyle w:val="fontstyle01"/>
          <w:rFonts w:ascii="Times New Roman" w:hAnsi="Times New Roman" w:cs="Times New Roman"/>
          <w:sz w:val="22"/>
          <w:szCs w:val="22"/>
        </w:rPr>
        <w:t xml:space="preserve"> 2019; </w:t>
      </w:r>
      <w:r w:rsidRPr="00846A81">
        <w:rPr>
          <w:rStyle w:val="fontstyle01"/>
          <w:rFonts w:ascii="Times New Roman" w:hAnsi="Times New Roman" w:cs="Times New Roman"/>
          <w:b/>
          <w:bCs/>
          <w:sz w:val="22"/>
          <w:szCs w:val="22"/>
        </w:rPr>
        <w:t>9:</w:t>
      </w:r>
      <w:r w:rsidRPr="00846A81">
        <w:rPr>
          <w:rStyle w:val="fontstyle01"/>
          <w:rFonts w:ascii="Times New Roman" w:hAnsi="Times New Roman" w:cs="Times New Roman"/>
          <w:sz w:val="22"/>
          <w:szCs w:val="22"/>
        </w:rPr>
        <w:t xml:space="preserve"> 12.</w:t>
      </w:r>
    </w:p>
    <w:p w14:paraId="4CA8A129" w14:textId="77777777" w:rsidR="00F30BC6" w:rsidRPr="00846A81" w:rsidRDefault="004E16B4" w:rsidP="00846A81">
      <w:pPr>
        <w:pStyle w:val="Testonotaapidipagina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846A81">
        <w:rPr>
          <w:rFonts w:ascii="Times New Roman" w:hAnsi="Times New Roman" w:cs="Times New Roman"/>
          <w:sz w:val="22"/>
          <w:szCs w:val="22"/>
        </w:rPr>
        <w:t xml:space="preserve">Rago A, </w:t>
      </w:r>
      <w:proofErr w:type="spellStart"/>
      <w:r w:rsidRPr="00846A81">
        <w:rPr>
          <w:rFonts w:ascii="Times New Roman" w:hAnsi="Times New Roman" w:cs="Times New Roman"/>
          <w:sz w:val="22"/>
          <w:szCs w:val="22"/>
        </w:rPr>
        <w:t>Latagliata</w:t>
      </w:r>
      <w:proofErr w:type="spellEnd"/>
      <w:r w:rsidRPr="00846A81">
        <w:rPr>
          <w:rFonts w:ascii="Times New Roman" w:hAnsi="Times New Roman" w:cs="Times New Roman"/>
          <w:sz w:val="22"/>
          <w:szCs w:val="22"/>
        </w:rPr>
        <w:t xml:space="preserve"> R, Montanaro M, et al. </w:t>
      </w:r>
      <w:hyperlink r:id="rId14" w:history="1">
        <w:r w:rsidRPr="00846A81">
          <w:rPr>
            <w:rStyle w:val="Collegamentoipertestuale"/>
            <w:rFonts w:ascii="Times New Roman" w:hAnsi="Times New Roman" w:cs="Times New Roman"/>
            <w:color w:val="auto"/>
            <w:sz w:val="22"/>
            <w:szCs w:val="22"/>
            <w:u w:val="none"/>
            <w:shd w:val="clear" w:color="auto" w:fill="FFFFFF"/>
            <w:lang w:val="en-US"/>
          </w:rPr>
          <w:t>Hemoglobin levels and circulating blasts are two easily evaluable diagnostic parameters highly predictive of leukemic transformation in primary myelofibrosis.</w:t>
        </w:r>
      </w:hyperlink>
      <w:r w:rsidRPr="00846A81">
        <w:rPr>
          <w:rStyle w:val="Collegamentoipertestuale"/>
          <w:rFonts w:ascii="Times New Roman" w:hAnsi="Times New Roman" w:cs="Times New Roman"/>
          <w:color w:val="auto"/>
          <w:sz w:val="22"/>
          <w:szCs w:val="22"/>
          <w:u w:val="none"/>
          <w:shd w:val="clear" w:color="auto" w:fill="FFFFFF"/>
          <w:lang w:val="en-US"/>
        </w:rPr>
        <w:t xml:space="preserve"> </w:t>
      </w:r>
      <w:r w:rsidRPr="00846A81">
        <w:rPr>
          <w:rStyle w:val="docsum-journal-citation"/>
          <w:rFonts w:ascii="Times New Roman" w:hAnsi="Times New Roman" w:cs="Times New Roman"/>
          <w:i/>
          <w:iCs/>
          <w:sz w:val="22"/>
          <w:szCs w:val="22"/>
          <w:lang w:val="en-US"/>
        </w:rPr>
        <w:t>Leuk Res</w:t>
      </w:r>
      <w:r w:rsidRPr="00846A81">
        <w:rPr>
          <w:rStyle w:val="docsum-journal-citation"/>
          <w:rFonts w:ascii="Times New Roman" w:hAnsi="Times New Roman" w:cs="Times New Roman"/>
          <w:sz w:val="22"/>
          <w:szCs w:val="22"/>
          <w:lang w:val="en-US"/>
        </w:rPr>
        <w:t xml:space="preserve"> 2015; </w:t>
      </w:r>
      <w:r w:rsidRPr="00846A81">
        <w:rPr>
          <w:rStyle w:val="docsum-journal-citation"/>
          <w:rFonts w:ascii="Times New Roman" w:hAnsi="Times New Roman" w:cs="Times New Roman"/>
          <w:b/>
          <w:bCs/>
          <w:sz w:val="22"/>
          <w:szCs w:val="22"/>
          <w:lang w:val="en-US"/>
        </w:rPr>
        <w:t>39</w:t>
      </w:r>
      <w:r w:rsidRPr="00846A81">
        <w:rPr>
          <w:rStyle w:val="docsum-journal-citation"/>
          <w:rFonts w:ascii="Times New Roman" w:hAnsi="Times New Roman" w:cs="Times New Roman"/>
          <w:sz w:val="22"/>
          <w:szCs w:val="22"/>
          <w:lang w:val="en-US"/>
        </w:rPr>
        <w:t>: 314-7. </w:t>
      </w:r>
    </w:p>
    <w:p w14:paraId="02CA46FB" w14:textId="77777777" w:rsidR="00F30BC6" w:rsidRPr="00846A81" w:rsidRDefault="004E16B4" w:rsidP="00846A81">
      <w:pPr>
        <w:pStyle w:val="Testonotaapidipagina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846A81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Shahin OA, </w:t>
      </w:r>
      <w:proofErr w:type="spellStart"/>
      <w:r w:rsidRPr="00846A81">
        <w:rPr>
          <w:rFonts w:ascii="Times New Roman" w:hAnsi="Times New Roman" w:cs="Times New Roman"/>
          <w:color w:val="000000"/>
          <w:sz w:val="22"/>
          <w:szCs w:val="22"/>
          <w:lang w:val="en-US"/>
        </w:rPr>
        <w:t>Chifotides</w:t>
      </w:r>
      <w:proofErr w:type="spellEnd"/>
      <w:r w:rsidRPr="00846A81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HT, Bose P, </w:t>
      </w:r>
      <w:proofErr w:type="spellStart"/>
      <w:r w:rsidRPr="00846A81">
        <w:rPr>
          <w:rFonts w:ascii="Times New Roman" w:hAnsi="Times New Roman" w:cs="Times New Roman"/>
          <w:color w:val="000000"/>
          <w:sz w:val="22"/>
          <w:szCs w:val="22"/>
          <w:lang w:val="en-US"/>
        </w:rPr>
        <w:t>Masarova</w:t>
      </w:r>
      <w:proofErr w:type="spellEnd"/>
      <w:r w:rsidRPr="00846A81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L, </w:t>
      </w:r>
      <w:proofErr w:type="spellStart"/>
      <w:r w:rsidRPr="00846A81">
        <w:rPr>
          <w:rFonts w:ascii="Times New Roman" w:hAnsi="Times New Roman" w:cs="Times New Roman"/>
          <w:color w:val="000000"/>
          <w:sz w:val="22"/>
          <w:szCs w:val="22"/>
          <w:lang w:val="en-US"/>
        </w:rPr>
        <w:t>Verstovsek</w:t>
      </w:r>
      <w:proofErr w:type="spellEnd"/>
      <w:r w:rsidRPr="00846A81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S. Accelerated phase of myeloproliferative neoplasms. </w:t>
      </w:r>
      <w:r w:rsidRPr="00846A81">
        <w:rPr>
          <w:rFonts w:ascii="Times New Roman" w:hAnsi="Times New Roman" w:cs="Times New Roman"/>
          <w:i/>
          <w:iCs/>
          <w:color w:val="000000"/>
          <w:sz w:val="22"/>
          <w:szCs w:val="22"/>
        </w:rPr>
        <w:t xml:space="preserve">Acta </w:t>
      </w:r>
      <w:proofErr w:type="spellStart"/>
      <w:r w:rsidRPr="00846A81">
        <w:rPr>
          <w:rFonts w:ascii="Times New Roman" w:hAnsi="Times New Roman" w:cs="Times New Roman"/>
          <w:i/>
          <w:iCs/>
          <w:color w:val="000000"/>
          <w:sz w:val="22"/>
          <w:szCs w:val="22"/>
        </w:rPr>
        <w:t>Haematol</w:t>
      </w:r>
      <w:proofErr w:type="spellEnd"/>
      <w:r w:rsidRPr="00846A81">
        <w:rPr>
          <w:rFonts w:ascii="Times New Roman" w:hAnsi="Times New Roman" w:cs="Times New Roman"/>
          <w:color w:val="000000"/>
          <w:sz w:val="22"/>
          <w:szCs w:val="22"/>
        </w:rPr>
        <w:t xml:space="preserve"> 2021; </w:t>
      </w:r>
      <w:r w:rsidRPr="00846A81">
        <w:rPr>
          <w:rFonts w:ascii="Times New Roman" w:hAnsi="Times New Roman" w:cs="Times New Roman"/>
          <w:b/>
          <w:bCs/>
          <w:color w:val="000000"/>
          <w:sz w:val="22"/>
          <w:szCs w:val="22"/>
        </w:rPr>
        <w:t>144</w:t>
      </w:r>
      <w:r w:rsidRPr="00846A81">
        <w:rPr>
          <w:rFonts w:ascii="Times New Roman" w:hAnsi="Times New Roman" w:cs="Times New Roman"/>
          <w:color w:val="000000"/>
          <w:sz w:val="22"/>
          <w:szCs w:val="22"/>
        </w:rPr>
        <w:t>: 484-99.</w:t>
      </w:r>
    </w:p>
    <w:p w14:paraId="13108D9D" w14:textId="77777777" w:rsidR="00F30BC6" w:rsidRPr="00846A81" w:rsidRDefault="004E16B4" w:rsidP="00846A81">
      <w:pPr>
        <w:pStyle w:val="Testonotaapidipagina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846A81">
        <w:rPr>
          <w:rStyle w:val="fontstyle01"/>
          <w:rFonts w:ascii="Times New Roman" w:hAnsi="Times New Roman" w:cs="Times New Roman"/>
          <w:sz w:val="22"/>
          <w:szCs w:val="22"/>
        </w:rPr>
        <w:t xml:space="preserve">Passamonti F, Rumi E, Elena C, Arcaini L, Merli M, </w:t>
      </w:r>
      <w:proofErr w:type="spellStart"/>
      <w:r w:rsidRPr="00846A81">
        <w:rPr>
          <w:rStyle w:val="fontstyle01"/>
          <w:rFonts w:ascii="Times New Roman" w:hAnsi="Times New Roman" w:cs="Times New Roman"/>
          <w:sz w:val="22"/>
          <w:szCs w:val="22"/>
        </w:rPr>
        <w:t>Pascutto</w:t>
      </w:r>
      <w:proofErr w:type="spellEnd"/>
      <w:r w:rsidRPr="00846A81">
        <w:rPr>
          <w:rStyle w:val="fontstyle01"/>
          <w:rFonts w:ascii="Times New Roman" w:hAnsi="Times New Roman" w:cs="Times New Roman"/>
          <w:sz w:val="22"/>
          <w:szCs w:val="22"/>
        </w:rPr>
        <w:t xml:space="preserve"> C, et al. </w:t>
      </w:r>
      <w:r w:rsidRPr="00846A81">
        <w:rPr>
          <w:rStyle w:val="fontstyle01"/>
          <w:rFonts w:ascii="Times New Roman" w:hAnsi="Times New Roman" w:cs="Times New Roman"/>
          <w:sz w:val="22"/>
          <w:szCs w:val="22"/>
          <w:lang w:val="en-US"/>
        </w:rPr>
        <w:t xml:space="preserve">Incidence of </w:t>
      </w:r>
      <w:proofErr w:type="spellStart"/>
      <w:r w:rsidRPr="00846A81">
        <w:rPr>
          <w:rStyle w:val="fontstyle01"/>
          <w:rFonts w:ascii="Times New Roman" w:hAnsi="Times New Roman" w:cs="Times New Roman"/>
          <w:sz w:val="22"/>
          <w:szCs w:val="22"/>
          <w:lang w:val="en-US"/>
        </w:rPr>
        <w:t>leukaemia</w:t>
      </w:r>
      <w:proofErr w:type="spellEnd"/>
      <w:r w:rsidRPr="00846A81">
        <w:rPr>
          <w:rStyle w:val="fontstyle01"/>
          <w:rFonts w:ascii="Times New Roman" w:hAnsi="Times New Roman" w:cs="Times New Roman"/>
          <w:sz w:val="22"/>
          <w:szCs w:val="22"/>
          <w:lang w:val="en-US"/>
        </w:rPr>
        <w:t xml:space="preserve"> in patients with primary myelofibrosis and RBC–transfusion-dependence. </w:t>
      </w:r>
      <w:r w:rsidRPr="00846A81">
        <w:rPr>
          <w:rStyle w:val="fontstyle01"/>
          <w:rFonts w:ascii="Times New Roman" w:hAnsi="Times New Roman" w:cs="Times New Roman"/>
          <w:i/>
          <w:iCs/>
          <w:sz w:val="22"/>
          <w:szCs w:val="22"/>
          <w:lang w:val="en-US"/>
        </w:rPr>
        <w:t xml:space="preserve">Br J </w:t>
      </w:r>
      <w:proofErr w:type="spellStart"/>
      <w:r w:rsidRPr="00846A81">
        <w:rPr>
          <w:rStyle w:val="fontstyle01"/>
          <w:rFonts w:ascii="Times New Roman" w:hAnsi="Times New Roman" w:cs="Times New Roman"/>
          <w:i/>
          <w:iCs/>
          <w:sz w:val="22"/>
          <w:szCs w:val="22"/>
          <w:lang w:val="en-US"/>
        </w:rPr>
        <w:t>Haematol</w:t>
      </w:r>
      <w:proofErr w:type="spellEnd"/>
      <w:r w:rsidRPr="00846A81">
        <w:rPr>
          <w:rStyle w:val="fontstyle01"/>
          <w:rFonts w:ascii="Times New Roman" w:hAnsi="Times New Roman" w:cs="Times New Roman"/>
          <w:sz w:val="22"/>
          <w:szCs w:val="22"/>
          <w:lang w:val="en-US"/>
        </w:rPr>
        <w:t xml:space="preserve"> 2010; </w:t>
      </w:r>
      <w:r w:rsidRPr="00846A81">
        <w:rPr>
          <w:rStyle w:val="fontstyle01"/>
          <w:rFonts w:ascii="Times New Roman" w:hAnsi="Times New Roman" w:cs="Times New Roman"/>
          <w:b/>
          <w:bCs/>
          <w:sz w:val="22"/>
          <w:szCs w:val="22"/>
          <w:lang w:val="en-US"/>
        </w:rPr>
        <w:t>150</w:t>
      </w:r>
      <w:r w:rsidRPr="00846A81">
        <w:rPr>
          <w:rStyle w:val="fontstyle01"/>
          <w:rFonts w:ascii="Times New Roman" w:hAnsi="Times New Roman" w:cs="Times New Roman"/>
          <w:sz w:val="22"/>
          <w:szCs w:val="22"/>
          <w:lang w:val="en-US"/>
        </w:rPr>
        <w:t>: 719–21</w:t>
      </w:r>
    </w:p>
    <w:p w14:paraId="34C926D6" w14:textId="77777777" w:rsidR="00F30BC6" w:rsidRPr="00846A81" w:rsidRDefault="004E16B4" w:rsidP="00846A81">
      <w:pPr>
        <w:pStyle w:val="Testonotaapidipagina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846A81">
        <w:rPr>
          <w:rStyle w:val="fontstyle01"/>
          <w:rFonts w:ascii="Times New Roman" w:hAnsi="Times New Roman" w:cs="Times New Roman"/>
          <w:sz w:val="22"/>
          <w:szCs w:val="22"/>
          <w:lang w:val="en-US"/>
        </w:rPr>
        <w:t xml:space="preserve">Marcellino BK, </w:t>
      </w:r>
      <w:proofErr w:type="spellStart"/>
      <w:r w:rsidRPr="00846A81">
        <w:rPr>
          <w:rStyle w:val="fontstyle01"/>
          <w:rFonts w:ascii="Times New Roman" w:hAnsi="Times New Roman" w:cs="Times New Roman"/>
          <w:sz w:val="22"/>
          <w:szCs w:val="22"/>
          <w:lang w:val="en-US"/>
        </w:rPr>
        <w:t>Verstovsek</w:t>
      </w:r>
      <w:proofErr w:type="spellEnd"/>
      <w:r w:rsidRPr="00846A81">
        <w:rPr>
          <w:rStyle w:val="fontstyle01"/>
          <w:rFonts w:ascii="Times New Roman" w:hAnsi="Times New Roman" w:cs="Times New Roman"/>
          <w:sz w:val="22"/>
          <w:szCs w:val="22"/>
          <w:lang w:val="en-US"/>
        </w:rPr>
        <w:t xml:space="preserve"> S, Mascarenhas J. The </w:t>
      </w:r>
      <w:proofErr w:type="spellStart"/>
      <w:r w:rsidRPr="00846A81">
        <w:rPr>
          <w:rStyle w:val="fontstyle01"/>
          <w:rFonts w:ascii="Times New Roman" w:hAnsi="Times New Roman" w:cs="Times New Roman"/>
          <w:sz w:val="22"/>
          <w:szCs w:val="22"/>
          <w:lang w:val="en-US"/>
        </w:rPr>
        <w:t>myelodepletive</w:t>
      </w:r>
      <w:proofErr w:type="spellEnd"/>
      <w:r w:rsidRPr="00846A81">
        <w:rPr>
          <w:rStyle w:val="fontstyle01"/>
          <w:rFonts w:ascii="Times New Roman" w:hAnsi="Times New Roman" w:cs="Times New Roman"/>
          <w:sz w:val="22"/>
          <w:szCs w:val="22"/>
          <w:lang w:val="en-US"/>
        </w:rPr>
        <w:t xml:space="preserve"> phenotype in myelofibrosis: clinical relevance and therapeutic implications. </w:t>
      </w:r>
      <w:proofErr w:type="spellStart"/>
      <w:r w:rsidRPr="00846A81">
        <w:rPr>
          <w:rStyle w:val="fontstyle01"/>
          <w:rFonts w:ascii="Times New Roman" w:hAnsi="Times New Roman" w:cs="Times New Roman"/>
          <w:i/>
          <w:iCs/>
          <w:sz w:val="22"/>
          <w:szCs w:val="22"/>
        </w:rPr>
        <w:t>Clin</w:t>
      </w:r>
      <w:proofErr w:type="spellEnd"/>
      <w:r w:rsidRPr="00846A81">
        <w:rPr>
          <w:rStyle w:val="fontstyle01"/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846A81">
        <w:rPr>
          <w:rStyle w:val="fontstyle01"/>
          <w:rFonts w:ascii="Times New Roman" w:hAnsi="Times New Roman" w:cs="Times New Roman"/>
          <w:i/>
          <w:iCs/>
          <w:sz w:val="22"/>
          <w:szCs w:val="22"/>
        </w:rPr>
        <w:t>Lymph</w:t>
      </w:r>
      <w:proofErr w:type="spellEnd"/>
      <w:r w:rsidRPr="00846A81">
        <w:rPr>
          <w:rStyle w:val="fontstyle01"/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846A81">
        <w:rPr>
          <w:rStyle w:val="fontstyle01"/>
          <w:rFonts w:ascii="Times New Roman" w:hAnsi="Times New Roman" w:cs="Times New Roman"/>
          <w:i/>
          <w:iCs/>
          <w:sz w:val="22"/>
          <w:szCs w:val="22"/>
        </w:rPr>
        <w:t>Myeloma</w:t>
      </w:r>
      <w:proofErr w:type="spellEnd"/>
      <w:r w:rsidRPr="00846A81">
        <w:rPr>
          <w:rStyle w:val="fontstyle01"/>
          <w:rFonts w:ascii="Times New Roman" w:hAnsi="Times New Roman" w:cs="Times New Roman"/>
          <w:i/>
          <w:iCs/>
          <w:sz w:val="22"/>
          <w:szCs w:val="22"/>
        </w:rPr>
        <w:t xml:space="preserve"> &amp; </w:t>
      </w:r>
      <w:proofErr w:type="spellStart"/>
      <w:r w:rsidRPr="00846A81">
        <w:rPr>
          <w:rStyle w:val="fontstyle01"/>
          <w:rFonts w:ascii="Times New Roman" w:hAnsi="Times New Roman" w:cs="Times New Roman"/>
          <w:i/>
          <w:iCs/>
          <w:sz w:val="22"/>
          <w:szCs w:val="22"/>
        </w:rPr>
        <w:t>Leukemia</w:t>
      </w:r>
      <w:proofErr w:type="spellEnd"/>
      <w:r w:rsidRPr="00846A81">
        <w:rPr>
          <w:rStyle w:val="fontstyle01"/>
          <w:rFonts w:ascii="Times New Roman" w:hAnsi="Times New Roman" w:cs="Times New Roman"/>
          <w:sz w:val="22"/>
          <w:szCs w:val="22"/>
        </w:rPr>
        <w:t xml:space="preserve"> 2020; </w:t>
      </w:r>
      <w:r w:rsidRPr="00846A81">
        <w:rPr>
          <w:rStyle w:val="fontstyle01"/>
          <w:rFonts w:ascii="Times New Roman" w:hAnsi="Times New Roman" w:cs="Times New Roman"/>
          <w:b/>
          <w:bCs/>
          <w:sz w:val="22"/>
          <w:szCs w:val="22"/>
        </w:rPr>
        <w:t>20</w:t>
      </w:r>
      <w:r w:rsidRPr="00846A81">
        <w:rPr>
          <w:rStyle w:val="fontstyle01"/>
          <w:rFonts w:ascii="Times New Roman" w:hAnsi="Times New Roman" w:cs="Times New Roman"/>
          <w:sz w:val="22"/>
          <w:szCs w:val="22"/>
        </w:rPr>
        <w:t>: 415–21</w:t>
      </w:r>
    </w:p>
    <w:p w14:paraId="022D32A9" w14:textId="77777777" w:rsidR="00F30BC6" w:rsidRPr="00846A81" w:rsidRDefault="004E16B4" w:rsidP="00846A81">
      <w:pPr>
        <w:pStyle w:val="Testonotaapidipagina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proofErr w:type="spellStart"/>
      <w:r w:rsidRPr="000953CF">
        <w:rPr>
          <w:rStyle w:val="fontstyle01"/>
          <w:rFonts w:ascii="Times New Roman" w:hAnsi="Times New Roman" w:cs="Times New Roman"/>
          <w:sz w:val="22"/>
          <w:szCs w:val="22"/>
          <w:lang w:val="en-US"/>
        </w:rPr>
        <w:t>Gangat</w:t>
      </w:r>
      <w:proofErr w:type="spellEnd"/>
      <w:r w:rsidRPr="000953CF">
        <w:rPr>
          <w:rStyle w:val="fontstyle01"/>
          <w:rFonts w:ascii="Times New Roman" w:hAnsi="Times New Roman" w:cs="Times New Roman"/>
          <w:sz w:val="22"/>
          <w:szCs w:val="22"/>
          <w:lang w:val="en-US"/>
        </w:rPr>
        <w:t xml:space="preserve"> N, </w:t>
      </w:r>
      <w:proofErr w:type="spellStart"/>
      <w:r w:rsidRPr="000953CF">
        <w:rPr>
          <w:rStyle w:val="fontstyle01"/>
          <w:rFonts w:ascii="Times New Roman" w:hAnsi="Times New Roman" w:cs="Times New Roman"/>
          <w:sz w:val="22"/>
          <w:szCs w:val="22"/>
          <w:lang w:val="en-US"/>
        </w:rPr>
        <w:t>Caramazza</w:t>
      </w:r>
      <w:proofErr w:type="spellEnd"/>
      <w:r w:rsidRPr="000953CF">
        <w:rPr>
          <w:rStyle w:val="fontstyle01"/>
          <w:rFonts w:ascii="Times New Roman" w:hAnsi="Times New Roman" w:cs="Times New Roman"/>
          <w:sz w:val="22"/>
          <w:szCs w:val="22"/>
          <w:lang w:val="en-US"/>
        </w:rPr>
        <w:t xml:space="preserve"> D, Vaidya R, et al. </w:t>
      </w:r>
      <w:r w:rsidRPr="00846A81">
        <w:rPr>
          <w:rStyle w:val="fontstyle01"/>
          <w:rFonts w:ascii="Times New Roman" w:hAnsi="Times New Roman" w:cs="Times New Roman"/>
          <w:sz w:val="22"/>
          <w:szCs w:val="22"/>
          <w:lang w:val="en-US"/>
        </w:rPr>
        <w:t xml:space="preserve">DIPSS plus: A refined Dynamic International Prognostic Scoring System for primary myelofibrosis that incorporates prognostic information from karyotype, platelet count, and transfusion status. </w:t>
      </w:r>
      <w:r w:rsidRPr="00D968BF">
        <w:rPr>
          <w:rStyle w:val="fontstyle01"/>
          <w:rFonts w:ascii="Times New Roman" w:hAnsi="Times New Roman" w:cs="Times New Roman"/>
          <w:i/>
          <w:iCs/>
          <w:sz w:val="22"/>
          <w:szCs w:val="22"/>
          <w:lang w:val="en-US"/>
        </w:rPr>
        <w:t>J Clinical Oncol</w:t>
      </w:r>
      <w:r w:rsidRPr="00D968BF">
        <w:rPr>
          <w:rStyle w:val="fontstyle01"/>
          <w:rFonts w:ascii="Times New Roman" w:hAnsi="Times New Roman" w:cs="Times New Roman"/>
          <w:sz w:val="22"/>
          <w:szCs w:val="22"/>
          <w:lang w:val="en-US"/>
        </w:rPr>
        <w:t xml:space="preserve"> 2011; </w:t>
      </w:r>
      <w:proofErr w:type="gramStart"/>
      <w:r w:rsidRPr="00D968BF">
        <w:rPr>
          <w:rStyle w:val="fontstyle01"/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29 </w:t>
      </w:r>
      <w:r w:rsidRPr="00D968BF">
        <w:rPr>
          <w:rStyle w:val="fontstyle01"/>
          <w:rFonts w:ascii="Times New Roman" w:hAnsi="Times New Roman" w:cs="Times New Roman"/>
          <w:sz w:val="22"/>
          <w:szCs w:val="22"/>
          <w:lang w:val="en-US"/>
        </w:rPr>
        <w:t>:</w:t>
      </w:r>
      <w:proofErr w:type="gramEnd"/>
      <w:r w:rsidRPr="00D968BF">
        <w:rPr>
          <w:rStyle w:val="fontstyle01"/>
          <w:rFonts w:ascii="Times New Roman" w:hAnsi="Times New Roman" w:cs="Times New Roman"/>
          <w:sz w:val="22"/>
          <w:szCs w:val="22"/>
          <w:lang w:val="en-US"/>
        </w:rPr>
        <w:t xml:space="preserve"> 392–7.</w:t>
      </w:r>
    </w:p>
    <w:p w14:paraId="7ECD6AD8" w14:textId="77777777" w:rsidR="00F30BC6" w:rsidRPr="00846A81" w:rsidRDefault="004E16B4" w:rsidP="00846A81">
      <w:pPr>
        <w:pStyle w:val="Testonotaapidipagina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846A81">
        <w:rPr>
          <w:rFonts w:ascii="Times New Roman" w:hAnsi="Times New Roman" w:cs="Times New Roman"/>
          <w:sz w:val="22"/>
          <w:szCs w:val="22"/>
        </w:rPr>
        <w:lastRenderedPageBreak/>
        <w:t xml:space="preserve">Palandri F, Palumbo A, Benevolo G, et al. </w:t>
      </w:r>
      <w:r w:rsidRPr="00846A81">
        <w:rPr>
          <w:rFonts w:ascii="Times New Roman" w:hAnsi="Times New Roman" w:cs="Times New Roman"/>
          <w:sz w:val="22"/>
          <w:szCs w:val="22"/>
          <w:lang w:val="en-US"/>
        </w:rPr>
        <w:t xml:space="preserve">Incidence of blast phase in myelofibrosis patients according to anemia severity at </w:t>
      </w:r>
      <w:proofErr w:type="spellStart"/>
      <w:r w:rsidRPr="00846A81">
        <w:rPr>
          <w:rFonts w:ascii="Times New Roman" w:hAnsi="Times New Roman" w:cs="Times New Roman"/>
          <w:sz w:val="22"/>
          <w:szCs w:val="22"/>
          <w:lang w:val="en-US"/>
        </w:rPr>
        <w:t>ruxolitinib</w:t>
      </w:r>
      <w:proofErr w:type="spellEnd"/>
      <w:r w:rsidRPr="00846A81">
        <w:rPr>
          <w:rFonts w:ascii="Times New Roman" w:hAnsi="Times New Roman" w:cs="Times New Roman"/>
          <w:sz w:val="22"/>
          <w:szCs w:val="22"/>
          <w:lang w:val="en-US"/>
        </w:rPr>
        <w:t xml:space="preserve"> start and during therapy. </w:t>
      </w:r>
      <w:r w:rsidRPr="00846A81">
        <w:rPr>
          <w:rFonts w:ascii="Times New Roman" w:hAnsi="Times New Roman" w:cs="Times New Roman"/>
          <w:i/>
          <w:iCs/>
          <w:sz w:val="22"/>
          <w:szCs w:val="22"/>
        </w:rPr>
        <w:t>Cancer</w:t>
      </w:r>
      <w:r w:rsidRPr="00846A81">
        <w:rPr>
          <w:rFonts w:ascii="Times New Roman" w:hAnsi="Times New Roman" w:cs="Times New Roman"/>
          <w:sz w:val="22"/>
          <w:szCs w:val="22"/>
        </w:rPr>
        <w:t xml:space="preserve"> 2024; </w:t>
      </w:r>
      <w:r w:rsidRPr="00846A81">
        <w:rPr>
          <w:rFonts w:ascii="Times New Roman" w:hAnsi="Times New Roman" w:cs="Times New Roman"/>
          <w:b/>
          <w:bCs/>
          <w:sz w:val="22"/>
          <w:szCs w:val="22"/>
        </w:rPr>
        <w:t>130</w:t>
      </w:r>
      <w:r w:rsidRPr="00846A81">
        <w:rPr>
          <w:rFonts w:ascii="Times New Roman" w:hAnsi="Times New Roman" w:cs="Times New Roman"/>
          <w:sz w:val="22"/>
          <w:szCs w:val="22"/>
        </w:rPr>
        <w:t>: 1270-80</w:t>
      </w:r>
    </w:p>
    <w:p w14:paraId="08EAA7ED" w14:textId="77777777" w:rsidR="00F30BC6" w:rsidRPr="00846A81" w:rsidRDefault="004E16B4" w:rsidP="00846A81">
      <w:pPr>
        <w:pStyle w:val="Testonotaapidipagina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proofErr w:type="spellStart"/>
      <w:r w:rsidRPr="00D968BF">
        <w:rPr>
          <w:rFonts w:ascii="Times New Roman" w:hAnsi="Times New Roman" w:cs="Times New Roman"/>
          <w:sz w:val="22"/>
          <w:szCs w:val="22"/>
          <w:lang w:val="en-US"/>
        </w:rPr>
        <w:t>Gangat</w:t>
      </w:r>
      <w:proofErr w:type="spellEnd"/>
      <w:r w:rsidRPr="00D968BF">
        <w:rPr>
          <w:rFonts w:ascii="Times New Roman" w:hAnsi="Times New Roman" w:cs="Times New Roman"/>
          <w:sz w:val="22"/>
          <w:szCs w:val="22"/>
          <w:lang w:val="en-US"/>
        </w:rPr>
        <w:t xml:space="preserve"> N, Begna KH, Al-Kali A, et al. </w:t>
      </w:r>
      <w:r w:rsidRPr="00846A81">
        <w:rPr>
          <w:rFonts w:ascii="Times New Roman" w:hAnsi="Times New Roman" w:cs="Times New Roman"/>
          <w:sz w:val="22"/>
          <w:szCs w:val="22"/>
          <w:lang w:val="en-US"/>
        </w:rPr>
        <w:t xml:space="preserve">Predictors of anemia response to </w:t>
      </w:r>
      <w:proofErr w:type="spellStart"/>
      <w:r w:rsidRPr="00846A81">
        <w:rPr>
          <w:rFonts w:ascii="Times New Roman" w:hAnsi="Times New Roman" w:cs="Times New Roman"/>
          <w:sz w:val="22"/>
          <w:szCs w:val="22"/>
          <w:lang w:val="en-US"/>
        </w:rPr>
        <w:t>momelotinib</w:t>
      </w:r>
      <w:proofErr w:type="spellEnd"/>
      <w:r w:rsidRPr="00846A81">
        <w:rPr>
          <w:rFonts w:ascii="Times New Roman" w:hAnsi="Times New Roman" w:cs="Times New Roman"/>
          <w:sz w:val="22"/>
          <w:szCs w:val="22"/>
          <w:lang w:val="en-US"/>
        </w:rPr>
        <w:t xml:space="preserve"> therapy in myelofibrosis and impact on survival. </w:t>
      </w:r>
      <w:r w:rsidRPr="004E224F">
        <w:rPr>
          <w:rFonts w:ascii="Times New Roman" w:hAnsi="Times New Roman" w:cs="Times New Roman"/>
          <w:i/>
          <w:iCs/>
          <w:sz w:val="22"/>
          <w:szCs w:val="22"/>
          <w:lang w:val="en-US"/>
        </w:rPr>
        <w:t>Am J Hematol</w:t>
      </w:r>
      <w:r w:rsidRPr="004E224F">
        <w:rPr>
          <w:rFonts w:ascii="Times New Roman" w:hAnsi="Times New Roman" w:cs="Times New Roman"/>
          <w:sz w:val="22"/>
          <w:szCs w:val="22"/>
          <w:lang w:val="en-US"/>
        </w:rPr>
        <w:t xml:space="preserve"> 2023; </w:t>
      </w:r>
      <w:r w:rsidRPr="004E224F">
        <w:rPr>
          <w:rFonts w:ascii="Times New Roman" w:hAnsi="Times New Roman" w:cs="Times New Roman"/>
          <w:b/>
          <w:bCs/>
          <w:sz w:val="22"/>
          <w:szCs w:val="22"/>
          <w:lang w:val="en-US"/>
        </w:rPr>
        <w:t>98</w:t>
      </w:r>
      <w:r w:rsidRPr="004E224F">
        <w:rPr>
          <w:rFonts w:ascii="Times New Roman" w:hAnsi="Times New Roman" w:cs="Times New Roman"/>
          <w:sz w:val="22"/>
          <w:szCs w:val="22"/>
          <w:lang w:val="en-US"/>
        </w:rPr>
        <w:t>: 282-9</w:t>
      </w:r>
    </w:p>
    <w:p w14:paraId="730CB75A" w14:textId="77777777" w:rsidR="00F30BC6" w:rsidRPr="00846A81" w:rsidRDefault="004E16B4" w:rsidP="00846A81">
      <w:pPr>
        <w:pStyle w:val="Testonotaapidipagina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846A81">
        <w:rPr>
          <w:rStyle w:val="fontstyle01"/>
          <w:rFonts w:ascii="Times New Roman" w:hAnsi="Times New Roman" w:cs="Times New Roman"/>
          <w:color w:val="auto"/>
          <w:sz w:val="22"/>
          <w:szCs w:val="22"/>
        </w:rPr>
        <w:t xml:space="preserve">Huang J, Li C-Y, Mesa RA, </w:t>
      </w:r>
      <w:proofErr w:type="spellStart"/>
      <w:r w:rsidRPr="00846A81">
        <w:rPr>
          <w:rStyle w:val="fontstyle01"/>
          <w:rFonts w:ascii="Times New Roman" w:hAnsi="Times New Roman" w:cs="Times New Roman"/>
          <w:color w:val="auto"/>
          <w:sz w:val="22"/>
          <w:szCs w:val="22"/>
        </w:rPr>
        <w:t>Wu</w:t>
      </w:r>
      <w:proofErr w:type="spellEnd"/>
      <w:r w:rsidRPr="00846A81">
        <w:rPr>
          <w:rStyle w:val="fontstyle01"/>
          <w:rFonts w:ascii="Times New Roman" w:hAnsi="Times New Roman" w:cs="Times New Roman"/>
          <w:color w:val="auto"/>
          <w:sz w:val="22"/>
          <w:szCs w:val="22"/>
        </w:rPr>
        <w:t xml:space="preserve"> W, Hanson CA, </w:t>
      </w:r>
      <w:proofErr w:type="spellStart"/>
      <w:r w:rsidRPr="00846A81">
        <w:rPr>
          <w:rStyle w:val="fontstyle01"/>
          <w:rFonts w:ascii="Times New Roman" w:hAnsi="Times New Roman" w:cs="Times New Roman"/>
          <w:color w:val="auto"/>
          <w:sz w:val="22"/>
          <w:szCs w:val="22"/>
        </w:rPr>
        <w:t>Pardanani</w:t>
      </w:r>
      <w:proofErr w:type="spellEnd"/>
      <w:r w:rsidRPr="00846A81">
        <w:rPr>
          <w:rStyle w:val="fontstyle01"/>
          <w:rFonts w:ascii="Times New Roman" w:hAnsi="Times New Roman" w:cs="Times New Roman"/>
          <w:color w:val="auto"/>
          <w:sz w:val="22"/>
          <w:szCs w:val="22"/>
        </w:rPr>
        <w:t xml:space="preserve"> A, et al. </w:t>
      </w:r>
      <w:r w:rsidRPr="00846A81">
        <w:rPr>
          <w:rStyle w:val="fontstyle01"/>
          <w:rFonts w:ascii="Times New Roman" w:hAnsi="Times New Roman" w:cs="Times New Roman"/>
          <w:color w:val="auto"/>
          <w:sz w:val="22"/>
          <w:szCs w:val="22"/>
          <w:lang w:val="en-US"/>
        </w:rPr>
        <w:t>Risk factors for leukemic transformation in patients with primary myelofibrosis. Cancer. 2008;112(12):2726–2732.</w:t>
      </w:r>
    </w:p>
    <w:p w14:paraId="65AF2073" w14:textId="77777777" w:rsidR="00F30BC6" w:rsidRPr="00846A81" w:rsidRDefault="004E16B4" w:rsidP="00846A81">
      <w:pPr>
        <w:pStyle w:val="Testonotaapidipagina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846A81">
        <w:rPr>
          <w:rFonts w:ascii="Times New Roman" w:hAnsi="Times New Roman" w:cs="Times New Roman"/>
          <w:sz w:val="22"/>
          <w:szCs w:val="22"/>
        </w:rPr>
        <w:t xml:space="preserve">Carobbio A, Vannucchi AM, Rumi E, et al.  </w:t>
      </w:r>
      <w:r w:rsidRPr="00846A81">
        <w:rPr>
          <w:rFonts w:ascii="Times New Roman" w:hAnsi="Times New Roman" w:cs="Times New Roman"/>
          <w:sz w:val="22"/>
          <w:szCs w:val="22"/>
          <w:lang w:val="en-US"/>
        </w:rPr>
        <w:t xml:space="preserve">Survival expectation after thrombosis and </w:t>
      </w:r>
      <w:proofErr w:type="gramStart"/>
      <w:r w:rsidRPr="00846A81">
        <w:rPr>
          <w:rFonts w:ascii="Times New Roman" w:hAnsi="Times New Roman" w:cs="Times New Roman"/>
          <w:sz w:val="22"/>
          <w:szCs w:val="22"/>
          <w:lang w:val="en-US"/>
        </w:rPr>
        <w:t>overt-myelofibrosis</w:t>
      </w:r>
      <w:proofErr w:type="gramEnd"/>
      <w:r w:rsidRPr="00846A81">
        <w:rPr>
          <w:rFonts w:ascii="Times New Roman" w:hAnsi="Times New Roman" w:cs="Times New Roman"/>
          <w:sz w:val="22"/>
          <w:szCs w:val="22"/>
          <w:lang w:val="en-US"/>
        </w:rPr>
        <w:t xml:space="preserve"> in essential thrombocythemia and </w:t>
      </w:r>
      <w:proofErr w:type="spellStart"/>
      <w:r w:rsidRPr="00846A81">
        <w:rPr>
          <w:rFonts w:ascii="Times New Roman" w:hAnsi="Times New Roman" w:cs="Times New Roman"/>
          <w:sz w:val="22"/>
          <w:szCs w:val="22"/>
          <w:lang w:val="en-US"/>
        </w:rPr>
        <w:t>prefibrotic</w:t>
      </w:r>
      <w:proofErr w:type="spellEnd"/>
      <w:r w:rsidRPr="00846A81">
        <w:rPr>
          <w:rFonts w:ascii="Times New Roman" w:hAnsi="Times New Roman" w:cs="Times New Roman"/>
          <w:sz w:val="22"/>
          <w:szCs w:val="22"/>
          <w:lang w:val="en-US"/>
        </w:rPr>
        <w:t xml:space="preserve"> myelofibrosis: a multistate model approach. </w:t>
      </w:r>
      <w:r w:rsidRPr="00846A81">
        <w:rPr>
          <w:rFonts w:ascii="Times New Roman" w:hAnsi="Times New Roman" w:cs="Times New Roman"/>
          <w:i/>
          <w:iCs/>
          <w:sz w:val="22"/>
          <w:szCs w:val="22"/>
          <w:lang w:val="en-US"/>
        </w:rPr>
        <w:t>Blood Cancer J</w:t>
      </w:r>
      <w:r w:rsidRPr="00846A81">
        <w:rPr>
          <w:rFonts w:ascii="Times New Roman" w:hAnsi="Times New Roman" w:cs="Times New Roman"/>
          <w:sz w:val="22"/>
          <w:szCs w:val="22"/>
          <w:lang w:val="en-US"/>
        </w:rPr>
        <w:t xml:space="preserve"> 2024; </w:t>
      </w:r>
      <w:r w:rsidRPr="00846A81">
        <w:rPr>
          <w:rFonts w:ascii="Times New Roman" w:hAnsi="Times New Roman" w:cs="Times New Roman"/>
          <w:b/>
          <w:bCs/>
          <w:sz w:val="22"/>
          <w:szCs w:val="22"/>
          <w:lang w:val="en-US"/>
        </w:rPr>
        <w:t>13:</w:t>
      </w:r>
      <w:r w:rsidRPr="00846A81">
        <w:rPr>
          <w:rFonts w:ascii="Times New Roman" w:hAnsi="Times New Roman" w:cs="Times New Roman"/>
          <w:sz w:val="22"/>
          <w:szCs w:val="22"/>
          <w:lang w:val="en-US"/>
        </w:rPr>
        <w:t xml:space="preserve"> 115.</w:t>
      </w:r>
    </w:p>
    <w:p w14:paraId="6C8471C1" w14:textId="77777777" w:rsidR="00F30BC6" w:rsidRPr="00846A81" w:rsidRDefault="004E16B4" w:rsidP="00846A81">
      <w:pPr>
        <w:pStyle w:val="Testonotaapidipagina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D968BF">
        <w:rPr>
          <w:rFonts w:ascii="Times New Roman" w:hAnsi="Times New Roman" w:cs="Times New Roman"/>
          <w:sz w:val="22"/>
          <w:szCs w:val="22"/>
          <w:lang w:val="da-DK"/>
        </w:rPr>
        <w:t xml:space="preserve">Takenaka K, Shimoda K, Uchida N, et al. </w:t>
      </w:r>
      <w:r w:rsidRPr="00846A81">
        <w:rPr>
          <w:rFonts w:ascii="Times New Roman" w:hAnsi="Times New Roman" w:cs="Times New Roman"/>
          <w:sz w:val="22"/>
          <w:szCs w:val="22"/>
          <w:lang w:val="en-US"/>
        </w:rPr>
        <w:t xml:space="preserve">Clinical features and outcomes of patients with primary myelofibrosis in Japan: report of a 17-year nationwide survey by the Idiopathic Disorders of Hematopoietic Organs Research Committee of Japan. </w:t>
      </w:r>
      <w:r w:rsidRPr="00846A81">
        <w:rPr>
          <w:rFonts w:ascii="Times New Roman" w:hAnsi="Times New Roman" w:cs="Times New Roman"/>
          <w:i/>
          <w:iCs/>
          <w:sz w:val="22"/>
          <w:szCs w:val="22"/>
          <w:lang w:val="en-US"/>
        </w:rPr>
        <w:t>Int J Hematol</w:t>
      </w:r>
      <w:r w:rsidRPr="00846A81">
        <w:rPr>
          <w:rFonts w:ascii="Times New Roman" w:hAnsi="Times New Roman" w:cs="Times New Roman"/>
          <w:sz w:val="22"/>
          <w:szCs w:val="22"/>
          <w:lang w:val="en-US"/>
        </w:rPr>
        <w:t xml:space="preserve"> 2017; </w:t>
      </w:r>
      <w:r w:rsidRPr="00846A81">
        <w:rPr>
          <w:rFonts w:ascii="Times New Roman" w:hAnsi="Times New Roman" w:cs="Times New Roman"/>
          <w:b/>
          <w:bCs/>
          <w:sz w:val="22"/>
          <w:szCs w:val="22"/>
          <w:lang w:val="en-US"/>
        </w:rPr>
        <w:t>105</w:t>
      </w:r>
      <w:r w:rsidRPr="00846A81">
        <w:rPr>
          <w:rFonts w:ascii="Times New Roman" w:hAnsi="Times New Roman" w:cs="Times New Roman"/>
          <w:sz w:val="22"/>
          <w:szCs w:val="22"/>
          <w:lang w:val="en-US"/>
        </w:rPr>
        <w:t>: 59-69.</w:t>
      </w:r>
    </w:p>
    <w:p w14:paraId="7003A5E7" w14:textId="77777777" w:rsidR="00F30BC6" w:rsidRPr="00846A81" w:rsidRDefault="004E16B4" w:rsidP="00846A81">
      <w:pPr>
        <w:pStyle w:val="Testonotaapidipagina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D968BF">
        <w:rPr>
          <w:rFonts w:ascii="Times New Roman" w:hAnsi="Times New Roman" w:cs="Times New Roman"/>
          <w:sz w:val="22"/>
          <w:szCs w:val="22"/>
          <w:lang w:val="da-DK"/>
        </w:rPr>
        <w:t xml:space="preserve">Eppingbroeck AAM, Lechner L, Bakker EC, et al. </w:t>
      </w:r>
      <w:r w:rsidRPr="00846A81">
        <w:rPr>
          <w:rFonts w:ascii="Times New Roman" w:hAnsi="Times New Roman" w:cs="Times New Roman"/>
          <w:sz w:val="22"/>
          <w:szCs w:val="22"/>
          <w:lang w:val="en"/>
        </w:rPr>
        <w:t xml:space="preserve">The personal impact of living with a myeloproliferative neoplasm.  </w:t>
      </w:r>
      <w:r w:rsidRPr="00846A81">
        <w:rPr>
          <w:rFonts w:ascii="Times New Roman" w:hAnsi="Times New Roman" w:cs="Times New Roman"/>
          <w:i/>
          <w:iCs/>
          <w:sz w:val="22"/>
          <w:szCs w:val="22"/>
          <w:lang w:val="en"/>
        </w:rPr>
        <w:t>Psycho-Oncology</w:t>
      </w:r>
      <w:r w:rsidRPr="00846A81">
        <w:rPr>
          <w:rFonts w:ascii="Times New Roman" w:hAnsi="Times New Roman" w:cs="Times New Roman"/>
          <w:sz w:val="22"/>
          <w:szCs w:val="22"/>
          <w:lang w:val="en"/>
        </w:rPr>
        <w:t xml:space="preserve"> 2024; e6338. </w:t>
      </w:r>
    </w:p>
    <w:p w14:paraId="312A791D" w14:textId="77777777" w:rsidR="00F30BC6" w:rsidRPr="00846A81" w:rsidRDefault="004E16B4" w:rsidP="00846A81">
      <w:pPr>
        <w:pStyle w:val="Testonotaapidipagina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846A81">
        <w:rPr>
          <w:rFonts w:ascii="Times New Roman" w:hAnsi="Times New Roman" w:cs="Times New Roman"/>
          <w:sz w:val="22"/>
          <w:szCs w:val="22"/>
          <w:lang w:val="en-US"/>
        </w:rPr>
        <w:t xml:space="preserve">Mazza GL, Mead-Harvey C, Mascarenhas J, et al.  </w:t>
      </w:r>
      <w:hyperlink r:id="rId15" w:history="1">
        <w:r w:rsidRPr="00846A81">
          <w:rPr>
            <w:rStyle w:val="Collegamentoipertestuale"/>
            <w:rFonts w:ascii="Times New Roman" w:hAnsi="Times New Roman" w:cs="Times New Roman"/>
            <w:color w:val="auto"/>
            <w:sz w:val="22"/>
            <w:szCs w:val="22"/>
            <w:u w:val="none"/>
            <w:lang w:val="en-US"/>
          </w:rPr>
          <w:t xml:space="preserve">Symptom burden and quality of life in patients with high-risk essential </w:t>
        </w:r>
        <w:proofErr w:type="spellStart"/>
        <w:r w:rsidRPr="00846A81">
          <w:rPr>
            <w:rStyle w:val="Collegamentoipertestuale"/>
            <w:rFonts w:ascii="Times New Roman" w:hAnsi="Times New Roman" w:cs="Times New Roman"/>
            <w:color w:val="auto"/>
            <w:sz w:val="22"/>
            <w:szCs w:val="22"/>
            <w:u w:val="none"/>
            <w:lang w:val="en-US"/>
          </w:rPr>
          <w:t>thrombocythaemia</w:t>
        </w:r>
        <w:proofErr w:type="spellEnd"/>
        <w:r w:rsidRPr="00846A81">
          <w:rPr>
            <w:rStyle w:val="Collegamentoipertestuale"/>
            <w:rFonts w:ascii="Times New Roman" w:hAnsi="Times New Roman" w:cs="Times New Roman"/>
            <w:color w:val="auto"/>
            <w:sz w:val="22"/>
            <w:szCs w:val="22"/>
            <w:u w:val="none"/>
            <w:lang w:val="en-US"/>
          </w:rPr>
          <w:t xml:space="preserve"> and </w:t>
        </w:r>
        <w:proofErr w:type="spellStart"/>
        <w:r w:rsidRPr="00846A81">
          <w:rPr>
            <w:rStyle w:val="Collegamentoipertestuale"/>
            <w:rFonts w:ascii="Times New Roman" w:hAnsi="Times New Roman" w:cs="Times New Roman"/>
            <w:color w:val="auto"/>
            <w:sz w:val="22"/>
            <w:szCs w:val="22"/>
            <w:u w:val="none"/>
            <w:lang w:val="en-US"/>
          </w:rPr>
          <w:t>polycythaemia</w:t>
        </w:r>
        <w:proofErr w:type="spellEnd"/>
        <w:r w:rsidRPr="00846A81">
          <w:rPr>
            <w:rStyle w:val="Collegamentoipertestuale"/>
            <w:rFonts w:ascii="Times New Roman" w:hAnsi="Times New Roman" w:cs="Times New Roman"/>
            <w:color w:val="auto"/>
            <w:sz w:val="22"/>
            <w:szCs w:val="22"/>
            <w:u w:val="none"/>
            <w:lang w:val="en-US"/>
          </w:rPr>
          <w:t xml:space="preserve"> vera receiving hydroxyurea or pegylated interferon alfa2a: a post-hoc analysis of the MPN-RC 111 and 112 trials</w:t>
        </w:r>
      </w:hyperlink>
      <w:r w:rsidRPr="00846A81">
        <w:rPr>
          <w:rFonts w:ascii="Times New Roman" w:hAnsi="Times New Roman" w:cs="Times New Roman"/>
          <w:sz w:val="22"/>
          <w:szCs w:val="22"/>
          <w:lang w:val="en-US"/>
        </w:rPr>
        <w:t xml:space="preserve">. </w:t>
      </w:r>
      <w:r w:rsidRPr="00846A81">
        <w:rPr>
          <w:rFonts w:ascii="Times New Roman" w:hAnsi="Times New Roman" w:cs="Times New Roman"/>
          <w:i/>
          <w:iCs/>
          <w:sz w:val="22"/>
          <w:szCs w:val="22"/>
          <w:lang w:val="en-US"/>
        </w:rPr>
        <w:t xml:space="preserve">Lancet </w:t>
      </w:r>
      <w:proofErr w:type="spellStart"/>
      <w:r w:rsidRPr="00846A81">
        <w:rPr>
          <w:rFonts w:ascii="Times New Roman" w:hAnsi="Times New Roman" w:cs="Times New Roman"/>
          <w:i/>
          <w:iCs/>
          <w:sz w:val="22"/>
          <w:szCs w:val="22"/>
          <w:lang w:val="en-US"/>
        </w:rPr>
        <w:t>Haematol</w:t>
      </w:r>
      <w:proofErr w:type="spellEnd"/>
      <w:r w:rsidRPr="00846A81">
        <w:rPr>
          <w:rFonts w:ascii="Times New Roman" w:hAnsi="Times New Roman" w:cs="Times New Roman"/>
          <w:sz w:val="22"/>
          <w:szCs w:val="22"/>
          <w:lang w:val="en-US"/>
        </w:rPr>
        <w:t xml:space="preserve"> 2022; </w:t>
      </w:r>
      <w:r w:rsidRPr="00846A81">
        <w:rPr>
          <w:rFonts w:ascii="Times New Roman" w:hAnsi="Times New Roman" w:cs="Times New Roman"/>
          <w:b/>
          <w:bCs/>
          <w:sz w:val="22"/>
          <w:szCs w:val="22"/>
          <w:lang w:val="en-US"/>
        </w:rPr>
        <w:t>9</w:t>
      </w:r>
      <w:r w:rsidRPr="00846A81">
        <w:rPr>
          <w:rFonts w:ascii="Times New Roman" w:hAnsi="Times New Roman" w:cs="Times New Roman"/>
          <w:sz w:val="22"/>
          <w:szCs w:val="22"/>
          <w:lang w:val="en-US"/>
        </w:rPr>
        <w:t>: e38-48.</w:t>
      </w:r>
    </w:p>
    <w:p w14:paraId="7AEE0637" w14:textId="77777777" w:rsidR="00F30BC6" w:rsidRPr="00846A81" w:rsidRDefault="004E16B4" w:rsidP="00846A81">
      <w:pPr>
        <w:pStyle w:val="Testonotaapidipagina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proofErr w:type="spellStart"/>
      <w:r w:rsidRPr="00846A81">
        <w:rPr>
          <w:rFonts w:ascii="Times New Roman" w:hAnsi="Times New Roman" w:cs="Times New Roman"/>
          <w:sz w:val="22"/>
          <w:szCs w:val="22"/>
          <w:lang w:val="en-US"/>
        </w:rPr>
        <w:t>Poullet</w:t>
      </w:r>
      <w:proofErr w:type="spellEnd"/>
      <w:r w:rsidRPr="00846A81">
        <w:rPr>
          <w:rFonts w:ascii="Times New Roman" w:hAnsi="Times New Roman" w:cs="Times New Roman"/>
          <w:sz w:val="22"/>
          <w:szCs w:val="22"/>
          <w:lang w:val="en-US"/>
        </w:rPr>
        <w:t xml:space="preserve"> A, Busque L, Sirhan S, et al. Prospective symptom burden analysis in 784 patients with myeloproliferative neoplasms: high burden correlates with inflammatory/genetic biomarkers and reduced survival. </w:t>
      </w:r>
      <w:r w:rsidRPr="00846A81">
        <w:rPr>
          <w:rFonts w:ascii="Times New Roman" w:hAnsi="Times New Roman" w:cs="Times New Roman"/>
          <w:i/>
          <w:iCs/>
          <w:sz w:val="22"/>
          <w:szCs w:val="22"/>
          <w:lang w:val="en-US"/>
        </w:rPr>
        <w:t xml:space="preserve">Blood </w:t>
      </w:r>
      <w:r w:rsidRPr="00846A81">
        <w:rPr>
          <w:rFonts w:ascii="Times New Roman" w:hAnsi="Times New Roman" w:cs="Times New Roman"/>
          <w:sz w:val="22"/>
          <w:szCs w:val="22"/>
          <w:lang w:val="en-US"/>
        </w:rPr>
        <w:t xml:space="preserve">2023; </w:t>
      </w:r>
      <w:r w:rsidRPr="00846A81">
        <w:rPr>
          <w:rFonts w:ascii="Times New Roman" w:hAnsi="Times New Roman" w:cs="Times New Roman"/>
          <w:b/>
          <w:bCs/>
          <w:sz w:val="22"/>
          <w:szCs w:val="22"/>
          <w:lang w:val="en-US"/>
        </w:rPr>
        <w:t>142</w:t>
      </w:r>
      <w:r w:rsidRPr="00846A81">
        <w:rPr>
          <w:rFonts w:ascii="Times New Roman" w:hAnsi="Times New Roman" w:cs="Times New Roman"/>
          <w:sz w:val="22"/>
          <w:szCs w:val="22"/>
          <w:lang w:val="en-US"/>
        </w:rPr>
        <w:t xml:space="preserve"> (suppl 1): 917.</w:t>
      </w:r>
    </w:p>
    <w:p w14:paraId="17D3E4CD" w14:textId="77777777" w:rsidR="00F30BC6" w:rsidRPr="00846A81" w:rsidRDefault="004E16B4" w:rsidP="00846A81">
      <w:pPr>
        <w:pStyle w:val="Testonotaapidipagina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D968BF">
        <w:rPr>
          <w:rFonts w:ascii="Times New Roman" w:hAnsi="Times New Roman" w:cs="Times New Roman"/>
          <w:sz w:val="22"/>
          <w:szCs w:val="22"/>
          <w:lang w:val="da-DK"/>
        </w:rPr>
        <w:t xml:space="preserve">Grinfeld J, Nangalia J, Baxter J, et al. </w:t>
      </w:r>
      <w:r w:rsidRPr="00846A81">
        <w:rPr>
          <w:rFonts w:ascii="Times New Roman" w:hAnsi="Times New Roman" w:cs="Times New Roman"/>
          <w:sz w:val="22"/>
          <w:szCs w:val="22"/>
          <w:lang w:val="en-US"/>
        </w:rPr>
        <w:t xml:space="preserve">Classification and personalized prognosis in myeloproliferative neoplasms. </w:t>
      </w:r>
      <w:r w:rsidRPr="00846A81">
        <w:rPr>
          <w:rFonts w:ascii="Times New Roman" w:hAnsi="Times New Roman" w:cs="Times New Roman"/>
          <w:i/>
          <w:iCs/>
          <w:sz w:val="22"/>
          <w:szCs w:val="22"/>
          <w:lang w:val="en-US"/>
        </w:rPr>
        <w:t>N Engl J Med</w:t>
      </w:r>
      <w:r w:rsidRPr="00846A81">
        <w:rPr>
          <w:rFonts w:ascii="Times New Roman" w:hAnsi="Times New Roman" w:cs="Times New Roman"/>
          <w:sz w:val="22"/>
          <w:szCs w:val="22"/>
          <w:lang w:val="en-US"/>
        </w:rPr>
        <w:t xml:space="preserve"> 2018; </w:t>
      </w:r>
      <w:r w:rsidRPr="00846A81">
        <w:rPr>
          <w:rFonts w:ascii="Times New Roman" w:hAnsi="Times New Roman" w:cs="Times New Roman"/>
          <w:b/>
          <w:bCs/>
          <w:sz w:val="22"/>
          <w:szCs w:val="22"/>
          <w:lang w:val="en-US"/>
        </w:rPr>
        <w:t>379</w:t>
      </w:r>
      <w:r w:rsidRPr="00846A81">
        <w:rPr>
          <w:rFonts w:ascii="Times New Roman" w:hAnsi="Times New Roman" w:cs="Times New Roman"/>
          <w:sz w:val="22"/>
          <w:szCs w:val="22"/>
          <w:lang w:val="en-US"/>
        </w:rPr>
        <w:t xml:space="preserve">: 1416-30. </w:t>
      </w:r>
    </w:p>
    <w:p w14:paraId="3D905865" w14:textId="77777777" w:rsidR="00F30BC6" w:rsidRPr="00846A81" w:rsidRDefault="004E16B4" w:rsidP="00846A81">
      <w:pPr>
        <w:pStyle w:val="Testonotaapidipagina"/>
        <w:numPr>
          <w:ilvl w:val="0"/>
          <w:numId w:val="6"/>
        </w:numPr>
        <w:spacing w:line="276" w:lineRule="auto"/>
        <w:jc w:val="both"/>
        <w:rPr>
          <w:rStyle w:val="docsum-journal-citation"/>
          <w:rFonts w:ascii="Times New Roman" w:hAnsi="Times New Roman" w:cs="Times New Roman"/>
          <w:sz w:val="22"/>
          <w:szCs w:val="22"/>
          <w:lang w:val="en-US"/>
        </w:rPr>
      </w:pPr>
      <w:r w:rsidRPr="00D968BF">
        <w:rPr>
          <w:rFonts w:ascii="Times New Roman" w:hAnsi="Times New Roman" w:cs="Times New Roman"/>
          <w:sz w:val="22"/>
          <w:szCs w:val="22"/>
          <w:lang w:val="da-DK"/>
        </w:rPr>
        <w:t xml:space="preserve">Luther M, Henes FO, Zabelina T, et al. </w:t>
      </w:r>
      <w:hyperlink r:id="rId16" w:history="1">
        <w:r w:rsidRPr="00846A81">
          <w:rPr>
            <w:rStyle w:val="Collegamentoipertestuale"/>
            <w:rFonts w:ascii="Times New Roman" w:hAnsi="Times New Roman" w:cs="Times New Roman"/>
            <w:color w:val="auto"/>
            <w:sz w:val="22"/>
            <w:szCs w:val="22"/>
            <w:u w:val="none"/>
            <w:shd w:val="clear" w:color="auto" w:fill="FFFFFF"/>
            <w:lang w:val="en-US"/>
          </w:rPr>
          <w:t>Spleen volume and length determined by computed tomography impact outcome after allogeneic stem cell transplantation for myelofibrosis.</w:t>
        </w:r>
      </w:hyperlink>
      <w:r w:rsidRPr="00846A81">
        <w:rPr>
          <w:rStyle w:val="Collegamentoipertestuale"/>
          <w:rFonts w:ascii="Times New Roman" w:hAnsi="Times New Roman" w:cs="Times New Roman"/>
          <w:color w:val="auto"/>
          <w:sz w:val="22"/>
          <w:szCs w:val="22"/>
          <w:u w:val="none"/>
          <w:shd w:val="clear" w:color="auto" w:fill="FFFFFF"/>
          <w:lang w:val="en-US"/>
        </w:rPr>
        <w:t xml:space="preserve"> </w:t>
      </w:r>
      <w:r w:rsidRPr="00846A81">
        <w:rPr>
          <w:rStyle w:val="docsum-journal-citation"/>
          <w:rFonts w:ascii="Times New Roman" w:hAnsi="Times New Roman" w:cs="Times New Roman"/>
          <w:i/>
          <w:iCs/>
          <w:sz w:val="22"/>
          <w:szCs w:val="22"/>
          <w:lang w:val="en-US"/>
        </w:rPr>
        <w:t>Bone Marrow Transplant</w:t>
      </w:r>
      <w:r w:rsidRPr="00846A81">
        <w:rPr>
          <w:rStyle w:val="docsum-journal-citation"/>
          <w:rFonts w:ascii="Times New Roman" w:hAnsi="Times New Roman" w:cs="Times New Roman"/>
          <w:sz w:val="22"/>
          <w:szCs w:val="22"/>
          <w:lang w:val="en-US"/>
        </w:rPr>
        <w:t xml:space="preserve"> 2023; </w:t>
      </w:r>
      <w:r w:rsidRPr="00846A81">
        <w:rPr>
          <w:rStyle w:val="docsum-journal-citation"/>
          <w:rFonts w:ascii="Times New Roman" w:hAnsi="Times New Roman" w:cs="Times New Roman"/>
          <w:b/>
          <w:bCs/>
          <w:sz w:val="22"/>
          <w:szCs w:val="22"/>
          <w:lang w:val="en-US"/>
        </w:rPr>
        <w:t>58</w:t>
      </w:r>
      <w:r w:rsidRPr="00846A81">
        <w:rPr>
          <w:rStyle w:val="docsum-journal-citation"/>
          <w:rFonts w:ascii="Times New Roman" w:hAnsi="Times New Roman" w:cs="Times New Roman"/>
          <w:sz w:val="22"/>
          <w:szCs w:val="22"/>
          <w:lang w:val="en-US"/>
        </w:rPr>
        <w:t>: 755-61</w:t>
      </w:r>
    </w:p>
    <w:p w14:paraId="0CFAF8D9" w14:textId="77777777" w:rsidR="00F30BC6" w:rsidRPr="00846A81" w:rsidRDefault="004E16B4" w:rsidP="00846A81">
      <w:pPr>
        <w:pStyle w:val="Testonotaapidipagina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846A81">
        <w:rPr>
          <w:rFonts w:ascii="Times New Roman" w:hAnsi="Times New Roman" w:cs="Times New Roman"/>
          <w:sz w:val="22"/>
          <w:szCs w:val="22"/>
          <w:lang w:val="en-US"/>
        </w:rPr>
        <w:t xml:space="preserve">Song M-K, Chung J-S, Lim S-N, et al. Usefulness of spleen volume measured by computed tomography for predicting clinical outcome in primary myelofibrosis. </w:t>
      </w:r>
      <w:r w:rsidRPr="00312950">
        <w:rPr>
          <w:rFonts w:ascii="Times New Roman" w:hAnsi="Times New Roman" w:cs="Times New Roman"/>
          <w:i/>
          <w:iCs/>
          <w:sz w:val="22"/>
          <w:szCs w:val="22"/>
          <w:lang w:val="en-US"/>
        </w:rPr>
        <w:t>Int J Hematol</w:t>
      </w:r>
      <w:r w:rsidRPr="00312950">
        <w:rPr>
          <w:rFonts w:ascii="Times New Roman" w:hAnsi="Times New Roman" w:cs="Times New Roman"/>
          <w:sz w:val="22"/>
          <w:szCs w:val="22"/>
          <w:lang w:val="en-US"/>
        </w:rPr>
        <w:t xml:space="preserve"> 2016; </w:t>
      </w:r>
      <w:r w:rsidRPr="00312950">
        <w:rPr>
          <w:rFonts w:ascii="Times New Roman" w:hAnsi="Times New Roman" w:cs="Times New Roman"/>
          <w:b/>
          <w:bCs/>
          <w:sz w:val="22"/>
          <w:szCs w:val="22"/>
          <w:lang w:val="en-US"/>
        </w:rPr>
        <w:t>104</w:t>
      </w:r>
      <w:r w:rsidRPr="00312950">
        <w:rPr>
          <w:rFonts w:ascii="Times New Roman" w:hAnsi="Times New Roman" w:cs="Times New Roman"/>
          <w:sz w:val="22"/>
          <w:szCs w:val="22"/>
          <w:lang w:val="en-US"/>
        </w:rPr>
        <w:t>: 476-84.</w:t>
      </w:r>
    </w:p>
    <w:p w14:paraId="4047EBDE" w14:textId="77777777" w:rsidR="00F30BC6" w:rsidRPr="00846A81" w:rsidRDefault="004E16B4" w:rsidP="00846A81">
      <w:pPr>
        <w:pStyle w:val="Testonotaapidipagina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proofErr w:type="spellStart"/>
      <w:r w:rsidRPr="00D968BF">
        <w:rPr>
          <w:rFonts w:ascii="Times New Roman" w:hAnsi="Times New Roman" w:cs="Times New Roman"/>
          <w:sz w:val="22"/>
          <w:szCs w:val="22"/>
          <w:lang w:val="en-US"/>
        </w:rPr>
        <w:t>Gangat</w:t>
      </w:r>
      <w:proofErr w:type="spellEnd"/>
      <w:r w:rsidRPr="00D968BF">
        <w:rPr>
          <w:rFonts w:ascii="Times New Roman" w:hAnsi="Times New Roman" w:cs="Times New Roman"/>
          <w:sz w:val="22"/>
          <w:szCs w:val="22"/>
          <w:lang w:val="en-US"/>
        </w:rPr>
        <w:t xml:space="preserve"> N, Begna KH, Al-Kali A, et al. </w:t>
      </w:r>
      <w:r w:rsidRPr="00846A81">
        <w:rPr>
          <w:rFonts w:ascii="Times New Roman" w:hAnsi="Times New Roman" w:cs="Times New Roman"/>
          <w:sz w:val="22"/>
          <w:szCs w:val="22"/>
          <w:lang w:val="en-US"/>
        </w:rPr>
        <w:t xml:space="preserve">Determinants of survival and retrospective comparisons of 183 clinical trial patients with myelofibrosis treated with </w:t>
      </w:r>
      <w:proofErr w:type="spellStart"/>
      <w:r w:rsidRPr="00846A81">
        <w:rPr>
          <w:rFonts w:ascii="Times New Roman" w:hAnsi="Times New Roman" w:cs="Times New Roman"/>
          <w:sz w:val="22"/>
          <w:szCs w:val="22"/>
          <w:lang w:val="en-US"/>
        </w:rPr>
        <w:t>momelotinib</w:t>
      </w:r>
      <w:proofErr w:type="spellEnd"/>
      <w:r w:rsidRPr="00846A81">
        <w:rPr>
          <w:rFonts w:ascii="Times New Roman" w:hAnsi="Times New Roman" w:cs="Times New Roman"/>
          <w:sz w:val="22"/>
          <w:szCs w:val="22"/>
          <w:lang w:val="en-US"/>
        </w:rPr>
        <w:t xml:space="preserve">, </w:t>
      </w:r>
      <w:proofErr w:type="spellStart"/>
      <w:r w:rsidRPr="00846A81">
        <w:rPr>
          <w:rFonts w:ascii="Times New Roman" w:hAnsi="Times New Roman" w:cs="Times New Roman"/>
          <w:sz w:val="22"/>
          <w:szCs w:val="22"/>
          <w:lang w:val="en-US"/>
        </w:rPr>
        <w:t>ruxolitinib</w:t>
      </w:r>
      <w:proofErr w:type="spellEnd"/>
      <w:r w:rsidRPr="00846A81">
        <w:rPr>
          <w:rFonts w:ascii="Times New Roman" w:hAnsi="Times New Roman" w:cs="Times New Roman"/>
          <w:sz w:val="22"/>
          <w:szCs w:val="22"/>
          <w:lang w:val="en-US"/>
        </w:rPr>
        <w:t xml:space="preserve">, </w:t>
      </w:r>
      <w:proofErr w:type="spellStart"/>
      <w:r w:rsidRPr="00846A81">
        <w:rPr>
          <w:rFonts w:ascii="Times New Roman" w:hAnsi="Times New Roman" w:cs="Times New Roman"/>
          <w:sz w:val="22"/>
          <w:szCs w:val="22"/>
          <w:lang w:val="en-US"/>
        </w:rPr>
        <w:t>fedratinib</w:t>
      </w:r>
      <w:proofErr w:type="spellEnd"/>
      <w:r w:rsidRPr="00846A81">
        <w:rPr>
          <w:rFonts w:ascii="Times New Roman" w:hAnsi="Times New Roman" w:cs="Times New Roman"/>
          <w:sz w:val="22"/>
          <w:szCs w:val="22"/>
          <w:lang w:val="en-US"/>
        </w:rPr>
        <w:t xml:space="preserve"> or BMS- 911543 JAK2 inhibitor. </w:t>
      </w:r>
      <w:r w:rsidRPr="004E224F">
        <w:rPr>
          <w:rFonts w:ascii="Times New Roman" w:hAnsi="Times New Roman" w:cs="Times New Roman"/>
          <w:i/>
          <w:iCs/>
          <w:sz w:val="22"/>
          <w:szCs w:val="22"/>
          <w:lang w:val="en-US"/>
        </w:rPr>
        <w:t xml:space="preserve">Blood Cancer J </w:t>
      </w:r>
      <w:r w:rsidRPr="004E224F">
        <w:rPr>
          <w:rFonts w:ascii="Times New Roman" w:hAnsi="Times New Roman" w:cs="Times New Roman"/>
          <w:sz w:val="22"/>
          <w:szCs w:val="22"/>
          <w:lang w:val="en-US"/>
        </w:rPr>
        <w:t xml:space="preserve">2023; </w:t>
      </w:r>
      <w:r w:rsidRPr="004E224F">
        <w:rPr>
          <w:rFonts w:ascii="Times New Roman" w:hAnsi="Times New Roman" w:cs="Times New Roman"/>
          <w:b/>
          <w:bCs/>
          <w:sz w:val="22"/>
          <w:szCs w:val="22"/>
          <w:lang w:val="en-US"/>
        </w:rPr>
        <w:t>13</w:t>
      </w:r>
      <w:r w:rsidRPr="004E224F">
        <w:rPr>
          <w:rFonts w:ascii="Times New Roman" w:hAnsi="Times New Roman" w:cs="Times New Roman"/>
          <w:sz w:val="22"/>
          <w:szCs w:val="22"/>
          <w:lang w:val="en-US"/>
        </w:rPr>
        <w:t>: 2.</w:t>
      </w:r>
    </w:p>
    <w:p w14:paraId="27247EBB" w14:textId="77777777" w:rsidR="00F30BC6" w:rsidRPr="00846A81" w:rsidRDefault="004E16B4" w:rsidP="00846A81">
      <w:pPr>
        <w:pStyle w:val="Testonotaapidipagina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846A81">
        <w:rPr>
          <w:rFonts w:ascii="Times New Roman" w:hAnsi="Times New Roman" w:cs="Times New Roman"/>
          <w:sz w:val="22"/>
          <w:szCs w:val="22"/>
        </w:rPr>
        <w:t xml:space="preserve">Palandri F, Palumbo GA, Bonifacio M, et al. </w:t>
      </w:r>
      <w:r w:rsidRPr="00846A81">
        <w:rPr>
          <w:rFonts w:ascii="Times New Roman" w:hAnsi="Times New Roman" w:cs="Times New Roman"/>
          <w:sz w:val="22"/>
          <w:szCs w:val="22"/>
          <w:lang w:val="en-US"/>
        </w:rPr>
        <w:t xml:space="preserve">Durability of spleen response affects the outcome </w:t>
      </w:r>
      <w:proofErr w:type="spellStart"/>
      <w:r w:rsidRPr="00846A81">
        <w:rPr>
          <w:rFonts w:ascii="Times New Roman" w:hAnsi="Times New Roman" w:cs="Times New Roman"/>
          <w:sz w:val="22"/>
          <w:szCs w:val="22"/>
          <w:lang w:val="en-US"/>
        </w:rPr>
        <w:t>fo</w:t>
      </w:r>
      <w:proofErr w:type="spellEnd"/>
      <w:r w:rsidRPr="00846A81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46A81">
        <w:rPr>
          <w:rFonts w:ascii="Times New Roman" w:hAnsi="Times New Roman" w:cs="Times New Roman"/>
          <w:sz w:val="22"/>
          <w:szCs w:val="22"/>
          <w:lang w:val="en-US"/>
        </w:rPr>
        <w:t>ruxolitinib</w:t>
      </w:r>
      <w:proofErr w:type="spellEnd"/>
      <w:r w:rsidRPr="00846A81">
        <w:rPr>
          <w:rFonts w:ascii="Times New Roman" w:hAnsi="Times New Roman" w:cs="Times New Roman"/>
          <w:sz w:val="22"/>
          <w:szCs w:val="22"/>
          <w:lang w:val="en-US"/>
        </w:rPr>
        <w:t xml:space="preserve">-treated patients with myelofibrosis: results from a </w:t>
      </w:r>
      <w:proofErr w:type="spellStart"/>
      <w:r w:rsidRPr="00846A81">
        <w:rPr>
          <w:rFonts w:ascii="Times New Roman" w:hAnsi="Times New Roman" w:cs="Times New Roman"/>
          <w:sz w:val="22"/>
          <w:szCs w:val="22"/>
          <w:lang w:val="en-US"/>
        </w:rPr>
        <w:t>multicentre</w:t>
      </w:r>
      <w:proofErr w:type="spellEnd"/>
      <w:r w:rsidRPr="00846A81">
        <w:rPr>
          <w:rFonts w:ascii="Times New Roman" w:hAnsi="Times New Roman" w:cs="Times New Roman"/>
          <w:sz w:val="22"/>
          <w:szCs w:val="22"/>
          <w:lang w:val="en-US"/>
        </w:rPr>
        <w:t xml:space="preserve"> study of 284 patients. </w:t>
      </w:r>
      <w:r w:rsidRPr="00846A81">
        <w:rPr>
          <w:rFonts w:ascii="Times New Roman" w:hAnsi="Times New Roman" w:cs="Times New Roman"/>
          <w:i/>
          <w:iCs/>
          <w:sz w:val="22"/>
          <w:szCs w:val="22"/>
          <w:lang w:val="en-US"/>
        </w:rPr>
        <w:t>Leuk Res</w:t>
      </w:r>
      <w:r w:rsidRPr="00846A81">
        <w:rPr>
          <w:rFonts w:ascii="Times New Roman" w:hAnsi="Times New Roman" w:cs="Times New Roman"/>
          <w:sz w:val="22"/>
          <w:szCs w:val="22"/>
          <w:lang w:val="en-US"/>
        </w:rPr>
        <w:t xml:space="preserve"> 2018; </w:t>
      </w:r>
      <w:r w:rsidRPr="00846A81">
        <w:rPr>
          <w:rFonts w:ascii="Times New Roman" w:hAnsi="Times New Roman" w:cs="Times New Roman"/>
          <w:b/>
          <w:bCs/>
          <w:sz w:val="22"/>
          <w:szCs w:val="22"/>
          <w:lang w:val="en-US"/>
        </w:rPr>
        <w:t>74</w:t>
      </w:r>
      <w:r w:rsidRPr="00846A81">
        <w:rPr>
          <w:rFonts w:ascii="Times New Roman" w:hAnsi="Times New Roman" w:cs="Times New Roman"/>
          <w:sz w:val="22"/>
          <w:szCs w:val="22"/>
          <w:lang w:val="en-US"/>
        </w:rPr>
        <w:t>: 86-8</w:t>
      </w:r>
    </w:p>
    <w:p w14:paraId="05CC45D0" w14:textId="77777777" w:rsidR="00F30BC6" w:rsidRPr="00846A81" w:rsidRDefault="004E16B4" w:rsidP="00846A81">
      <w:pPr>
        <w:pStyle w:val="Testonotaapidipagina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D968BF">
        <w:rPr>
          <w:rFonts w:ascii="Times New Roman" w:hAnsi="Times New Roman" w:cs="Times New Roman"/>
          <w:sz w:val="22"/>
          <w:szCs w:val="22"/>
          <w:lang w:val="da-DK"/>
        </w:rPr>
        <w:t xml:space="preserve">Verstovsek S, Kantarjian HM, Estrov Z, et al. </w:t>
      </w:r>
      <w:r w:rsidRPr="00846A81">
        <w:rPr>
          <w:rFonts w:ascii="Times New Roman" w:hAnsi="Times New Roman" w:cs="Times New Roman"/>
          <w:sz w:val="22"/>
          <w:szCs w:val="22"/>
          <w:lang w:val="en-US"/>
        </w:rPr>
        <w:t xml:space="preserve">Long-term outcomes of 107 patients with myelofibrosis receiving JAK1/JAK2 inhibitor </w:t>
      </w:r>
      <w:proofErr w:type="spellStart"/>
      <w:r w:rsidRPr="00846A81">
        <w:rPr>
          <w:rFonts w:ascii="Times New Roman" w:hAnsi="Times New Roman" w:cs="Times New Roman"/>
          <w:sz w:val="22"/>
          <w:szCs w:val="22"/>
          <w:lang w:val="en-US"/>
        </w:rPr>
        <w:t>ruxolitinib</w:t>
      </w:r>
      <w:proofErr w:type="spellEnd"/>
      <w:r w:rsidRPr="00846A81">
        <w:rPr>
          <w:rFonts w:ascii="Times New Roman" w:hAnsi="Times New Roman" w:cs="Times New Roman"/>
          <w:sz w:val="22"/>
          <w:szCs w:val="22"/>
          <w:lang w:val="en-US"/>
        </w:rPr>
        <w:t xml:space="preserve">: survival advantage in comparison to matched historical controls. </w:t>
      </w:r>
      <w:r w:rsidRPr="00846A81">
        <w:rPr>
          <w:rFonts w:ascii="Times New Roman" w:hAnsi="Times New Roman" w:cs="Times New Roman"/>
          <w:i/>
          <w:iCs/>
          <w:sz w:val="22"/>
          <w:szCs w:val="22"/>
          <w:lang w:val="en-US"/>
        </w:rPr>
        <w:t>Blood</w:t>
      </w:r>
      <w:r w:rsidRPr="00846A81">
        <w:rPr>
          <w:rFonts w:ascii="Times New Roman" w:hAnsi="Times New Roman" w:cs="Times New Roman"/>
          <w:sz w:val="22"/>
          <w:szCs w:val="22"/>
          <w:lang w:val="en-US"/>
        </w:rPr>
        <w:t xml:space="preserve"> 2012; </w:t>
      </w:r>
      <w:r w:rsidRPr="00846A81">
        <w:rPr>
          <w:rFonts w:ascii="Times New Roman" w:hAnsi="Times New Roman" w:cs="Times New Roman"/>
          <w:b/>
          <w:bCs/>
          <w:sz w:val="22"/>
          <w:szCs w:val="22"/>
          <w:lang w:val="en-US"/>
        </w:rPr>
        <w:t>120</w:t>
      </w:r>
      <w:r w:rsidRPr="00846A81">
        <w:rPr>
          <w:rFonts w:ascii="Times New Roman" w:hAnsi="Times New Roman" w:cs="Times New Roman"/>
          <w:sz w:val="22"/>
          <w:szCs w:val="22"/>
          <w:lang w:val="en-US"/>
        </w:rPr>
        <w:t xml:space="preserve">: 1202–9. </w:t>
      </w:r>
    </w:p>
    <w:p w14:paraId="59AE3651" w14:textId="77777777" w:rsidR="00F30BC6" w:rsidRPr="00846A81" w:rsidRDefault="004E16B4" w:rsidP="00846A81">
      <w:pPr>
        <w:pStyle w:val="Testonotaapidipagina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846A81">
        <w:rPr>
          <w:rFonts w:ascii="Times New Roman" w:hAnsi="Times New Roman" w:cs="Times New Roman"/>
          <w:sz w:val="22"/>
          <w:szCs w:val="22"/>
        </w:rPr>
        <w:t xml:space="preserve">Coltro G, Sant’Antonio E, Palumbo GA, et al. </w:t>
      </w:r>
      <w:r w:rsidRPr="00846A81">
        <w:rPr>
          <w:rFonts w:ascii="Times New Roman" w:hAnsi="Times New Roman" w:cs="Times New Roman"/>
          <w:sz w:val="22"/>
          <w:szCs w:val="22"/>
          <w:lang w:val="en-US"/>
        </w:rPr>
        <w:t xml:space="preserve">Assessment of the efficacy and tolerability of </w:t>
      </w:r>
      <w:proofErr w:type="spellStart"/>
      <w:r w:rsidRPr="00846A81">
        <w:rPr>
          <w:rFonts w:ascii="Times New Roman" w:hAnsi="Times New Roman" w:cs="Times New Roman"/>
          <w:sz w:val="22"/>
          <w:szCs w:val="22"/>
          <w:lang w:val="en-US"/>
        </w:rPr>
        <w:t>ruxolitinib</w:t>
      </w:r>
      <w:proofErr w:type="spellEnd"/>
      <w:r w:rsidRPr="00846A81">
        <w:rPr>
          <w:rFonts w:ascii="Times New Roman" w:hAnsi="Times New Roman" w:cs="Times New Roman"/>
          <w:sz w:val="22"/>
          <w:szCs w:val="22"/>
          <w:lang w:val="en-US"/>
        </w:rPr>
        <w:t xml:space="preserve"> for the treatment of myelofibrosis patients in a </w:t>
      </w:r>
      <w:proofErr w:type="gramStart"/>
      <w:r w:rsidRPr="00846A81">
        <w:rPr>
          <w:rFonts w:ascii="Times New Roman" w:hAnsi="Times New Roman" w:cs="Times New Roman"/>
          <w:sz w:val="22"/>
          <w:szCs w:val="22"/>
          <w:lang w:val="en-US"/>
        </w:rPr>
        <w:t>real life</w:t>
      </w:r>
      <w:proofErr w:type="gramEnd"/>
      <w:r w:rsidRPr="00846A81">
        <w:rPr>
          <w:rFonts w:ascii="Times New Roman" w:hAnsi="Times New Roman" w:cs="Times New Roman"/>
          <w:sz w:val="22"/>
          <w:szCs w:val="22"/>
          <w:lang w:val="en-US"/>
        </w:rPr>
        <w:t xml:space="preserve"> setting: an Italian MYNERVA Project. </w:t>
      </w:r>
      <w:r w:rsidRPr="00846A81">
        <w:rPr>
          <w:rFonts w:ascii="Times New Roman" w:hAnsi="Times New Roman" w:cs="Times New Roman"/>
          <w:i/>
          <w:iCs/>
          <w:sz w:val="22"/>
          <w:szCs w:val="22"/>
          <w:lang w:val="en-US"/>
        </w:rPr>
        <w:t>Cancer Med</w:t>
      </w:r>
      <w:r w:rsidRPr="00846A81">
        <w:rPr>
          <w:rFonts w:ascii="Times New Roman" w:hAnsi="Times New Roman" w:cs="Times New Roman"/>
          <w:sz w:val="22"/>
          <w:szCs w:val="22"/>
          <w:lang w:val="en-US"/>
        </w:rPr>
        <w:t xml:space="preserve"> 2023; </w:t>
      </w:r>
      <w:r w:rsidRPr="00846A81">
        <w:rPr>
          <w:rFonts w:ascii="Times New Roman" w:hAnsi="Times New Roman" w:cs="Times New Roman"/>
          <w:b/>
          <w:bCs/>
          <w:sz w:val="22"/>
          <w:szCs w:val="22"/>
          <w:lang w:val="en-US"/>
        </w:rPr>
        <w:t>12</w:t>
      </w:r>
      <w:r w:rsidRPr="00846A81">
        <w:rPr>
          <w:rFonts w:ascii="Times New Roman" w:hAnsi="Times New Roman" w:cs="Times New Roman"/>
          <w:sz w:val="22"/>
          <w:szCs w:val="22"/>
          <w:lang w:val="en-US"/>
        </w:rPr>
        <w:t>: 8166–71.</w:t>
      </w:r>
    </w:p>
    <w:p w14:paraId="25410A51" w14:textId="35BC4577" w:rsidR="00F30BC6" w:rsidRPr="00846A81" w:rsidRDefault="004E16B4" w:rsidP="00846A81">
      <w:pPr>
        <w:pStyle w:val="Testonotaapidipagina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proofErr w:type="spellStart"/>
      <w:r w:rsidRPr="00846A81">
        <w:rPr>
          <w:rFonts w:ascii="Times New Roman" w:hAnsi="Times New Roman" w:cs="Times New Roman"/>
          <w:sz w:val="22"/>
          <w:szCs w:val="22"/>
          <w:lang w:val="en-US"/>
        </w:rPr>
        <w:t>Vannucchi</w:t>
      </w:r>
      <w:proofErr w:type="spellEnd"/>
      <w:r w:rsidRPr="00846A81">
        <w:rPr>
          <w:rFonts w:ascii="Times New Roman" w:hAnsi="Times New Roman" w:cs="Times New Roman"/>
          <w:sz w:val="22"/>
          <w:szCs w:val="22"/>
          <w:lang w:val="en-US"/>
        </w:rPr>
        <w:t xml:space="preserve"> AM, Kantarjian HM, </w:t>
      </w:r>
      <w:proofErr w:type="spellStart"/>
      <w:r w:rsidRPr="00846A81">
        <w:rPr>
          <w:rFonts w:ascii="Times New Roman" w:hAnsi="Times New Roman" w:cs="Times New Roman"/>
          <w:sz w:val="22"/>
          <w:szCs w:val="22"/>
          <w:lang w:val="en-US"/>
        </w:rPr>
        <w:t>Kiladjian</w:t>
      </w:r>
      <w:proofErr w:type="spellEnd"/>
      <w:r w:rsidRPr="00846A81">
        <w:rPr>
          <w:rFonts w:ascii="Times New Roman" w:hAnsi="Times New Roman" w:cs="Times New Roman"/>
          <w:sz w:val="22"/>
          <w:szCs w:val="22"/>
          <w:lang w:val="en-US"/>
        </w:rPr>
        <w:t xml:space="preserve"> JJ, et al., A pooled analysis of overall survival in COMFORT-I and COMFORT-II, 2 randomized phase III trials of </w:t>
      </w:r>
      <w:proofErr w:type="spellStart"/>
      <w:r w:rsidRPr="00846A81">
        <w:rPr>
          <w:rFonts w:ascii="Times New Roman" w:hAnsi="Times New Roman" w:cs="Times New Roman"/>
          <w:sz w:val="22"/>
          <w:szCs w:val="22"/>
          <w:lang w:val="en-US"/>
        </w:rPr>
        <w:t>ruxolitinib</w:t>
      </w:r>
      <w:proofErr w:type="spellEnd"/>
      <w:r w:rsidRPr="00846A81">
        <w:rPr>
          <w:rFonts w:ascii="Times New Roman" w:hAnsi="Times New Roman" w:cs="Times New Roman"/>
          <w:sz w:val="22"/>
          <w:szCs w:val="22"/>
          <w:lang w:val="en-US"/>
        </w:rPr>
        <w:t xml:space="preserve"> for the treatment of myelofibrosis. </w:t>
      </w:r>
      <w:proofErr w:type="spellStart"/>
      <w:proofErr w:type="gramStart"/>
      <w:r w:rsidRPr="00846A81">
        <w:rPr>
          <w:rFonts w:ascii="Times New Roman" w:hAnsi="Times New Roman" w:cs="Times New Roman"/>
          <w:i/>
          <w:iCs/>
          <w:sz w:val="22"/>
          <w:szCs w:val="22"/>
          <w:lang w:val="en-US"/>
        </w:rPr>
        <w:t>Haematologica</w:t>
      </w:r>
      <w:proofErr w:type="spellEnd"/>
      <w:r w:rsidRPr="00846A81">
        <w:rPr>
          <w:rFonts w:ascii="Times New Roman" w:hAnsi="Times New Roman" w:cs="Times New Roman"/>
          <w:i/>
          <w:iCs/>
          <w:sz w:val="22"/>
          <w:szCs w:val="22"/>
          <w:lang w:val="en-US"/>
        </w:rPr>
        <w:t xml:space="preserve"> </w:t>
      </w:r>
      <w:r w:rsidRPr="00846A81">
        <w:rPr>
          <w:rFonts w:ascii="Times New Roman" w:hAnsi="Times New Roman" w:cs="Times New Roman"/>
          <w:sz w:val="22"/>
          <w:szCs w:val="22"/>
          <w:lang w:val="en-US"/>
        </w:rPr>
        <w:t xml:space="preserve"> 2015</w:t>
      </w:r>
      <w:proofErr w:type="gramEnd"/>
      <w:r w:rsidRPr="00846A81">
        <w:rPr>
          <w:rFonts w:ascii="Times New Roman" w:hAnsi="Times New Roman" w:cs="Times New Roman"/>
          <w:sz w:val="22"/>
          <w:szCs w:val="22"/>
          <w:lang w:val="en-US"/>
        </w:rPr>
        <w:t xml:space="preserve">; </w:t>
      </w:r>
      <w:r w:rsidRPr="00846A81">
        <w:rPr>
          <w:rFonts w:ascii="Times New Roman" w:hAnsi="Times New Roman" w:cs="Times New Roman"/>
          <w:b/>
          <w:bCs/>
          <w:sz w:val="22"/>
          <w:szCs w:val="22"/>
          <w:lang w:val="en-US"/>
        </w:rPr>
        <w:t>100</w:t>
      </w:r>
      <w:r w:rsidRPr="00846A81">
        <w:rPr>
          <w:rFonts w:ascii="Times New Roman" w:hAnsi="Times New Roman" w:cs="Times New Roman"/>
          <w:sz w:val="22"/>
          <w:szCs w:val="22"/>
          <w:lang w:val="en-US"/>
        </w:rPr>
        <w:t>: 1139–45.</w:t>
      </w:r>
    </w:p>
    <w:p w14:paraId="60B5EEBD" w14:textId="77777777" w:rsidR="00F30BC6" w:rsidRPr="00846A81" w:rsidRDefault="004E16B4" w:rsidP="00846A81">
      <w:pPr>
        <w:pStyle w:val="Testonotaapidipagina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846A81">
        <w:rPr>
          <w:rStyle w:val="fontstyle01"/>
          <w:rFonts w:ascii="Times New Roman" w:hAnsi="Times New Roman" w:cs="Times New Roman"/>
          <w:sz w:val="22"/>
          <w:szCs w:val="22"/>
          <w:lang w:val="en-US"/>
        </w:rPr>
        <w:lastRenderedPageBreak/>
        <w:t>Guglielmelli P, Lasho TL, Rotunno G</w:t>
      </w:r>
      <w:proofErr w:type="gramStart"/>
      <w:r w:rsidRPr="00846A81">
        <w:rPr>
          <w:rStyle w:val="fontstyle01"/>
          <w:rFonts w:ascii="Times New Roman" w:hAnsi="Times New Roman" w:cs="Times New Roman"/>
          <w:sz w:val="22"/>
          <w:szCs w:val="22"/>
          <w:lang w:val="en-US"/>
        </w:rPr>
        <w:t>, ,</w:t>
      </w:r>
      <w:proofErr w:type="gramEnd"/>
      <w:r w:rsidRPr="00846A81">
        <w:rPr>
          <w:rStyle w:val="fontstyle01"/>
          <w:rFonts w:ascii="Times New Roman" w:hAnsi="Times New Roman" w:cs="Times New Roman"/>
          <w:sz w:val="22"/>
          <w:szCs w:val="22"/>
          <w:lang w:val="en-US"/>
        </w:rPr>
        <w:t xml:space="preserve"> et </w:t>
      </w:r>
      <w:proofErr w:type="gramStart"/>
      <w:r w:rsidRPr="00846A81">
        <w:rPr>
          <w:rStyle w:val="fontstyle01"/>
          <w:rFonts w:ascii="Times New Roman" w:hAnsi="Times New Roman" w:cs="Times New Roman"/>
          <w:sz w:val="22"/>
          <w:szCs w:val="22"/>
          <w:lang w:val="en-US"/>
        </w:rPr>
        <w:t>al.MIPSS</w:t>
      </w:r>
      <w:proofErr w:type="gramEnd"/>
      <w:r w:rsidRPr="00846A81">
        <w:rPr>
          <w:rStyle w:val="fontstyle01"/>
          <w:rFonts w:ascii="Times New Roman" w:hAnsi="Times New Roman" w:cs="Times New Roman"/>
          <w:sz w:val="22"/>
          <w:szCs w:val="22"/>
          <w:lang w:val="en-US"/>
        </w:rPr>
        <w:t xml:space="preserve">70: Mutation-Enhanced International Prognostic Score System for transplantation-age patients with primary myelofibrosis. </w:t>
      </w:r>
      <w:r w:rsidRPr="00846A81">
        <w:rPr>
          <w:rStyle w:val="fontstyle01"/>
          <w:rFonts w:ascii="Times New Roman" w:hAnsi="Times New Roman" w:cs="Times New Roman"/>
          <w:sz w:val="22"/>
          <w:szCs w:val="22"/>
        </w:rPr>
        <w:t xml:space="preserve">J Clinical </w:t>
      </w:r>
      <w:proofErr w:type="spellStart"/>
      <w:r w:rsidRPr="00846A81">
        <w:rPr>
          <w:rStyle w:val="fontstyle01"/>
          <w:rFonts w:ascii="Times New Roman" w:hAnsi="Times New Roman" w:cs="Times New Roman"/>
          <w:sz w:val="22"/>
          <w:szCs w:val="22"/>
        </w:rPr>
        <w:t>Oncol</w:t>
      </w:r>
      <w:proofErr w:type="spellEnd"/>
      <w:r w:rsidRPr="00846A81">
        <w:rPr>
          <w:rStyle w:val="fontstyle01"/>
          <w:rFonts w:ascii="Times New Roman" w:hAnsi="Times New Roman" w:cs="Times New Roman"/>
          <w:sz w:val="22"/>
          <w:szCs w:val="22"/>
        </w:rPr>
        <w:t>. 2018;36(4):310–318</w:t>
      </w:r>
    </w:p>
    <w:p w14:paraId="10555C22" w14:textId="77777777" w:rsidR="00F30BC6" w:rsidRPr="00846A81" w:rsidRDefault="004E16B4" w:rsidP="00846A81">
      <w:pPr>
        <w:pStyle w:val="Testonotaapidipagina"/>
        <w:numPr>
          <w:ilvl w:val="0"/>
          <w:numId w:val="6"/>
        </w:numPr>
        <w:spacing w:line="276" w:lineRule="auto"/>
        <w:jc w:val="both"/>
        <w:rPr>
          <w:rStyle w:val="fontstyle01"/>
          <w:rFonts w:ascii="Times New Roman" w:hAnsi="Times New Roman" w:cs="Times New Roman"/>
          <w:color w:val="auto"/>
          <w:sz w:val="22"/>
          <w:szCs w:val="22"/>
          <w:lang w:val="en-US"/>
        </w:rPr>
      </w:pPr>
      <w:proofErr w:type="spellStart"/>
      <w:r w:rsidRPr="00846A81">
        <w:rPr>
          <w:rStyle w:val="fontstyle01"/>
          <w:rFonts w:ascii="Times New Roman" w:hAnsi="Times New Roman" w:cs="Times New Roman"/>
          <w:sz w:val="22"/>
          <w:szCs w:val="22"/>
        </w:rPr>
        <w:t>Tefferi</w:t>
      </w:r>
      <w:proofErr w:type="spellEnd"/>
      <w:r w:rsidRPr="00846A81">
        <w:rPr>
          <w:rStyle w:val="fontstyle01"/>
          <w:rFonts w:ascii="Times New Roman" w:hAnsi="Times New Roman" w:cs="Times New Roman"/>
          <w:sz w:val="22"/>
          <w:szCs w:val="22"/>
        </w:rPr>
        <w:t xml:space="preserve"> A, Nicolosi M, </w:t>
      </w:r>
      <w:proofErr w:type="spellStart"/>
      <w:r w:rsidRPr="00846A81">
        <w:rPr>
          <w:rStyle w:val="fontstyle01"/>
          <w:rFonts w:ascii="Times New Roman" w:hAnsi="Times New Roman" w:cs="Times New Roman"/>
          <w:sz w:val="22"/>
          <w:szCs w:val="22"/>
        </w:rPr>
        <w:t>Mudireddy</w:t>
      </w:r>
      <w:proofErr w:type="spellEnd"/>
      <w:r w:rsidRPr="00846A81">
        <w:rPr>
          <w:rStyle w:val="fontstyle01"/>
          <w:rFonts w:ascii="Times New Roman" w:hAnsi="Times New Roman" w:cs="Times New Roman"/>
          <w:sz w:val="22"/>
          <w:szCs w:val="22"/>
        </w:rPr>
        <w:t xml:space="preserve"> M, et al. </w:t>
      </w:r>
      <w:r w:rsidRPr="00846A81">
        <w:rPr>
          <w:rStyle w:val="fontstyle01"/>
          <w:rFonts w:ascii="Times New Roman" w:hAnsi="Times New Roman" w:cs="Times New Roman"/>
          <w:sz w:val="22"/>
          <w:szCs w:val="22"/>
          <w:lang w:val="en-US"/>
        </w:rPr>
        <w:t xml:space="preserve">Revised cytogenetic risk stratification in primary myelofibrosis: analysis based on 1002 informative patients. </w:t>
      </w:r>
      <w:r w:rsidRPr="00846A81">
        <w:rPr>
          <w:rStyle w:val="fontstyle01"/>
          <w:rFonts w:ascii="Times New Roman" w:hAnsi="Times New Roman" w:cs="Times New Roman"/>
          <w:i/>
          <w:iCs/>
          <w:sz w:val="22"/>
          <w:szCs w:val="22"/>
          <w:lang w:val="en-US"/>
        </w:rPr>
        <w:t xml:space="preserve">Leukemia </w:t>
      </w:r>
      <w:r w:rsidRPr="00846A81">
        <w:rPr>
          <w:rStyle w:val="fontstyle01"/>
          <w:rFonts w:ascii="Times New Roman" w:hAnsi="Times New Roman" w:cs="Times New Roman"/>
          <w:sz w:val="22"/>
          <w:szCs w:val="22"/>
          <w:lang w:val="en-US"/>
        </w:rPr>
        <w:t xml:space="preserve">2018; </w:t>
      </w:r>
      <w:r w:rsidRPr="00846A81">
        <w:rPr>
          <w:rStyle w:val="fontstyle01"/>
          <w:rFonts w:ascii="Times New Roman" w:hAnsi="Times New Roman" w:cs="Times New Roman"/>
          <w:b/>
          <w:bCs/>
          <w:sz w:val="22"/>
          <w:szCs w:val="22"/>
          <w:lang w:val="en-US"/>
        </w:rPr>
        <w:t>32</w:t>
      </w:r>
      <w:r w:rsidRPr="00846A81">
        <w:rPr>
          <w:rStyle w:val="fontstyle01"/>
          <w:rFonts w:ascii="Times New Roman" w:hAnsi="Times New Roman" w:cs="Times New Roman"/>
          <w:sz w:val="22"/>
          <w:szCs w:val="22"/>
          <w:lang w:val="en-US"/>
        </w:rPr>
        <w:t>: 1189–99</w:t>
      </w:r>
    </w:p>
    <w:p w14:paraId="7A080FA4" w14:textId="50957279" w:rsidR="004E16B4" w:rsidRPr="00846A81" w:rsidRDefault="004E16B4" w:rsidP="00846A81">
      <w:pPr>
        <w:pStyle w:val="Testonotaapidipagina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846A81">
        <w:rPr>
          <w:rStyle w:val="fontstyle01"/>
          <w:rFonts w:ascii="Times New Roman" w:hAnsi="Times New Roman" w:cs="Times New Roman"/>
          <w:sz w:val="22"/>
          <w:szCs w:val="22"/>
          <w:lang w:val="en-US"/>
        </w:rPr>
        <w:t xml:space="preserve">Lundberg P, Karow A, </w:t>
      </w:r>
      <w:proofErr w:type="spellStart"/>
      <w:r w:rsidRPr="00846A81">
        <w:rPr>
          <w:rStyle w:val="fontstyle01"/>
          <w:rFonts w:ascii="Times New Roman" w:hAnsi="Times New Roman" w:cs="Times New Roman"/>
          <w:sz w:val="22"/>
          <w:szCs w:val="22"/>
          <w:lang w:val="en-US"/>
        </w:rPr>
        <w:t>Nienhold</w:t>
      </w:r>
      <w:proofErr w:type="spellEnd"/>
      <w:r w:rsidRPr="00846A81">
        <w:rPr>
          <w:rStyle w:val="fontstyle01"/>
          <w:rFonts w:ascii="Times New Roman" w:hAnsi="Times New Roman" w:cs="Times New Roman"/>
          <w:sz w:val="22"/>
          <w:szCs w:val="22"/>
          <w:lang w:val="en-US"/>
        </w:rPr>
        <w:t xml:space="preserve"> R, Looser R, Hao-Shen H, Nissen H, et al. Clonal evolution and clinical correlates of somatic mutations in myeloproliferative neoplasm</w:t>
      </w:r>
    </w:p>
    <w:p w14:paraId="34703663" w14:textId="77777777" w:rsidR="00464CE1" w:rsidRPr="00846A81" w:rsidRDefault="00464CE1" w:rsidP="00846A81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</w:p>
    <w:p w14:paraId="1ADA533C" w14:textId="77777777" w:rsidR="00A00121" w:rsidRPr="00846A81" w:rsidRDefault="00A00121" w:rsidP="00846A81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</w:p>
    <w:sectPr w:rsidR="00A00121" w:rsidRPr="00846A81" w:rsidSect="00A009E1">
      <w:footerReference w:type="default" r:id="rId17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745B5" w14:textId="77777777" w:rsidR="00B41344" w:rsidRDefault="00B41344" w:rsidP="00464CE1">
      <w:pPr>
        <w:spacing w:after="0" w:line="240" w:lineRule="auto"/>
      </w:pPr>
      <w:r>
        <w:separator/>
      </w:r>
    </w:p>
  </w:endnote>
  <w:endnote w:type="continuationSeparator" w:id="0">
    <w:p w14:paraId="2F82251C" w14:textId="77777777" w:rsidR="00B41344" w:rsidRDefault="00B41344" w:rsidP="00464C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-Roman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536820"/>
      <w:docPartObj>
        <w:docPartGallery w:val="Page Numbers (Bottom of Page)"/>
        <w:docPartUnique/>
      </w:docPartObj>
    </w:sdtPr>
    <w:sdtEndPr/>
    <w:sdtContent>
      <w:p w14:paraId="3CF21BDA" w14:textId="77777777" w:rsidR="005128E8" w:rsidRDefault="000C13AE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F235502" w14:textId="77777777" w:rsidR="005128E8" w:rsidRDefault="005128E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49931" w14:textId="77777777" w:rsidR="00B41344" w:rsidRDefault="00B41344" w:rsidP="00464CE1">
      <w:pPr>
        <w:spacing w:after="0" w:line="240" w:lineRule="auto"/>
      </w:pPr>
      <w:r>
        <w:separator/>
      </w:r>
    </w:p>
  </w:footnote>
  <w:footnote w:type="continuationSeparator" w:id="0">
    <w:p w14:paraId="3AADB7C7" w14:textId="77777777" w:rsidR="00B41344" w:rsidRDefault="00B41344" w:rsidP="00464CE1">
      <w:pPr>
        <w:spacing w:after="0" w:line="240" w:lineRule="auto"/>
      </w:pPr>
      <w:r>
        <w:continuationSeparator/>
      </w:r>
    </w:p>
  </w:footnote>
  <w:footnote w:id="1">
    <w:p w14:paraId="51566F90" w14:textId="77777777" w:rsidR="00BE39C5" w:rsidRPr="00C44C65" w:rsidRDefault="00BE39C5" w:rsidP="00C44C65">
      <w:pPr>
        <w:pStyle w:val="Testonotaapidipagina"/>
        <w:rPr>
          <w:rFonts w:ascii="Times New Roman" w:hAnsi="Times New Roman" w:cs="Times New Roman"/>
          <w:sz w:val="16"/>
          <w:szCs w:val="16"/>
          <w:lang w:val="en-US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318C5"/>
    <w:multiLevelType w:val="hybridMultilevel"/>
    <w:tmpl w:val="C09220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C0100"/>
    <w:multiLevelType w:val="multilevel"/>
    <w:tmpl w:val="F96E7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2313A5"/>
    <w:multiLevelType w:val="multilevel"/>
    <w:tmpl w:val="8ADA4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1D406E"/>
    <w:multiLevelType w:val="multilevel"/>
    <w:tmpl w:val="0E8ED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191AF9"/>
    <w:multiLevelType w:val="multilevel"/>
    <w:tmpl w:val="FB5EE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E41EF0"/>
    <w:multiLevelType w:val="hybridMultilevel"/>
    <w:tmpl w:val="2236DAEE"/>
    <w:lvl w:ilvl="0" w:tplc="E8BE6F06">
      <w:start w:val="1"/>
      <w:numFmt w:val="decimal"/>
      <w:lvlText w:val="%1"/>
      <w:lvlJc w:val="left"/>
      <w:pPr>
        <w:ind w:left="1068" w:hanging="708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7295011">
    <w:abstractNumId w:val="5"/>
  </w:num>
  <w:num w:numId="2" w16cid:durableId="1611620260">
    <w:abstractNumId w:val="1"/>
  </w:num>
  <w:num w:numId="3" w16cid:durableId="248199146">
    <w:abstractNumId w:val="2"/>
  </w:num>
  <w:num w:numId="4" w16cid:durableId="313073227">
    <w:abstractNumId w:val="4"/>
  </w:num>
  <w:num w:numId="5" w16cid:durableId="1899242161">
    <w:abstractNumId w:val="3"/>
  </w:num>
  <w:num w:numId="6" w16cid:durableId="987324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CE1"/>
    <w:rsid w:val="0001604E"/>
    <w:rsid w:val="0002274E"/>
    <w:rsid w:val="00053544"/>
    <w:rsid w:val="00061EA5"/>
    <w:rsid w:val="000637C1"/>
    <w:rsid w:val="00066066"/>
    <w:rsid w:val="00075623"/>
    <w:rsid w:val="000953CF"/>
    <w:rsid w:val="000C13AE"/>
    <w:rsid w:val="000D7F24"/>
    <w:rsid w:val="000F6850"/>
    <w:rsid w:val="0010548F"/>
    <w:rsid w:val="00107074"/>
    <w:rsid w:val="00124FB8"/>
    <w:rsid w:val="00180066"/>
    <w:rsid w:val="00191CC3"/>
    <w:rsid w:val="001C7DB4"/>
    <w:rsid w:val="001D2E17"/>
    <w:rsid w:val="001D5005"/>
    <w:rsid w:val="00232386"/>
    <w:rsid w:val="00236FAD"/>
    <w:rsid w:val="002439AB"/>
    <w:rsid w:val="002A1480"/>
    <w:rsid w:val="002E1142"/>
    <w:rsid w:val="0030608C"/>
    <w:rsid w:val="00306D01"/>
    <w:rsid w:val="00312950"/>
    <w:rsid w:val="00315D7C"/>
    <w:rsid w:val="003807E1"/>
    <w:rsid w:val="003878A5"/>
    <w:rsid w:val="00396FD6"/>
    <w:rsid w:val="003C2527"/>
    <w:rsid w:val="003D745A"/>
    <w:rsid w:val="003F23E2"/>
    <w:rsid w:val="00400B02"/>
    <w:rsid w:val="0040485D"/>
    <w:rsid w:val="00404F06"/>
    <w:rsid w:val="0042012F"/>
    <w:rsid w:val="00437FAF"/>
    <w:rsid w:val="0045250C"/>
    <w:rsid w:val="00464CE1"/>
    <w:rsid w:val="00477F10"/>
    <w:rsid w:val="00485B8B"/>
    <w:rsid w:val="00486308"/>
    <w:rsid w:val="004B0474"/>
    <w:rsid w:val="004E16B4"/>
    <w:rsid w:val="004E224F"/>
    <w:rsid w:val="00500724"/>
    <w:rsid w:val="005128E8"/>
    <w:rsid w:val="0052504F"/>
    <w:rsid w:val="00537162"/>
    <w:rsid w:val="0058163A"/>
    <w:rsid w:val="005D4C39"/>
    <w:rsid w:val="005E2D3C"/>
    <w:rsid w:val="005F5151"/>
    <w:rsid w:val="005F77DC"/>
    <w:rsid w:val="00606D32"/>
    <w:rsid w:val="00610164"/>
    <w:rsid w:val="00616C3E"/>
    <w:rsid w:val="0062542F"/>
    <w:rsid w:val="00632C7E"/>
    <w:rsid w:val="00645049"/>
    <w:rsid w:val="00646299"/>
    <w:rsid w:val="00674DAB"/>
    <w:rsid w:val="006A61BC"/>
    <w:rsid w:val="006C064D"/>
    <w:rsid w:val="006C4CC6"/>
    <w:rsid w:val="00700ABF"/>
    <w:rsid w:val="00714B66"/>
    <w:rsid w:val="00760347"/>
    <w:rsid w:val="00785819"/>
    <w:rsid w:val="00785A1B"/>
    <w:rsid w:val="007B1EBA"/>
    <w:rsid w:val="007D4D02"/>
    <w:rsid w:val="007D662C"/>
    <w:rsid w:val="007F6741"/>
    <w:rsid w:val="00816A4B"/>
    <w:rsid w:val="0083434B"/>
    <w:rsid w:val="00846A81"/>
    <w:rsid w:val="008601D8"/>
    <w:rsid w:val="00860E13"/>
    <w:rsid w:val="00863FFE"/>
    <w:rsid w:val="00887E9C"/>
    <w:rsid w:val="008B74BC"/>
    <w:rsid w:val="008C3B94"/>
    <w:rsid w:val="008C67CA"/>
    <w:rsid w:val="008F3322"/>
    <w:rsid w:val="00901054"/>
    <w:rsid w:val="00906E0F"/>
    <w:rsid w:val="0091567F"/>
    <w:rsid w:val="0092484E"/>
    <w:rsid w:val="00942605"/>
    <w:rsid w:val="0095398C"/>
    <w:rsid w:val="00956E92"/>
    <w:rsid w:val="00957590"/>
    <w:rsid w:val="009818D6"/>
    <w:rsid w:val="009944A2"/>
    <w:rsid w:val="00995000"/>
    <w:rsid w:val="00A00121"/>
    <w:rsid w:val="00A009E1"/>
    <w:rsid w:val="00A46F80"/>
    <w:rsid w:val="00A816C4"/>
    <w:rsid w:val="00AF4509"/>
    <w:rsid w:val="00B16721"/>
    <w:rsid w:val="00B275D1"/>
    <w:rsid w:val="00B41344"/>
    <w:rsid w:val="00B42D22"/>
    <w:rsid w:val="00B45778"/>
    <w:rsid w:val="00B46304"/>
    <w:rsid w:val="00B5192A"/>
    <w:rsid w:val="00B66D0E"/>
    <w:rsid w:val="00B73741"/>
    <w:rsid w:val="00BB238E"/>
    <w:rsid w:val="00BC431B"/>
    <w:rsid w:val="00BE30BA"/>
    <w:rsid w:val="00BE39C5"/>
    <w:rsid w:val="00BF0A71"/>
    <w:rsid w:val="00C40A52"/>
    <w:rsid w:val="00C435D3"/>
    <w:rsid w:val="00C44C65"/>
    <w:rsid w:val="00C84748"/>
    <w:rsid w:val="00C8620F"/>
    <w:rsid w:val="00CB19E9"/>
    <w:rsid w:val="00CB2F73"/>
    <w:rsid w:val="00CD6F21"/>
    <w:rsid w:val="00CD77C7"/>
    <w:rsid w:val="00CE0B82"/>
    <w:rsid w:val="00D16E24"/>
    <w:rsid w:val="00D20B15"/>
    <w:rsid w:val="00D23DD4"/>
    <w:rsid w:val="00D359CF"/>
    <w:rsid w:val="00D35FCC"/>
    <w:rsid w:val="00D55615"/>
    <w:rsid w:val="00D844AC"/>
    <w:rsid w:val="00D91B79"/>
    <w:rsid w:val="00D9220A"/>
    <w:rsid w:val="00D94F62"/>
    <w:rsid w:val="00D968BF"/>
    <w:rsid w:val="00DD1EAF"/>
    <w:rsid w:val="00DD5E20"/>
    <w:rsid w:val="00DE1E6B"/>
    <w:rsid w:val="00E07644"/>
    <w:rsid w:val="00E15FB0"/>
    <w:rsid w:val="00E5195A"/>
    <w:rsid w:val="00E6200C"/>
    <w:rsid w:val="00E71AAB"/>
    <w:rsid w:val="00E71FDE"/>
    <w:rsid w:val="00E73D57"/>
    <w:rsid w:val="00E83780"/>
    <w:rsid w:val="00E91809"/>
    <w:rsid w:val="00E91A9C"/>
    <w:rsid w:val="00E97C86"/>
    <w:rsid w:val="00EC233E"/>
    <w:rsid w:val="00EE7BDF"/>
    <w:rsid w:val="00F0716E"/>
    <w:rsid w:val="00F153C0"/>
    <w:rsid w:val="00F21874"/>
    <w:rsid w:val="00F30BC6"/>
    <w:rsid w:val="00F45321"/>
    <w:rsid w:val="00F602DA"/>
    <w:rsid w:val="00F90001"/>
    <w:rsid w:val="00F9604B"/>
    <w:rsid w:val="00F96284"/>
    <w:rsid w:val="00FC142E"/>
    <w:rsid w:val="00FE75D2"/>
    <w:rsid w:val="00FF1E5D"/>
    <w:rsid w:val="00FF1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87F62"/>
  <w15:chartTrackingRefBased/>
  <w15:docId w15:val="{B7D97466-2A2A-4B0C-A90F-BC3A4FF3C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64CE1"/>
  </w:style>
  <w:style w:type="paragraph" w:styleId="Titolo1">
    <w:name w:val="heading 1"/>
    <w:basedOn w:val="Normale"/>
    <w:next w:val="Normale"/>
    <w:link w:val="Titolo1Carattere"/>
    <w:uiPriority w:val="9"/>
    <w:qFormat/>
    <w:rsid w:val="00464C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64C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64C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64C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64C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64C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64C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64C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64C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64C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64C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64C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64CE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64CE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64CE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64CE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64CE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64CE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64C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64C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64C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64C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64C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64CE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64CE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64CE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64C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64CE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64CE1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464CE1"/>
    <w:rPr>
      <w:color w:val="0000FF"/>
      <w:u w:val="single"/>
    </w:rPr>
  </w:style>
  <w:style w:type="table" w:styleId="Tabellagriglia5scura-colore5">
    <w:name w:val="Grid Table 5 Dark Accent 5"/>
    <w:basedOn w:val="Tabellanormale"/>
    <w:uiPriority w:val="50"/>
    <w:rsid w:val="00464CE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paragraph" w:styleId="Pidipagina">
    <w:name w:val="footer"/>
    <w:basedOn w:val="Normale"/>
    <w:link w:val="PidipaginaCarattere"/>
    <w:uiPriority w:val="99"/>
    <w:unhideWhenUsed/>
    <w:rsid w:val="00464C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64CE1"/>
  </w:style>
  <w:style w:type="table" w:styleId="Tabellaelenco3-colore5">
    <w:name w:val="List Table 3 Accent 5"/>
    <w:basedOn w:val="Tabellanormale"/>
    <w:uiPriority w:val="48"/>
    <w:rsid w:val="00464CE1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character" w:customStyle="1" w:styleId="id-label">
    <w:name w:val="id-label"/>
    <w:basedOn w:val="Carpredefinitoparagrafo"/>
    <w:rsid w:val="00464CE1"/>
  </w:style>
  <w:style w:type="paragraph" w:styleId="Testonotaapidipagina">
    <w:name w:val="footnote text"/>
    <w:basedOn w:val="Normale"/>
    <w:link w:val="TestonotaapidipaginaCarattere"/>
    <w:uiPriority w:val="99"/>
    <w:unhideWhenUsed/>
    <w:rsid w:val="00464CE1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464CE1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464CE1"/>
    <w:rPr>
      <w:vertAlign w:val="superscript"/>
    </w:rPr>
  </w:style>
  <w:style w:type="character" w:customStyle="1" w:styleId="fontstyle01">
    <w:name w:val="fontstyle01"/>
    <w:basedOn w:val="Carpredefinitoparagrafo"/>
    <w:rsid w:val="00464CE1"/>
    <w:rPr>
      <w:rFonts w:ascii="Times-Roman" w:hAnsi="Times-Roman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c-article-identifiersitem">
    <w:name w:val="c-article-identifiers__item"/>
    <w:basedOn w:val="Normale"/>
    <w:rsid w:val="00464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customStyle="1" w:styleId="docsum-journal-citation">
    <w:name w:val="docsum-journal-citation"/>
    <w:basedOn w:val="Carpredefinitoparagrafo"/>
    <w:rsid w:val="00464CE1"/>
  </w:style>
  <w:style w:type="character" w:customStyle="1" w:styleId="ref-journal">
    <w:name w:val="ref-journal"/>
    <w:basedOn w:val="Carpredefinitoparagrafo"/>
    <w:rsid w:val="00464CE1"/>
  </w:style>
  <w:style w:type="character" w:customStyle="1" w:styleId="ref-vol">
    <w:name w:val="ref-vol"/>
    <w:basedOn w:val="Carpredefinitoparagrafo"/>
    <w:rsid w:val="00464CE1"/>
  </w:style>
  <w:style w:type="character" w:styleId="Menzionenonrisolta">
    <w:name w:val="Unresolved Mention"/>
    <w:basedOn w:val="Carpredefinitoparagrafo"/>
    <w:uiPriority w:val="99"/>
    <w:semiHidden/>
    <w:unhideWhenUsed/>
    <w:rsid w:val="002A1480"/>
    <w:rPr>
      <w:color w:val="605E5C"/>
      <w:shd w:val="clear" w:color="auto" w:fill="E1DFDD"/>
    </w:rPr>
  </w:style>
  <w:style w:type="table" w:styleId="Tabellagriglia7acolori-colore4">
    <w:name w:val="Grid Table 7 Colorful Accent 4"/>
    <w:basedOn w:val="Tabellanormale"/>
    <w:uiPriority w:val="52"/>
    <w:rsid w:val="00CD6F21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Tabellaelenco3-colore4">
    <w:name w:val="List Table 3 Accent 4"/>
    <w:basedOn w:val="Tabellanormale"/>
    <w:uiPriority w:val="48"/>
    <w:rsid w:val="00CD6F21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Grigliatabella">
    <w:name w:val="Table Grid"/>
    <w:basedOn w:val="Tabellanormale"/>
    <w:uiPriority w:val="39"/>
    <w:rsid w:val="00CE0B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griglia1chiara-colore1">
    <w:name w:val="Grid Table 1 Light Accent 1"/>
    <w:basedOn w:val="Tabellanormale"/>
    <w:uiPriority w:val="46"/>
    <w:rsid w:val="00CE0B82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2">
    <w:name w:val="Grid Table 1 Light Accent 2"/>
    <w:basedOn w:val="Tabellanormale"/>
    <w:uiPriority w:val="46"/>
    <w:rsid w:val="00CE0B82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">
    <w:name w:val="Grid Table 1 Light"/>
    <w:basedOn w:val="Tabellanormale"/>
    <w:uiPriority w:val="46"/>
    <w:rsid w:val="00CE0B8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77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3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3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379956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6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802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865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8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84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83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787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502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13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65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27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19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12" w:space="9" w:color="F0F0F0"/>
            <w:right w:val="none" w:sz="0" w:space="0" w:color="auto"/>
          </w:divBdr>
          <w:divsChild>
            <w:div w:id="116281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543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58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02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98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07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7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10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75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45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819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794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53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74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26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5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50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54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987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448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0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0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52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7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4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2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04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75061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24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5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1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62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1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92063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56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638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12" w:space="9" w:color="F0F0F0"/>
            <w:right w:val="none" w:sz="0" w:space="0" w:color="auto"/>
          </w:divBdr>
          <w:divsChild>
            <w:div w:id="149575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31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273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09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8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47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17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18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01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87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643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795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05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82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190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2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29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98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311871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32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01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7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41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62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66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1893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0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107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766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9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63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64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31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525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709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5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6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18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2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33825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4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7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6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-ncbi-nlm-nih-gov.bvsp.idm.oclc.org/pmc/articles/PMC4828070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tep.cancer.gov/protocoldevelopment/electronic_applications/docs/CTCAE_v5_Quick_Reference_5x7.pdf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pubmed-ncbi-nlm-nih-gov.bvsp.idm.oclc.org/37002409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https://www.thelancet.com/journals/lanhae/article/PIIS2352-3026(21)00343-4/fulltext" TargetMode="Externa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hyperlink" Target="https://pubmed-ncbi-nlm-nih-gov.bvsp.idm.oclc.org/25636356/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Cartel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FFFF00"/>
            </a:solidFill>
            <a:ln>
              <a:noFill/>
            </a:ln>
            <a:effectLst/>
          </c:spPr>
          <c:invertIfNegative val="0"/>
          <c:dPt>
            <c:idx val="7"/>
            <c:invertIfNegative val="0"/>
            <c:bubble3D val="0"/>
            <c:spPr>
              <a:solidFill>
                <a:schemeClr val="tx2">
                  <a:lumMod val="10000"/>
                  <a:lumOff val="9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CDE7-412C-849B-04542804EF5C}"/>
              </c:ext>
            </c:extLst>
          </c:dPt>
          <c:dPt>
            <c:idx val="8"/>
            <c:invertIfNegative val="0"/>
            <c:bubble3D val="0"/>
            <c:spPr>
              <a:solidFill>
                <a:schemeClr val="tx2">
                  <a:lumMod val="10000"/>
                  <a:lumOff val="9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CDE7-412C-849B-04542804EF5C}"/>
              </c:ext>
            </c:extLst>
          </c:dPt>
          <c:dPt>
            <c:idx val="9"/>
            <c:invertIfNegative val="0"/>
            <c:bubble3D val="0"/>
            <c:spPr>
              <a:solidFill>
                <a:schemeClr val="tx2">
                  <a:lumMod val="10000"/>
                  <a:lumOff val="9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CDE7-412C-849B-04542804EF5C}"/>
              </c:ext>
            </c:extLst>
          </c:dPt>
          <c:dPt>
            <c:idx val="10"/>
            <c:invertIfNegative val="0"/>
            <c:bubble3D val="0"/>
            <c:spPr>
              <a:solidFill>
                <a:schemeClr val="tx2">
                  <a:lumMod val="10000"/>
                  <a:lumOff val="9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CDE7-412C-849B-04542804EF5C}"/>
              </c:ext>
            </c:extLst>
          </c:dPt>
          <c:dPt>
            <c:idx val="11"/>
            <c:invertIfNegative val="0"/>
            <c:bubble3D val="0"/>
            <c:spPr>
              <a:solidFill>
                <a:schemeClr val="tx2">
                  <a:lumMod val="10000"/>
                  <a:lumOff val="9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CDE7-412C-849B-04542804EF5C}"/>
              </c:ext>
            </c:extLst>
          </c:dPt>
          <c:dPt>
            <c:idx val="12"/>
            <c:invertIfNegative val="0"/>
            <c:bubble3D val="0"/>
            <c:spPr>
              <a:solidFill>
                <a:schemeClr val="tx2">
                  <a:lumMod val="10000"/>
                  <a:lumOff val="9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B-CDE7-412C-849B-04542804EF5C}"/>
              </c:ext>
            </c:extLst>
          </c:dPt>
          <c:dPt>
            <c:idx val="13"/>
            <c:invertIfNegative val="0"/>
            <c:bubble3D val="0"/>
            <c:spPr>
              <a:solidFill>
                <a:schemeClr val="accent5">
                  <a:lumMod val="20000"/>
                  <a:lumOff val="8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D-CDE7-412C-849B-04542804EF5C}"/>
              </c:ext>
            </c:extLst>
          </c:dPt>
          <c:dPt>
            <c:idx val="14"/>
            <c:invertIfNegative val="0"/>
            <c:bubble3D val="0"/>
            <c:spPr>
              <a:solidFill>
                <a:schemeClr val="accent5">
                  <a:lumMod val="20000"/>
                  <a:lumOff val="8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F-CDE7-412C-849B-04542804EF5C}"/>
              </c:ext>
            </c:extLst>
          </c:dPt>
          <c:dPt>
            <c:idx val="15"/>
            <c:invertIfNegative val="0"/>
            <c:bubble3D val="0"/>
            <c:spPr>
              <a:solidFill>
                <a:schemeClr val="accent5">
                  <a:lumMod val="20000"/>
                  <a:lumOff val="8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1-CDE7-412C-849B-04542804EF5C}"/>
              </c:ext>
            </c:extLst>
          </c:dPt>
          <c:dPt>
            <c:idx val="16"/>
            <c:invertIfNegative val="0"/>
            <c:bubble3D val="0"/>
            <c:spPr>
              <a:solidFill>
                <a:schemeClr val="accent5">
                  <a:lumMod val="20000"/>
                  <a:lumOff val="8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3-CDE7-412C-849B-04542804EF5C}"/>
              </c:ext>
            </c:extLst>
          </c:dPt>
          <c:dPt>
            <c:idx val="17"/>
            <c:invertIfNegative val="0"/>
            <c:bubble3D val="0"/>
            <c:spPr>
              <a:solidFill>
                <a:schemeClr val="accent5">
                  <a:lumMod val="20000"/>
                  <a:lumOff val="8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5-CDE7-412C-849B-04542804EF5C}"/>
              </c:ext>
            </c:extLst>
          </c:dPt>
          <c:dPt>
            <c:idx val="18"/>
            <c:invertIfNegative val="0"/>
            <c:bubble3D val="0"/>
            <c:spPr>
              <a:solidFill>
                <a:schemeClr val="accent5">
                  <a:lumMod val="20000"/>
                  <a:lumOff val="8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7-CDE7-412C-849B-04542804EF5C}"/>
              </c:ext>
            </c:extLst>
          </c:dPt>
          <c:dPt>
            <c:idx val="19"/>
            <c:invertIfNegative val="0"/>
            <c:bubble3D val="0"/>
            <c:spPr>
              <a:solidFill>
                <a:schemeClr val="bg1">
                  <a:lumMod val="8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9-CDE7-412C-849B-04542804EF5C}"/>
              </c:ext>
            </c:extLst>
          </c:dPt>
          <c:dPt>
            <c:idx val="20"/>
            <c:invertIfNegative val="0"/>
            <c:bubble3D val="0"/>
            <c:spPr>
              <a:solidFill>
                <a:schemeClr val="bg1">
                  <a:lumMod val="8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B-CDE7-412C-849B-04542804EF5C}"/>
              </c:ext>
            </c:extLst>
          </c:dPt>
          <c:dPt>
            <c:idx val="21"/>
            <c:invertIfNegative val="0"/>
            <c:bubble3D val="0"/>
            <c:spPr>
              <a:solidFill>
                <a:schemeClr val="bg1">
                  <a:lumMod val="8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D-CDE7-412C-849B-04542804EF5C}"/>
              </c:ext>
            </c:extLst>
          </c:dPt>
          <c:dPt>
            <c:idx val="22"/>
            <c:invertIfNegative val="0"/>
            <c:bubble3D val="0"/>
            <c:spPr>
              <a:solidFill>
                <a:schemeClr val="bg1">
                  <a:lumMod val="8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F-CDE7-412C-849B-04542804EF5C}"/>
              </c:ext>
            </c:extLst>
          </c:dPt>
          <c:dPt>
            <c:idx val="23"/>
            <c:invertIfNegative val="0"/>
            <c:bubble3D val="0"/>
            <c:spPr>
              <a:solidFill>
                <a:schemeClr val="bg1">
                  <a:lumMod val="8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1-CDE7-412C-849B-04542804EF5C}"/>
              </c:ext>
            </c:extLst>
          </c:dPt>
          <c:dPt>
            <c:idx val="24"/>
            <c:invertIfNegative val="0"/>
            <c:bubble3D val="0"/>
            <c:spPr>
              <a:solidFill>
                <a:schemeClr val="bg1">
                  <a:lumMod val="8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3-CDE7-412C-849B-04542804EF5C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it-IT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Foglio1!$A$1:$A$25</c:f>
              <c:strCache>
                <c:ptCount val="25"/>
                <c:pt idx="0">
                  <c:v>Blast phase</c:v>
                </c:pt>
                <c:pt idx="1">
                  <c:v>Severe thrombotic events</c:v>
                </c:pt>
                <c:pt idx="2">
                  <c:v>Severe and symptomatic splenomegaly</c:v>
                </c:pt>
                <c:pt idx="3">
                  <c:v>Transfusion-dependent anemia</c:v>
                </c:pt>
                <c:pt idx="4">
                  <c:v>Clinically relevant bleedings</c:v>
                </c:pt>
                <c:pt idx="5">
                  <c:v>Severe non-transfusion-dependent anemia</c:v>
                </c:pt>
                <c:pt idx="6">
                  <c:v>Severe thrombocytopenia</c:v>
                </c:pt>
                <c:pt idx="7">
                  <c:v>Very severe symptom burden</c:v>
                </c:pt>
                <c:pt idx="8">
                  <c:v>Major thrombotic events </c:v>
                </c:pt>
                <c:pt idx="9">
                  <c:v>Severe stable symptoms</c:v>
                </c:pt>
                <c:pt idx="10">
                  <c:v>Worsening symptoms</c:v>
                </c:pt>
                <c:pt idx="11">
                  <c:v>Worsening non-severe anemia</c:v>
                </c:pt>
                <c:pt idx="12">
                  <c:v>Accelerated phase</c:v>
                </c:pt>
                <c:pt idx="13">
                  <c:v>Moderate worsening splenomegaly</c:v>
                </c:pt>
                <c:pt idx="14">
                  <c:v>Severe asymptomatic splenomegaly</c:v>
                </c:pt>
                <c:pt idx="15">
                  <c:v>Stable non-severe anemia</c:v>
                </c:pt>
                <c:pt idx="16">
                  <c:v>Increasing immature circulating cells</c:v>
                </c:pt>
                <c:pt idx="17">
                  <c:v>Lack of allelic burden decline (founder mutation)</c:v>
                </c:pt>
                <c:pt idx="18">
                  <c:v>Worsening thrombocytosis</c:v>
                </c:pt>
                <c:pt idx="19">
                  <c:v>Moderate stable splenomegaly</c:v>
                </c:pt>
                <c:pt idx="20">
                  <c:v>Worsening leukocytosis</c:v>
                </c:pt>
                <c:pt idx="21">
                  <c:v>Worsening mild splenomegaly</c:v>
                </c:pt>
                <c:pt idx="22">
                  <c:v>Lack of allelic burden decline (non-founder mutation)</c:v>
                </c:pt>
                <c:pt idx="23">
                  <c:v>Worsening bone marrow fibrosis</c:v>
                </c:pt>
                <c:pt idx="24">
                  <c:v>Persistent bone marrow fibrosis</c:v>
                </c:pt>
              </c:strCache>
            </c:strRef>
          </c:cat>
          <c:val>
            <c:numRef>
              <c:f>Foglio1!$B$1:$B$25</c:f>
              <c:numCache>
                <c:formatCode>_(* #,##0.00_);_(* \(#,##0.00\);_(* "-"??_);_(@_)</c:formatCode>
                <c:ptCount val="25"/>
                <c:pt idx="0">
                  <c:v>32.18</c:v>
                </c:pt>
                <c:pt idx="1">
                  <c:v>31.36</c:v>
                </c:pt>
                <c:pt idx="2">
                  <c:v>31.23</c:v>
                </c:pt>
                <c:pt idx="3">
                  <c:v>31.19</c:v>
                </c:pt>
                <c:pt idx="4">
                  <c:v>30.6</c:v>
                </c:pt>
                <c:pt idx="5">
                  <c:v>30.54</c:v>
                </c:pt>
                <c:pt idx="6">
                  <c:v>29.81</c:v>
                </c:pt>
                <c:pt idx="7">
                  <c:v>29.19</c:v>
                </c:pt>
                <c:pt idx="8">
                  <c:v>28.75</c:v>
                </c:pt>
                <c:pt idx="9">
                  <c:v>28.47</c:v>
                </c:pt>
                <c:pt idx="10">
                  <c:v>27.76</c:v>
                </c:pt>
                <c:pt idx="11">
                  <c:v>27.75</c:v>
                </c:pt>
                <c:pt idx="12">
                  <c:v>27.32</c:v>
                </c:pt>
                <c:pt idx="13">
                  <c:v>26.4</c:v>
                </c:pt>
                <c:pt idx="14">
                  <c:v>25.59</c:v>
                </c:pt>
                <c:pt idx="15">
                  <c:v>25.12</c:v>
                </c:pt>
                <c:pt idx="16">
                  <c:v>25.12</c:v>
                </c:pt>
                <c:pt idx="17">
                  <c:v>24.05</c:v>
                </c:pt>
                <c:pt idx="18">
                  <c:v>23.56</c:v>
                </c:pt>
                <c:pt idx="19">
                  <c:v>23.11</c:v>
                </c:pt>
                <c:pt idx="20">
                  <c:v>22.62</c:v>
                </c:pt>
                <c:pt idx="21">
                  <c:v>22.06</c:v>
                </c:pt>
                <c:pt idx="22">
                  <c:v>18.89</c:v>
                </c:pt>
                <c:pt idx="23">
                  <c:v>17.010000000000002</c:v>
                </c:pt>
                <c:pt idx="24">
                  <c:v>15.25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24-CDE7-412C-849B-04542804EF5C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1751884000"/>
        <c:axId val="1751872960"/>
      </c:barChart>
      <c:catAx>
        <c:axId val="1751884000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1751872960"/>
        <c:crosses val="autoZero"/>
        <c:auto val="1"/>
        <c:lblAlgn val="ctr"/>
        <c:lblOffset val="100"/>
        <c:noMultiLvlLbl val="0"/>
      </c:catAx>
      <c:valAx>
        <c:axId val="1751872960"/>
        <c:scaling>
          <c:orientation val="minMax"/>
        </c:scaling>
        <c:delete val="1"/>
        <c:axPos val="t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* #,##0.00_);_(* \(#,##0.00\);_(* &quot;-&quot;??_);_(@_)" sourceLinked="1"/>
        <c:majorTickMark val="none"/>
        <c:minorTickMark val="none"/>
        <c:tickLblPos val="nextTo"/>
        <c:crossAx val="17518840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it-IT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15AFD4-AF6F-456A-8647-C0D7B56DA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3375</Words>
  <Characters>19243</Characters>
  <Application>Microsoft Office Word</Application>
  <DocSecurity>0</DocSecurity>
  <Lines>160</Lines>
  <Paragraphs>45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MONIA MARCHETTI</dc:creator>
  <cp:keywords/>
  <dc:description/>
  <cp:lastModifiedBy>MONIA MARCHETTI</cp:lastModifiedBy>
  <cp:revision>3</cp:revision>
  <dcterms:created xsi:type="dcterms:W3CDTF">2025-05-30T14:18:00Z</dcterms:created>
  <dcterms:modified xsi:type="dcterms:W3CDTF">2025-05-30T14:21:00Z</dcterms:modified>
</cp:coreProperties>
</file>