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C9844" w14:textId="0F22DD1F" w:rsidR="00EA4835" w:rsidRDefault="00EA4835">
      <w:pPr>
        <w:rPr>
          <w:b/>
          <w:lang w:val="en-US"/>
        </w:rPr>
      </w:pPr>
      <w:r>
        <w:rPr>
          <w:b/>
          <w:lang w:val="en-US"/>
        </w:rPr>
        <w:t>Settings and participants</w:t>
      </w:r>
    </w:p>
    <w:p w14:paraId="240C5E61" w14:textId="52C6B918" w:rsidR="00EA4835" w:rsidRPr="0009503D" w:rsidRDefault="00EA4835" w:rsidP="00EA4835">
      <w:pPr>
        <w:ind w:firstLine="708"/>
        <w:jc w:val="both"/>
        <w:rPr>
          <w:b/>
          <w:lang w:val="en-US"/>
        </w:rPr>
      </w:pPr>
      <w:r w:rsidRPr="00536167">
        <w:rPr>
          <w:lang w:val="en-US"/>
        </w:rPr>
        <w:t xml:space="preserve">Five medical departments (three internal medicine and two pulmonology departments) and four intensive care units (ICUs) across three regional university centers participated in the study. The cohort comprised all consecutive adult patients (aged ≥ 18) admitted with a respiratory form of COVID-19, requiring at least nasal oxygen to maintain a pulsed oxygen saturation above 94%. </w:t>
      </w:r>
      <w:r w:rsidRPr="0009503D">
        <w:rPr>
          <w:b/>
          <w:lang w:val="en-US"/>
        </w:rPr>
        <w:t>COVID-19 was confirmed by a positive SARS-CoV-2 real-time reverse transcriptase-polymerase chain reaction (RT-PCR) assay from nasal or oropharyngeal swabs, or lower respiratory tract samples (in invasively ventilated patients).</w:t>
      </w:r>
      <w:r w:rsidRPr="00536167">
        <w:rPr>
          <w:lang w:val="en-US"/>
        </w:rPr>
        <w:t xml:space="preserve"> Patients without laboratory-confirmed COVID-19 were excluded from the study. </w:t>
      </w:r>
      <w:r w:rsidRPr="0009503D">
        <w:rPr>
          <w:b/>
          <w:lang w:val="en-US"/>
        </w:rPr>
        <w:t>Variant determination through systematic sequencing was not available during the study period.</w:t>
      </w:r>
    </w:p>
    <w:p w14:paraId="098D6411" w14:textId="77777777" w:rsidR="00EA4835" w:rsidRPr="00536167" w:rsidRDefault="00EA4835" w:rsidP="00EA4835">
      <w:pPr>
        <w:ind w:firstLine="708"/>
        <w:jc w:val="both"/>
        <w:rPr>
          <w:lang w:val="en-US"/>
        </w:rPr>
      </w:pPr>
      <w:r w:rsidRPr="00536167">
        <w:rPr>
          <w:lang w:val="en-US"/>
        </w:rPr>
        <w:t xml:space="preserve">Patients were categorized into two groups: the "ward group," which included patients who spent their entire hospital stay in a ward, and the "ICU group," which included patients who required ICU admission at any point during their hospital stay. </w:t>
      </w:r>
      <w:bookmarkStart w:id="0" w:name="_GoBack"/>
      <w:r w:rsidRPr="0009503D">
        <w:rPr>
          <w:b/>
          <w:lang w:val="en-US"/>
        </w:rPr>
        <w:t>The percentage of lung lesions identified by CT scan was not recorded due to the heterogeneity in CT scan availability and the variable time delay between hospital admission and imaging during the pandemic</w:t>
      </w:r>
      <w:bookmarkEnd w:id="0"/>
      <w:r w:rsidRPr="00536167">
        <w:rPr>
          <w:lang w:val="en-US"/>
        </w:rPr>
        <w:t>.</w:t>
      </w:r>
    </w:p>
    <w:p w14:paraId="7C4D3A8C" w14:textId="1041DE2A" w:rsidR="00EA4835" w:rsidRDefault="00EA4835" w:rsidP="001843E6">
      <w:pPr>
        <w:ind w:firstLine="708"/>
        <w:jc w:val="both"/>
        <w:rPr>
          <w:b/>
          <w:lang w:val="en-US"/>
        </w:rPr>
      </w:pPr>
      <w:r w:rsidRPr="00536167">
        <w:rPr>
          <w:lang w:val="en-US"/>
        </w:rPr>
        <w:t>Patients were admitted to the ICU if they required noninvasive or invasive mechanical ventilation or if they experienced any other acute organ failure. Hypoxemic patients who only required supplemental oxygen were admitted to medical wards. Patients who required high-flow nasal oxygen were admitted either to a medical ward or to the ICU, depending on bed availability and the clinical assessment of severity.</w:t>
      </w:r>
    </w:p>
    <w:p w14:paraId="13B39EE1" w14:textId="42BA3342" w:rsidR="001C55E7" w:rsidRPr="00057100" w:rsidRDefault="001C55E7">
      <w:pPr>
        <w:rPr>
          <w:b/>
          <w:lang w:val="en-US"/>
        </w:rPr>
      </w:pPr>
      <w:r w:rsidRPr="00057100">
        <w:rPr>
          <w:b/>
          <w:lang w:val="en-US"/>
        </w:rPr>
        <w:t>Definition of nosocomial infections</w:t>
      </w:r>
    </w:p>
    <w:p w14:paraId="6CE2D542" w14:textId="305170BD" w:rsidR="001C55E7" w:rsidRDefault="00D06956" w:rsidP="00AD17C6">
      <w:pPr>
        <w:jc w:val="both"/>
        <w:rPr>
          <w:lang w:val="en-US"/>
        </w:rPr>
      </w:pPr>
      <w:r>
        <w:rPr>
          <w:lang w:val="en-US"/>
        </w:rPr>
        <w:t xml:space="preserve">Nosocomial pneumonia was defined as the association of a new alteration in </w:t>
      </w:r>
      <w:proofErr w:type="spellStart"/>
      <w:r>
        <w:rPr>
          <w:lang w:val="en-US"/>
        </w:rPr>
        <w:t>hematosis</w:t>
      </w:r>
      <w:proofErr w:type="spellEnd"/>
      <w:r>
        <w:rPr>
          <w:lang w:val="en-US"/>
        </w:rPr>
        <w:t xml:space="preserve">, qualitative and </w:t>
      </w:r>
      <w:proofErr w:type="spellStart"/>
      <w:r>
        <w:rPr>
          <w:lang w:val="en-US"/>
        </w:rPr>
        <w:t>quantitive</w:t>
      </w:r>
      <w:proofErr w:type="spellEnd"/>
      <w:r>
        <w:rPr>
          <w:lang w:val="en-US"/>
        </w:rPr>
        <w:t xml:space="preserve"> modification of </w:t>
      </w:r>
      <w:proofErr w:type="spellStart"/>
      <w:r>
        <w:rPr>
          <w:lang w:val="en-US"/>
        </w:rPr>
        <w:t>bronchorrhea</w:t>
      </w:r>
      <w:proofErr w:type="spellEnd"/>
      <w:r>
        <w:rPr>
          <w:lang w:val="en-US"/>
        </w:rPr>
        <w:t xml:space="preserve">, worsening of systemic inflammatory response and new opacity on </w:t>
      </w:r>
      <w:proofErr w:type="gramStart"/>
      <w:r>
        <w:rPr>
          <w:lang w:val="en-US"/>
        </w:rPr>
        <w:t>chest</w:t>
      </w:r>
      <w:proofErr w:type="gramEnd"/>
      <w:r>
        <w:rPr>
          <w:lang w:val="en-US"/>
        </w:rPr>
        <w:t>-X-ray or CT-scan</w:t>
      </w:r>
    </w:p>
    <w:p w14:paraId="3F5EDEE6" w14:textId="77777777" w:rsidR="00EA4835" w:rsidRDefault="00EA4835" w:rsidP="00AD17C6">
      <w:pPr>
        <w:jc w:val="both"/>
        <w:rPr>
          <w:lang w:val="en-US"/>
        </w:rPr>
      </w:pPr>
    </w:p>
    <w:p w14:paraId="2128ABBF" w14:textId="77777777" w:rsidR="00EA4835" w:rsidRPr="00CA7D2D" w:rsidRDefault="00EA4835" w:rsidP="00EA4835">
      <w:pPr>
        <w:rPr>
          <w:b/>
          <w:lang w:val="en-US"/>
        </w:rPr>
      </w:pPr>
      <w:r w:rsidRPr="00E82951">
        <w:rPr>
          <w:b/>
          <w:lang w:val="en-US"/>
        </w:rPr>
        <w:t xml:space="preserve">Data collection and proceeding </w:t>
      </w:r>
    </w:p>
    <w:p w14:paraId="605695B0" w14:textId="77777777" w:rsidR="00EA4835" w:rsidRDefault="00EA4835" w:rsidP="00EA4835">
      <w:pPr>
        <w:ind w:firstLine="708"/>
        <w:jc w:val="both"/>
        <w:rPr>
          <w:lang w:val="en-US"/>
        </w:rPr>
      </w:pPr>
      <w:r w:rsidRPr="00981C9C">
        <w:rPr>
          <w:lang w:val="en-US"/>
        </w:rPr>
        <w:t xml:space="preserve">Data were collected using a standardized electronic form from the day of admission until hospital discharge. Major adverse event included nosocomial infections, </w:t>
      </w:r>
      <w:proofErr w:type="spellStart"/>
      <w:r w:rsidRPr="00981C9C">
        <w:rPr>
          <w:lang w:val="en-US"/>
        </w:rPr>
        <w:t>myelotoxicity</w:t>
      </w:r>
      <w:proofErr w:type="spellEnd"/>
      <w:r w:rsidRPr="00981C9C">
        <w:rPr>
          <w:lang w:val="en-US"/>
        </w:rPr>
        <w:t xml:space="preserve"> and digestive tract hemorrhage. Hospital acquired and ventilator-associated pneumonia were defined according to the European </w:t>
      </w:r>
      <w:r w:rsidRPr="00981C9C">
        <w:rPr>
          <w:lang w:val="en-US"/>
        </w:rPr>
        <w:fldChar w:fldCharType="begin"/>
      </w:r>
      <w:r>
        <w:rPr>
          <w:lang w:val="en-US"/>
        </w:rPr>
        <w:instrText xml:space="preserve"> ADDIN ZOTERO_ITEM CSL_CITATION {"citationID":"yw2UxkQZ","properties":{"formattedCitation":"(20,21)","plainCitation":"(20,21)","noteIndex":0},"citationItems":[{"id":270,"uris":["http://zotero.org/users/938050/items/KIAD44MZ"],"itemData":{"id":270,"type":"article-journal","abstract":"The most recent European guidelines and task force reports on hospital-acquired pneumonia (HAP) and ventilator-associated pneumonia (VAP) were published almost 10 years ago. Since then, further randomised clinical trials of HAP and VAP have been conducted and new information has become available. Studies of epidemiology, diagnosis, empiric treatment, response to treatment, new antibiotics or new forms of antibiotic administration and disease prevention have changed old paradigms. In addition, important differences between approaches in Europe and the USA have become apparent.The European Respiratory Society launched a project to develop new international guidelines for HAP and VAP. Other European societies, including the European Society of Intensive Care Medicine and the European Society of Clinical Microbiology and Infectious Diseases, were invited to participate and appointed their representatives. The Latin American Thoracic Association was also invited.A total of 15 experts and two methodologists made up the panel. Three experts from the USA were also invited (Michael S. Niederman, Marin Kollef and Richard Wunderink).Applying the GRADE (Grading of Recommendations, Assessment, Development and Evaluation) methodology, the panel selected seven PICO (population-intervention-comparison-outcome) questions that generated a series of recommendations for HAP/VAP diagnosis, treatment and prevention.","container-title":"The European Respiratory Journal","DOI":"10.1183/13993003.00582-2017","ISSN":"1399-3003","issue":"3","journalAbbreviation":"Eur. Respir. J.","language":"eng","note":"PMID: 28890434","source":"PubMed","title":"International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(ALAT)","title-short":"International ERS/ESICM/ESCMID/ALAT guidelines for the management of hospital-acquired pneumonia and ventilator-associated pneumonia","volume":"50","author":[{"family":"Torres","given":"Antoni"},{"family":"Niederman","given":"Michael S."},{"family":"Chastre","given":"Jean"},{"family":"Ewig","given":"Santiago"},{"family":"Fernandez-Vandellos","given":"Patricia"},{"family":"Hanberger","given":"Hakan"},{"family":"Kollef","given":"Marin"},{"family":"Li Bassi","given":"Gianluigi"},{"family":"Luna","given":"Carlos M."},{"family":"Martin-Loeches","given":"Ignacio"},{"family":"Paiva","given":"J. Artur"},{"family":"Read","given":"Robert C."},{"family":"Rigau","given":"David"},{"family":"Timsit","given":"Jean François"},{"family":"Welte","given":"Tobias"},{"family":"Wunderink","given":"Richard"}],"issued":{"date-parts":[["2017",9]]}}},{"id":7887,"uris":["http://zotero.org/users/938050/items/TRG34EKT"],"itemData":{"id":7887,"type":"article-journal","abstract":"The French Society of Anaesthesia and Intensive Care Medicine and the French Society of Intensive Care edited guidelines focused on hospital-acquired pneumonia (HAP) in intensive care unit. The goal of 16 French-speaking experts was to produce a framework enabling an easier decision-making process for intensivists.","container-title":"Annals of Intensive Care","DOI":"10.1186/s13613-018-0444-0","ISSN":"2110-5820","issue":"1","journalAbbreviation":"Annals of Intensive Care","page":"104","source":"BioMed Central","title":"Brief summary of French guidelines for the prevention, diagnosis and treatment of hospital-acquired pneumonia in ICU","volume":"8","author":[{"family":"Leone","given":"Marc"},{"family":"Bouadma","given":"Lila"},{"family":"Bouhemad","given":"Bélaïd"},{"family":"Brissaud","given":"Olivier"},{"family":"Dauger","given":"Stéphane"},{"family":"Gibot","given":"Sébastien"},{"family":"Hraiech","given":"Sami"},{"family":"Jung","given":"Boris"},{"family":"Kipnis","given":"Eric"},{"family":"Launey","given":"Yoann"},{"family":"Luyt","given":"Charles-Edouard"},{"family":"Margetis","given":"Dimitri"},{"family":"Michel","given":"Fabrice"},{"family":"Mokart","given":"Djamel"},{"family":"Montravers","given":"Philippe"},{"family":"Monsel","given":"Antoine"},{"family":"Nseir","given":"Saad"},{"family":"Pugin","given":"Jérôme"},{"family":"Roquilly","given":"Antoine"},{"family":"Velly","given":"Lionel"},{"family":"Zahar","given":"Jean-Ralph"},{"family":"Bruyère","given":"Rémi"},{"family":"Chanques","given":"Gérald"},{"family":"Michel","given":"Fabrice"},{"family":"Dauger","given":"Stephane"},{"family":"Brissaud","given":"Olivier"},{"literal":"ADARPEF"},{"literal":"GFRUP"}],"issued":{"date-parts":[["2018",11,3]]}}}],"schema":"https://github.com/citation-style-language/schema/raw/master/csl-citation.json"} </w:instrText>
      </w:r>
      <w:r w:rsidRPr="00981C9C">
        <w:rPr>
          <w:lang w:val="en-US"/>
        </w:rPr>
        <w:fldChar w:fldCharType="separate"/>
      </w:r>
      <w:r w:rsidRPr="00A9575B">
        <w:rPr>
          <w:rFonts w:ascii="Calibri" w:hAnsi="Calibri" w:cs="Calibri"/>
          <w:lang w:val="en-US"/>
        </w:rPr>
        <w:t>(20,21)</w:t>
      </w:r>
      <w:r w:rsidRPr="00981C9C">
        <w:rPr>
          <w:lang w:val="en-US"/>
        </w:rPr>
        <w:fldChar w:fldCharType="end"/>
      </w:r>
      <w:r w:rsidRPr="00981C9C">
        <w:rPr>
          <w:lang w:val="en-US"/>
        </w:rPr>
        <w:t xml:space="preserve"> and American guidelines </w:t>
      </w:r>
      <w:r w:rsidRPr="00981C9C">
        <w:rPr>
          <w:lang w:val="en-US"/>
        </w:rPr>
        <w:fldChar w:fldCharType="begin"/>
      </w:r>
      <w:r>
        <w:rPr>
          <w:lang w:val="en-US"/>
        </w:rPr>
        <w:instrText xml:space="preserve"> ADDIN ZOTERO_ITEM CSL_CITATION {"citationID":"ywkN5XhP","properties":{"formattedCitation":"(22)","plainCitation":"(22)","noteIndex":0},"citationItems":[{"id":536,"uris":["http://zotero.org/users/938050/items/DCI66UHH"],"itemData":{"id":536,"type":"article-journal","abstract":"It is important to realize that guidelines cannot always account for individual variation among patients. They are not intended to supplant physician judgment with respect to particular patients or special clinical situations. IDSA considers adherence to these guidelines to be voluntary, with the ultimate determination regarding their application to be made by the physician in the light of each patient's individual circumstances.These guidelines are intended for use by healthcare professionals who care for patients at risk for hospital-acquired pneumonia (HAP) and ventilator-associated pneumonia (VAP), including specialists in infectious diseases, pulmonary diseases, critical care, and surgeons, anesthesiologists, hospitalists, and any clinicians and healthcare providers caring for hospitalized patients with nosocomial pneumonia. The panel's recommendations for the diagnosis and treatment of HAP and VAP are based upon evidence derived from topic-specific systematic literature reviews.","container-title":"Clinical Infectious Diseases: An Official Publication of the Infectious Diseases Society of America","DOI":"10.1093/cid/ciw353","ISSN":"1537-6591","issue":"5","journalAbbreviation":"Clin. Infect. Dis.","language":"eng","note":"PMID: 27418577\nPMCID: PMC4981759","page":"e61-e111","source":"PubMed","title":"Management of Adults With Hospital-acquired and Ventilator-associated Pneumonia: 2016 Clinical Practice Guidelines by the Infectious Diseases Society of America and the American Thoracic Society","title-short":"Management of Adults With Hospital-acquired and Ventilator-associated Pneumonia","volume":"63","author":[{"family":"Kalil","given":"Andre C."},{"family":"Metersky","given":"Mark L."},{"family":"Klompas","given":"Michael"},{"family":"Muscedere","given":"John"},{"family":"Sweeney","given":"Daniel A."},{"family":"Palmer","given":"Lucy B."},{"family":"Napolitano","given":"Lena M."},{"family":"O'Grady","given":"Naomi P."},{"family":"Bartlett","given":"John G."},{"family":"Carratalà","given":"Jordi"},{"family":"El Solh","given":"Ali A."},{"family":"Ewig","given":"Santiago"},{"family":"Fey","given":"Paul D."},{"family":"File","given":"Thomas M."},{"family":"Restrepo","given":"Marcos I."},{"family":"Roberts","given":"Jason A."},{"family":"Waterer","given":"Grant W."},{"family":"Cruse","given":"Peggy"},{"family":"Knight","given":"Shandra L."},{"family":"Brozek","given":"Jan L."}],"issued":{"date-parts":[["2016",9,1]]}}}],"schema":"https://github.com/citation-style-language/schema/raw/master/csl-citation.json"} </w:instrText>
      </w:r>
      <w:r w:rsidRPr="00981C9C">
        <w:rPr>
          <w:lang w:val="en-US"/>
        </w:rPr>
        <w:fldChar w:fldCharType="separate"/>
      </w:r>
      <w:r w:rsidRPr="00A9575B">
        <w:rPr>
          <w:rFonts w:ascii="Calibri" w:hAnsi="Calibri" w:cs="Calibri"/>
          <w:lang w:val="en-US"/>
        </w:rPr>
        <w:t>(22)</w:t>
      </w:r>
      <w:r w:rsidRPr="00981C9C">
        <w:rPr>
          <w:lang w:val="en-US"/>
        </w:rPr>
        <w:fldChar w:fldCharType="end"/>
      </w:r>
      <w:r w:rsidRPr="00981C9C">
        <w:rPr>
          <w:lang w:val="en-US"/>
        </w:rPr>
        <w:t xml:space="preserve">. Other ICU-acquired infections were diagnosed by the attending physician following established guidelines </w:t>
      </w:r>
      <w:r w:rsidRPr="00981C9C">
        <w:rPr>
          <w:lang w:val="en-US"/>
        </w:rPr>
        <w:fldChar w:fldCharType="begin"/>
      </w:r>
      <w:r>
        <w:rPr>
          <w:lang w:val="en-US"/>
        </w:rPr>
        <w:instrText xml:space="preserve"> ADDIN ZOTERO_ITEM CSL_CITATION {"citationID":"fiSTSyZi","properties":{"formattedCitation":"(23)","plainCitation":"(23)","noteIndex":0},"citationItems":[{"id":537,"uris":["http://zotero.org/users/938050/items/7GUET2W8"],"itemData":{"id":537,"type":"article-journal","abstract":"OBJECTIVE: To develop definitions of infection that can be used in clinical trials in patients with sepsis.\nCONTEXT: Infection is a key component of the definition of sepsis, yet there is currently no agreement on the definitions that should be used to identify specific infections in patients with sepsis. Agreeing on a set of valid definitions that can be easily implemented as part of a clinical trial protocol would facilitate patient selection, help classify patients into prospectively defined infection categories, and therefore greatly reduce variability between treatment groups.\nDESIGN AND METHODS: Experts in infectious diseases, clinical microbiology, and critical care medicine were recruited and allocated specific infection sites. They carried out a systematic literature review and used this, and their own experience, to prepare a draft definition. At a subsequent consensus conference, rapporteurs presented the draft definitions, and these were then refined and improved during discussion. Modifications were circulated electronically and subsequently agreed upon as part of an iterative process until consensus was reached.\nRESULT: Consensus definitions of infection were developed for the six most frequent causes of infections in septic patients: pneumonia, bloodstream infections (including infective endocarditis), intravascular catheter-related sepsis, intra-abdominal infections, urosepsis, and surgical wound infections.\nCONCLUSIONS: We have described standardized definitions of the common sites of infection associated with sepsis in critically ill patients. Use of these definitions in clinical trials should help improve the quality of clinical research in this field.","container-title":"Critical Care Medicine","ISSN":"0090-3493","issue":"7","journalAbbreviation":"Crit. Care Med.","language":"eng","note":"PMID: 16003060","page":"1538-1548","source":"PubMed","title":"The international sepsis forum consensus conference on definitions of infection in the intensive care unit","volume":"33","author":[{"family":"Calandra","given":"Thierry"},{"family":"Cohen","given":"Jonathan"},{"literal":"International Sepsis Forum Definition of Infection in the ICU Consensus Conference"}],"issued":{"date-parts":[["2005",7]]}}}],"schema":"https://github.com/citation-style-language/schema/raw/master/csl-citation.json"} </w:instrText>
      </w:r>
      <w:r w:rsidRPr="00981C9C">
        <w:rPr>
          <w:lang w:val="en-US"/>
        </w:rPr>
        <w:fldChar w:fldCharType="separate"/>
      </w:r>
      <w:r w:rsidRPr="00D83D1B">
        <w:rPr>
          <w:rFonts w:ascii="Calibri" w:hAnsi="Calibri" w:cs="Calibri"/>
          <w:lang w:val="en-US"/>
        </w:rPr>
        <w:t>(23)</w:t>
      </w:r>
      <w:r w:rsidRPr="00981C9C">
        <w:rPr>
          <w:lang w:val="en-US"/>
        </w:rPr>
        <w:fldChar w:fldCharType="end"/>
      </w:r>
      <w:r w:rsidRPr="00981C9C">
        <w:rPr>
          <w:lang w:val="en-US"/>
        </w:rPr>
        <w:t xml:space="preserve">. Urinary </w:t>
      </w:r>
      <w:r w:rsidRPr="00CA7D2D">
        <w:rPr>
          <w:lang w:val="en-US"/>
        </w:rPr>
        <w:t xml:space="preserve">tract infection was defined by worsening of systemic inflammatory response, urinary symptoms (burning feeling when urinating, strong urge, pelvic pain…) and bacteriuria. Primary bacterial bloodstream infection and central line associated bloodstream infection were defined as in the EUROBACT study </w:t>
      </w:r>
      <w:r w:rsidRPr="00CA7D2D">
        <w:rPr>
          <w:lang w:val="en-US"/>
        </w:rPr>
        <w:fldChar w:fldCharType="begin"/>
      </w:r>
      <w:r>
        <w:rPr>
          <w:lang w:val="en-US"/>
        </w:rPr>
        <w:instrText xml:space="preserve"> ADDIN ZOTERO_ITEM CSL_CITATION {"citationID":"gUm7bmUe","properties":{"formattedCitation":"(24)","plainCitation":"(24)","noteIndex":0},"citationItems":[{"id":7880,"uris":["http://zotero.org/users/938050/items/IESY6J37"],"itemData":{"id":7880,"type":"article-journal","abstract":"The recent increase in drug-resistant micro-organisms complicates the management of hospital-acquired bloodstream infections (HA-BSIs). We investigated the epidemiology of HA-BSI and evaluated the impact of drug resistance on outcomes of critically ill patients, controlling for patient characteristics and infection management.","container-title":"Intensive Care Medicine","DOI":"10.1007/s00134-012-2695-9","ISSN":"1432-1238","issue":"12","journalAbbreviation":"Intensive Care Med","language":"en","page":"1930-1945","source":"Springer Link","title":"Characteristics and determinants of outcome of hospital-acquired bloodstream infections in intensive care units: the EUROBACT International Cohort Study","title-short":"Characteristics and determinants of outcome of hospital-acquired bloodstream infections in intensive care units","volume":"38","author":[{"family":"Tabah","given":"Alexis"},{"family":"Koulenti","given":"Despoina"},{"family":"Laupland","given":"Kevin"},{"family":"Misset","given":"Benoit"},{"family":"Valles","given":"Jordi"},{"family":"Bruzzi de Carvalho","given":"Frederico"},{"family":"Paiva","given":"José Artur"},{"family":"Çakar","given":"Nahit"},{"family":"Ma","given":"Xiaochun"},{"family":"Eggimann","given":"Philippe"},{"family":"Antonelli","given":"Massimo"},{"family":"Bonten","given":"Marc J. M."},{"family":"Csomos","given":"Akos"},{"family":"Krueger","given":"Wolfgang A."},{"family":"Mikstacki","given":"Adam"},{"family":"Lipman","given":"Jeffrey"},{"family":"Depuydt","given":"Pieter"},{"family":"Vesin","given":"Aurélien"},{"family":"Garrouste-Orgeas","given":"Maité"},{"family":"Zahar","given":"Jean-Ralph"},{"family":"Blot","given":"Stijn"},{"family":"Carlet","given":"Jean"},{"family":"Brun-Buisson","given":"Christian"},{"family":"Martin","given":"Claude"},{"family":"Rello","given":"Jordi"},{"family":"Dimopoulos","given":"Georges"},{"family":"Timsit","given":"Jean-François"}],"issued":{"date-parts":[["2012",12,1]]}}}],"schema":"https://github.com/citation-style-language/schema/raw/master/csl-citation.json"} </w:instrText>
      </w:r>
      <w:r w:rsidRPr="00CA7D2D">
        <w:rPr>
          <w:lang w:val="en-US"/>
        </w:rPr>
        <w:fldChar w:fldCharType="separate"/>
      </w:r>
      <w:r w:rsidRPr="00D83D1B">
        <w:rPr>
          <w:rFonts w:ascii="Calibri" w:hAnsi="Calibri" w:cs="Calibri"/>
          <w:lang w:val="en-US"/>
        </w:rPr>
        <w:t>(24)</w:t>
      </w:r>
      <w:r w:rsidRPr="00CA7D2D">
        <w:rPr>
          <w:lang w:val="en-US"/>
        </w:rPr>
        <w:fldChar w:fldCharType="end"/>
      </w:r>
      <w:r w:rsidRPr="00CA7D2D">
        <w:rPr>
          <w:lang w:val="en-US"/>
        </w:rPr>
        <w:t xml:space="preserve">. </w:t>
      </w:r>
      <w:proofErr w:type="spellStart"/>
      <w:r w:rsidRPr="00CA7D2D">
        <w:rPr>
          <w:lang w:val="en-US"/>
        </w:rPr>
        <w:t>Bacteremic</w:t>
      </w:r>
      <w:proofErr w:type="spellEnd"/>
      <w:r w:rsidRPr="00CA7D2D">
        <w:rPr>
          <w:lang w:val="en-US"/>
        </w:rPr>
        <w:t xml:space="preserve"> infection were defined as visceral infection associated with bacteremia involving the same pathogen. Hospital-acquired infections were defined as any infectious episode that occurred at least 48h after hospital admission (or after the usual incubation length of the considered pathogen).</w:t>
      </w:r>
    </w:p>
    <w:p w14:paraId="74B96171" w14:textId="77777777" w:rsidR="00EA4835" w:rsidRPr="00981C9C" w:rsidRDefault="00EA4835" w:rsidP="00EA4835">
      <w:pPr>
        <w:ind w:firstLine="708"/>
        <w:jc w:val="both"/>
        <w:rPr>
          <w:lang w:val="en-US"/>
        </w:rPr>
      </w:pPr>
      <w:r w:rsidRPr="00CA7D2D">
        <w:rPr>
          <w:lang w:val="en-US"/>
        </w:rPr>
        <w:t xml:space="preserve">Upper digestive tract hemorrhage was suspected with acute anemia, worsening of previous anemia, hematemesis, melena or hematochezia and confirmed by endoscopic demonstration of an esophageal, gastric or duodenal lesion </w:t>
      </w:r>
      <w:r w:rsidRPr="00CA7D2D">
        <w:rPr>
          <w:lang w:val="en-US"/>
        </w:rPr>
        <w:fldChar w:fldCharType="begin"/>
      </w:r>
      <w:r>
        <w:rPr>
          <w:lang w:val="en-US"/>
        </w:rPr>
        <w:instrText xml:space="preserve"> ADDIN ZOTERO_ITEM CSL_CITATION {"citationID":"W5REA16m","properties":{"formattedCitation":"(25\\uc0\\u8211{}27)","plainCitation":"(25–27)","noteIndex":0},"citationItems":[{"id":7715,"uris":["http://zotero.org/users/938050/items/ZHC75QW8"],"itemData":{"id":7715,"type":"article-journal","abstract":"We performed systematic reviews addressing predefined clinical questions to develop recommendations with the GRADE approach regarding management of patients with overt upper gastrointestinal bleeding. We suggest risk assessment in the emergency department to identify very-low-risk patients (e.g., Glasgow-Blatchford score = 0-1) who may be discharged with outpatient follow-up. For patients hospitalized with upper gastrointestinal bleeding, we suggest red blood cell transfusion at a threshold of 7 g/dL. Erythromycin infusion is suggested before endoscopy, and endoscopy is suggested within 24 hours after presentation. Endoscopic therapy is recommended for ulcers with active spurting or oozing and for nonbleeding visible vessels. Endoscopic therapy with bipolar electrocoagulation, heater probe, and absolute ethanol injection is recommended, and low- to very-low-quality evidence also supports clips, argon plasma coagulation, and soft monopolar electrocoagulation; hemostatic powder spray TC-325 is suggested for actively bleeding ulcers and over-the-scope clips for recurrent ulcer bleeding after previous successful hemostasis. After endoscopic hemostasis, high-dose proton pump inhibitor therapy is recommended continuously or intermittently for 3 days, followed by twice-daily oral proton pump inhibitor for the first 2 weeks of therapy after endoscopy. Repeat endoscopy is suggested for recurrent bleeding, and if endoscopic therapy fails, transcatheter embolization is suggested.","container-title":"The American Journal of Gastroenterology","DOI":"10.14309/ajg.0000000000001245","ISSN":"1572-0241","issue":"5","journalAbbreviation":"Am J Gastroenterol","language":"eng","note":"PMID: 33929377","page":"899-917","source":"PubMed","title":"ACG Clinical Guideline: Upper Gastrointestinal and Ulcer Bleeding","title-short":"ACG Clinical Guideline","volume":"116","author":[{"family":"Laine","given":"Loren"},{"family":"Barkun","given":"Alan N."},{"family":"Saltzman","given":"John R."},{"family":"Martel","given":"Myriam"},{"family":"Leontiadis","given":"Grigorios I."}],"issued":{"date-parts":[["2021",5,1]]}}},{"id":7891,"uris":["http://zotero.org/users/938050/items/5RADCW5E"],"itemData":{"id":7891,"type":"article-journal","abstract":"1: ESGE recommends that patients with compensated advanced chronic liver disease (ACLD; due to viruses, alcohol, and/or nonobese [BMI &lt; 30 kg/m2] nonalcoholic steatohepatitis) and clinically significant portal hypertension (hepatic venous pressure gradient [HVPG] &gt; 10 mmHg and/or liver stiffness by transient elastography &gt; 25 kPa) should receive, if no contraindications, nonselective beta blocker (NSBB) therapy (preferably carvedilol) to prevent the development of variceal bleeding.Strong recommendation, moderate quality evidence. 2: ESGE recommends that in those patients unable to receive NSBB therapy with a screening upper gastrointestinal (GI) endoscopy that demonstrates high risk esophageal varices, endoscopic band ligation (EBL) is the endoscopic prophylactic treatment of choice. EBL should be repeated every 2-4 weeks until variceal eradication is achieved. Thereafter, surveillance EGD should be performed every 3-6 months in the first year following eradication.Strong recommendation, moderate quality evidence. 3: ESGE recommends, in hemodynamically stable patients with acute upper GI hemorrhage (UGIH) and no history of cardiovascular disease, a restrictive red blood cell (RBC) transfusion strategy, with a hemoglobin threshold of ≤ 70 g/L prompting RBC transfusion. A post-transfusion target hemoglobin of 70-90 g/L is desired.Strong recommendation, moderate quality evidence. 4 : ESGE recommends that patients with ACLD presenting with suspected acute variceal bleeding be risk stratified according to the Child-Pugh score and MELD score, and by documentation of active/inactive bleeding at the time of upper GI endoscopy.Strong recommendation, high quality of evidence. 5 : ESGE recommends the vasoactive agents terlipressin, octreotide, or somatostatin be initiated at the time of presentation in patients with suspected acute variceal bleeding and be continued for a duration of up to 5 days.Strong recommendation, high quality evidence. 6 : ESGE recommends antibiotic prophylaxis using ceftriaxone 1 g/day for up to 7 days for all patients with ACLD presenting with acute variceal hemorrhage, or in accordance with local antibiotic resistance and patient allergies.Strong recommendation, high quality evidence. 7 : ESGE recommends, in the absence of contraindications, intravenous erythromycin 250 mg be given 30-120 minutes prior to upper GI endoscopy in patients with suspected acute variceal hemorrhage.Strong recommendation, high quality evidence. 8 : ESGE recommends that, in patients with suspected variceal hemorrhage, endoscopic evaluation should take place within 12 hours from the time of patient presentation provided the patient has been hemodynamically resuscitated.Strong recommendation, moderate quality evidence. 9 : ESGE recommends EBL for the treatment of acute esophageal variceal hemorrhage (EVH).Strong recommendation, high quality evidence. 10 : ESGE recommends that, in patients at high risk for recurrent esophageal variceal bleeding following successful endoscopic hemostasis (Child-Pugh C  ≤ 13 or Child-Pugh B &gt; 7 with active EVH at the time of endoscopy despite vasoactive agents, or HVPG &gt; 20 mmHg), pre-emptive transjugular intrahepatic portosystemic shunt (TIPS) within 72 hours (preferably within 24 hours) must be considered.Strong recommendation, high quality evidence. 11 : ESGE recommends that, for persistent esophageal variceal bleeding despite vasoactive pharmacological and endoscopic hemostasis therapy, urgent rescue TIPS should be considered (where available).Strong recommendation, moderate quality evidence. 12 : ESGE recommends endoscopic cyanoacrylate injection for acute gastric (cardiofundal) variceal (GOV2, IGV1) hemorrhage.Strong recommendation, high quality evidence. 13: ESGE recommends endoscopic cyanoacrylate injection or EBL in patients with GOV1-specific bleeding.Strong recommendations, moderate quality evidence. 14: ESGE suggests urgent rescue TIPS or balloon-occluded retrograde transvenous obliteration (BRTO) for gastric variceal bleeding when there is a failure of endoscopic hemostasis or early recurrent bleeding.Weak recommendation, low quality evidence. 15: ESGE recommends that patients who have undergone EBL for acute EVH should be scheduled for follow-up EBLs at 1- to 4-weekly intervals to eradicate esophageal varices (secondary prophylaxis).Strong recommendation, moderate quality evidence. 16: ESGE recommends the use of NSBBs (propranolol or carvedilol) in combination with endoscopic therapy for secondary prophylaxis in EVH in patients with ACLD.Strong recommendation, high quality evidence.","container-title":"Endoscopy","DOI":"10.1055/a-1939-4887","ISSN":"1438-8812","issue":"11","journalAbbreviation":"Endoscopy","language":"eng","note":"PMID: 36174643","page":"1094-1120","source":"PubMed","title":"Endoscopic diagnosis and management of esophagogastric variceal hemorrhage: European Society of Gastrointestinal Endoscopy (ESGE) Guideline","title-short":"Endoscopic diagnosis and management of esophagogastric variceal hemorrhage","volume":"54","author":[{"family":"Gralnek","given":"Ian M."},{"family":"Camus Duboc","given":"Marine"},{"family":"Garcia-Pagan","given":"Juan Carlos"},{"family":"Fuccio","given":"Lorenzo"},{"family":"Karstensen","given":"John Gásdal"},{"family":"Hucl","given":"Tomas"},{"family":"Jovanovic","given":"Ivan"},{"family":"Awadie","given":"Halim"},{"family":"Hernandez-Gea","given":"Virginia"},{"family":"Tantau","given":"Marcel"},{"family":"Ebigbo","given":"Alanna"},{"family":"Ibrahim","given":"Mostafa"},{"family":"Vlachogiannakos","given":"Jiannis"},{"family":"Burgmans","given":"Marc C."},{"family":"Rosasco","given":"Robyn"},{"family":"Triantafyllou","given":"Konstantinos"}],"issued":{"date-parts":[["2022",11]]}}},{"id":7894,"uris":["http://zotero.org/users/938050/items/TVR2YYMG"],"itemData":{"id":7894,"type":"article-journal","container-title":"JAMA","DOI":"10.1001/jama.2018.5684","ISSN":"0098-7484","issue":"1","journalAbbreviation":"JAMA","page":"86-87","source":"Silverchair","title":"Management of Patients With Acute Lower Gastrointestinal Tract Bleeding","volume":"320","author":[{"family":"Sengupta","given":"Neil"},{"family":"Cifu","given":"Adam S."}],"issued":{"date-parts":[["2018",7,3]]}}}],"schema":"https://github.com/citation-style-language/schema/raw/master/csl-citation.json"} </w:instrText>
      </w:r>
      <w:r w:rsidRPr="00CA7D2D">
        <w:rPr>
          <w:lang w:val="en-US"/>
        </w:rPr>
        <w:fldChar w:fldCharType="separate"/>
      </w:r>
      <w:r w:rsidRPr="00A9575B">
        <w:rPr>
          <w:rFonts w:ascii="Calibri" w:hAnsi="Calibri" w:cs="Calibri"/>
          <w:lang w:val="en-US"/>
        </w:rPr>
        <w:t>(25–27)</w:t>
      </w:r>
      <w:r w:rsidRPr="00CA7D2D">
        <w:rPr>
          <w:lang w:val="en-US"/>
        </w:rPr>
        <w:fldChar w:fldCharType="end"/>
      </w:r>
      <w:r w:rsidRPr="00CA7D2D">
        <w:rPr>
          <w:lang w:val="en-US"/>
        </w:rPr>
        <w:t>.</w:t>
      </w:r>
      <w:r w:rsidRPr="00CA7D2D">
        <w:rPr>
          <w:color w:val="C00000"/>
          <w:lang w:val="en-US"/>
        </w:rPr>
        <w:t xml:space="preserve"> </w:t>
      </w:r>
      <w:r w:rsidRPr="00CA7D2D">
        <w:rPr>
          <w:lang w:val="en-US"/>
        </w:rPr>
        <w:t xml:space="preserve">Lower intestinal hemorrhage was defined by the presence of melena or hematochezia and confirmed by colonoscopy </w:t>
      </w:r>
      <w:r w:rsidRPr="00CA7D2D">
        <w:rPr>
          <w:lang w:val="en-US"/>
        </w:rPr>
        <w:fldChar w:fldCharType="begin"/>
      </w:r>
      <w:r>
        <w:rPr>
          <w:lang w:val="en-US"/>
        </w:rPr>
        <w:instrText xml:space="preserve"> ADDIN ZOTERO_ITEM CSL_CITATION {"citationID":"hEXPVXqo","properties":{"formattedCitation":"(27)","plainCitation":"(27)","noteIndex":0},"citationItems":[{"id":7894,"uris":["http://zotero.org/users/938050/items/TVR2YYMG"],"itemData":{"id":7894,"type":"article-journal","container-title":"JAMA","DOI":"10.1001/jama.2018.5684","ISSN":"0098-7484","issue":"1","journalAbbreviation":"JAMA","page":"86-87","source":"Silverchair","title":"Management of Patients With Acute Lower Gastrointestinal Tract Bleeding","volume":"320","author":[{"family":"Sengupta","given":"Neil"},{"family":"Cifu","given":"Adam S."}],"issued":{"date-parts":[["2018",7,3]]}}}],"schema":"https://github.com/citation-style-language/schema/raw/master/csl-citation.json"} </w:instrText>
      </w:r>
      <w:r w:rsidRPr="00CA7D2D">
        <w:rPr>
          <w:lang w:val="en-US"/>
        </w:rPr>
        <w:fldChar w:fldCharType="separate"/>
      </w:r>
      <w:r w:rsidRPr="00A9575B">
        <w:rPr>
          <w:rFonts w:ascii="Calibri" w:hAnsi="Calibri" w:cs="Calibri"/>
          <w:lang w:val="en-US"/>
        </w:rPr>
        <w:t>(27)</w:t>
      </w:r>
      <w:r w:rsidRPr="00CA7D2D">
        <w:rPr>
          <w:lang w:val="en-US"/>
        </w:rPr>
        <w:fldChar w:fldCharType="end"/>
      </w:r>
      <w:r w:rsidRPr="00CA7D2D">
        <w:rPr>
          <w:lang w:val="en-US"/>
        </w:rPr>
        <w:t xml:space="preserve">. </w:t>
      </w:r>
      <w:proofErr w:type="spellStart"/>
      <w:r w:rsidRPr="00CA7D2D">
        <w:rPr>
          <w:lang w:val="en-US"/>
        </w:rPr>
        <w:t>Thrombopenia</w:t>
      </w:r>
      <w:proofErr w:type="spellEnd"/>
      <w:r w:rsidRPr="00CA7D2D">
        <w:rPr>
          <w:lang w:val="en-US"/>
        </w:rPr>
        <w:t xml:space="preserve"> was defined as a platelet count below 150 G/l; neutropenia was defined as a neutrophils count below 1 500 /mm</w:t>
      </w:r>
      <w:r w:rsidRPr="00CA7D2D">
        <w:rPr>
          <w:rFonts w:ascii="+Corp73" w:hAnsi="+Corp73"/>
          <w:vertAlign w:val="superscript"/>
          <w:lang w:val="en-US"/>
        </w:rPr>
        <w:t>3</w:t>
      </w:r>
      <w:r w:rsidRPr="00CA7D2D">
        <w:rPr>
          <w:lang w:val="en-US"/>
        </w:rPr>
        <w:t>, with severe neutropenia below 500 /mm</w:t>
      </w:r>
      <w:r w:rsidRPr="00CA7D2D">
        <w:rPr>
          <w:rFonts w:ascii="+Corp73" w:hAnsi="+Corp73"/>
          <w:vertAlign w:val="superscript"/>
          <w:lang w:val="en-US"/>
        </w:rPr>
        <w:t>3</w:t>
      </w:r>
      <w:r w:rsidRPr="00CA7D2D">
        <w:rPr>
          <w:lang w:val="en-US"/>
        </w:rPr>
        <w:t xml:space="preserve">. The etiology of neutropenia and </w:t>
      </w:r>
      <w:proofErr w:type="spellStart"/>
      <w:r w:rsidRPr="00CA7D2D">
        <w:rPr>
          <w:lang w:val="en-US"/>
        </w:rPr>
        <w:t>thrombopenia</w:t>
      </w:r>
      <w:proofErr w:type="spellEnd"/>
      <w:r w:rsidRPr="00CA7D2D">
        <w:rPr>
          <w:lang w:val="en-US"/>
        </w:rPr>
        <w:t xml:space="preserve"> diagnosed by the attending physician were retained as final cause. Each infectious episode was evaluated by an </w:t>
      </w:r>
      <w:r w:rsidRPr="00CA7D2D">
        <w:rPr>
          <w:lang w:val="en-US"/>
        </w:rPr>
        <w:lastRenderedPageBreak/>
        <w:t xml:space="preserve">adjudication committee (CL, TFB, AP), blinded to the use of IL-6R inhibitor. Disagreements were resolved through discussion with an additional evaluator (FP). </w:t>
      </w:r>
      <w:r>
        <w:rPr>
          <w:lang w:val="en-US"/>
        </w:rPr>
        <w:t>In</w:t>
      </w:r>
      <w:r w:rsidRPr="00CA7D2D">
        <w:rPr>
          <w:lang w:val="en-US"/>
        </w:rPr>
        <w:t>fections could be considered present even with negative microbiological samples (e.g., abscesses or pneumonia). Adequate antibiotic therapy was defined as the administration of at least one effective antimicrobial agent against identified or suspected pathogens.</w:t>
      </w:r>
    </w:p>
    <w:p w14:paraId="06DC2A75" w14:textId="77777777" w:rsidR="00EA4835" w:rsidRDefault="00EA4835" w:rsidP="00EA4835">
      <w:pPr>
        <w:ind w:firstLine="708"/>
        <w:jc w:val="both"/>
        <w:rPr>
          <w:lang w:val="en-US"/>
        </w:rPr>
      </w:pPr>
      <w:r w:rsidRPr="00CA7D2D">
        <w:rPr>
          <w:lang w:val="en-US"/>
        </w:rPr>
        <w:t>The primary outcome was the proportion of hospital-acquired infectious episodes during the hospital stay. Secondary outcomes included the occurrence of leukopenia, thrombocytopenia, digestive hemorrhage or perforation, as well as the length of stay in the intensive care unit (ICU) and hospital, and the duration of mechanical ventilation. The exposure vari</w:t>
      </w:r>
      <w:r>
        <w:rPr>
          <w:lang w:val="en-US"/>
        </w:rPr>
        <w:t xml:space="preserve">able was the administration of </w:t>
      </w:r>
      <w:proofErr w:type="spellStart"/>
      <w:r>
        <w:rPr>
          <w:lang w:val="en-US"/>
        </w:rPr>
        <w:t>t</w:t>
      </w:r>
      <w:r w:rsidRPr="00CA7D2D">
        <w:rPr>
          <w:lang w:val="en-US"/>
        </w:rPr>
        <w:t>ocilizumab</w:t>
      </w:r>
      <w:proofErr w:type="spellEnd"/>
      <w:r w:rsidRPr="00CA7D2D">
        <w:rPr>
          <w:lang w:val="en-US"/>
        </w:rPr>
        <w:t xml:space="preserve"> or </w:t>
      </w:r>
      <w:proofErr w:type="spellStart"/>
      <w:r>
        <w:rPr>
          <w:lang w:val="en-US"/>
        </w:rPr>
        <w:t>s</w:t>
      </w:r>
      <w:r w:rsidRPr="00CA7D2D">
        <w:rPr>
          <w:lang w:val="en-US"/>
        </w:rPr>
        <w:t>arilumab</w:t>
      </w:r>
      <w:proofErr w:type="spellEnd"/>
      <w:r w:rsidRPr="00CA7D2D">
        <w:rPr>
          <w:lang w:val="en-US"/>
        </w:rPr>
        <w:t xml:space="preserve"> during the hospital stay.</w:t>
      </w:r>
    </w:p>
    <w:p w14:paraId="47558E77" w14:textId="77777777" w:rsidR="00EA4835" w:rsidRDefault="00EA4835" w:rsidP="00EA4835">
      <w:pPr>
        <w:jc w:val="both"/>
        <w:rPr>
          <w:color w:val="C00000"/>
          <w:lang w:val="en-US"/>
        </w:rPr>
      </w:pPr>
    </w:p>
    <w:p w14:paraId="38473B68" w14:textId="1D31D434" w:rsidR="00EA4835" w:rsidRPr="005328D1" w:rsidRDefault="00EA4835" w:rsidP="00EA4835">
      <w:pPr>
        <w:ind w:firstLine="708"/>
        <w:jc w:val="both"/>
        <w:rPr>
          <w:lang w:val="en-US"/>
        </w:rPr>
      </w:pPr>
      <w:r w:rsidRPr="00991F41">
        <w:rPr>
          <w:lang w:val="en-US"/>
        </w:rPr>
        <w:t xml:space="preserve">Collected data: Demographic parameters (age, sex, body mass index (BMI), smoking habits and alcohol consumption), clinical outcomes (length of ICU and hospital stay, hospital mortality, comorbidities (hypertension, diabetes mellitus, chronic heart failure, chronic respiratory failure, ischemic heart disease, alcohol and tobacco consumption, chronic kidney disease, dialysis, cancer or malignant </w:t>
      </w:r>
      <w:proofErr w:type="spellStart"/>
      <w:r w:rsidRPr="00991F41">
        <w:rPr>
          <w:lang w:val="en-US"/>
        </w:rPr>
        <w:t>hemopathy</w:t>
      </w:r>
      <w:proofErr w:type="spellEnd"/>
      <w:r w:rsidRPr="00991F41">
        <w:rPr>
          <w:lang w:val="en-US"/>
        </w:rPr>
        <w:t xml:space="preserve">, stroke, gastric or duodenal ulcer) and </w:t>
      </w:r>
      <w:proofErr w:type="spellStart"/>
      <w:r w:rsidRPr="00991F41">
        <w:rPr>
          <w:lang w:val="en-US"/>
        </w:rPr>
        <w:t>Charlson</w:t>
      </w:r>
      <w:proofErr w:type="spellEnd"/>
      <w:r w:rsidRPr="00991F41">
        <w:rPr>
          <w:lang w:val="en-US"/>
        </w:rPr>
        <w:t xml:space="preserve"> </w:t>
      </w:r>
      <w:proofErr w:type="spellStart"/>
      <w:r w:rsidRPr="00991F41">
        <w:rPr>
          <w:lang w:val="en-US"/>
        </w:rPr>
        <w:t>comordibity</w:t>
      </w:r>
      <w:proofErr w:type="spellEnd"/>
      <w:r w:rsidRPr="00991F41">
        <w:rPr>
          <w:lang w:val="en-US"/>
        </w:rPr>
        <w:t xml:space="preserve"> score </w:t>
      </w:r>
      <w:r w:rsidRPr="00991F41">
        <w:rPr>
          <w:lang w:val="en-US"/>
        </w:rPr>
        <w:fldChar w:fldCharType="begin"/>
      </w:r>
      <w:r>
        <w:rPr>
          <w:lang w:val="en-US"/>
        </w:rPr>
        <w:instrText xml:space="preserve"> ADDIN ZOTERO_ITEM CSL_CITATION {"citationID":"syAIThKf","properties":{"formattedCitation":"(28)","plainCitation":"(28)","noteIndex":0},"citationItems":[{"id":7896,"uris":["http://zotero.org/users/938050/items/QJDMITPJ"],"itemData":{"id":7896,"type":"article-journal","abstract":"The basic objective of this paper is to evaluate an age-comorbidity index in a cohort of patients who were originally enrolled in a prospective study to identify risk factors for peri-operative complications. Two-hundred and twenty-six patients were enrolled in the study. The participants were patients with hypertension or diabetes who underwent elective surgery between 1982 and 1985 and who survived to discharge. Two-hundred and eighteen patients survived until discharge. These patients were followed for at least five years post-operatively. The estimated relative risk of death for each comorbidity rank was 1.4 and for each decade of age was 1.4. When age and comorbidity were modelled as a combined age-comorbidity score, the estimated relative risk for each combined age-comorbidity unit was 1.45. Thus, the estimated relative risk of death from an increase of one in the comorbidity score proved approximately equal to that from an additional decade of age. The combined age-comorbidity score may be useful in some longitudinal studies to estimate relative risk of death from prognostic clinical covariates.","container-title":"Journal of Clinical Epidemiology","DOI":"10.1016/0895-4356(94)90129-5","ISSN":"0895-4356","issue":"11","journalAbbreviation":"J Clin Epidemiol","language":"eng","note":"PMID: 7722560","page":"1245-1251","source":"PubMed","title":"Validation of a combined comorbidity index","volume":"47","author":[{"family":"Charlson","given":"M."},{"family":"Szatrowski","given":"T. P."},{"family":"Peterson","given":"J."},{"family":"Gold","given":"J."}],"issued":{"date-parts":[["1994",11]]}}}],"schema":"https://github.com/citation-style-language/schema/raw/master/csl-citation.json"} </w:instrText>
      </w:r>
      <w:r w:rsidRPr="00991F41">
        <w:rPr>
          <w:lang w:val="en-US"/>
        </w:rPr>
        <w:fldChar w:fldCharType="separate"/>
      </w:r>
      <w:r w:rsidRPr="00A9575B">
        <w:rPr>
          <w:rFonts w:ascii="Calibri" w:hAnsi="Calibri" w:cs="Calibri"/>
          <w:lang w:val="en-US"/>
        </w:rPr>
        <w:t>(28)</w:t>
      </w:r>
      <w:r w:rsidRPr="00991F41">
        <w:rPr>
          <w:lang w:val="en-US"/>
        </w:rPr>
        <w:fldChar w:fldCharType="end"/>
      </w:r>
      <w:r w:rsidRPr="00991F41">
        <w:rPr>
          <w:lang w:val="en-US"/>
        </w:rPr>
        <w:t xml:space="preserve">); usual treatments (immunosuppressive therapy, anticoagulant therapy, </w:t>
      </w:r>
      <w:proofErr w:type="spellStart"/>
      <w:r w:rsidRPr="00991F41">
        <w:rPr>
          <w:lang w:val="en-US"/>
        </w:rPr>
        <w:t>antiaggregant</w:t>
      </w:r>
      <w:proofErr w:type="spellEnd"/>
      <w:r w:rsidRPr="00991F41">
        <w:rPr>
          <w:lang w:val="en-US"/>
        </w:rPr>
        <w:t xml:space="preserve"> treatment); laboratory data (nadir leucocytes and platelet count during the hospital stay; microbial culture results (</w:t>
      </w:r>
      <w:r w:rsidRPr="00991F41">
        <w:rPr>
          <w:i/>
          <w:lang w:val="en-US"/>
        </w:rPr>
        <w:t>i.e</w:t>
      </w:r>
      <w:r w:rsidRPr="00991F41">
        <w:rPr>
          <w:lang w:val="en-US"/>
        </w:rPr>
        <w:t xml:space="preserve">. bacterial or fungal cultures, specific PCR and film arrays, </w:t>
      </w:r>
      <w:r w:rsidRPr="00991F41">
        <w:rPr>
          <w:i/>
          <w:lang w:val="en-US"/>
        </w:rPr>
        <w:t xml:space="preserve">Legionella </w:t>
      </w:r>
      <w:proofErr w:type="spellStart"/>
      <w:r w:rsidRPr="00991F41">
        <w:rPr>
          <w:i/>
          <w:lang w:val="en-US"/>
        </w:rPr>
        <w:t>pneumophila</w:t>
      </w:r>
      <w:proofErr w:type="spellEnd"/>
      <w:r w:rsidRPr="00991F41">
        <w:rPr>
          <w:lang w:val="en-US"/>
        </w:rPr>
        <w:t xml:space="preserve"> and </w:t>
      </w:r>
      <w:r w:rsidRPr="00991F41">
        <w:rPr>
          <w:i/>
          <w:lang w:val="en-US"/>
        </w:rPr>
        <w:t>Streptococcus pneumonia</w:t>
      </w:r>
      <w:r w:rsidRPr="00991F41">
        <w:rPr>
          <w:lang w:val="en-US"/>
        </w:rPr>
        <w:t xml:space="preserve"> </w:t>
      </w:r>
      <w:proofErr w:type="spellStart"/>
      <w:r w:rsidRPr="00991F41">
        <w:rPr>
          <w:lang w:val="en-US"/>
        </w:rPr>
        <w:t>antigenuria</w:t>
      </w:r>
      <w:proofErr w:type="spellEnd"/>
      <w:r w:rsidRPr="00991F41">
        <w:rPr>
          <w:lang w:val="en-US"/>
        </w:rPr>
        <w:t xml:space="preserve"> - results of specific samplings); infectious episodes (number and type of infections during the stay, including hospital-acquired pneumonia, ventilator-associated pneumonia, urinary tract infection, primary and secondary bacteremia, visceral abscess, catheter-related infection, and skin infection</w:t>
      </w:r>
      <w:r>
        <w:rPr>
          <w:lang w:val="en-US"/>
        </w:rPr>
        <w:t>); g</w:t>
      </w:r>
      <w:r w:rsidRPr="00991F41">
        <w:rPr>
          <w:lang w:val="en-US"/>
        </w:rPr>
        <w:t>astrointestinal Complications: Digestive hemorrhage, digestive perforation, preventiv</w:t>
      </w:r>
      <w:r>
        <w:rPr>
          <w:lang w:val="en-US"/>
        </w:rPr>
        <w:t>e use of proton pump inhibitors; h</w:t>
      </w:r>
      <w:r w:rsidRPr="00991F41">
        <w:rPr>
          <w:lang w:val="en-US"/>
        </w:rPr>
        <w:t xml:space="preserve">ematological Abnormalities: </w:t>
      </w:r>
      <w:r w:rsidRPr="00AB4E59">
        <w:rPr>
          <w:lang w:val="en-US"/>
        </w:rPr>
        <w:t xml:space="preserve">Thrombocytopenia, neutropenia, severe neutropenia. For ICU patients, were added simplified acute physiology II (SAPS II) score </w:t>
      </w:r>
      <w:r w:rsidRPr="00AB4E59">
        <w:rPr>
          <w:lang w:val="en-US"/>
        </w:rPr>
        <w:fldChar w:fldCharType="begin"/>
      </w:r>
      <w:r>
        <w:rPr>
          <w:lang w:val="en-US"/>
        </w:rPr>
        <w:instrText xml:space="preserve"> ADDIN ZOTERO_ITEM CSL_CITATION {"citationID":"UYboJCml","properties":{"formattedCitation":"(29)","plainCitation":"(29)","noteIndex":0},"citationItems":[{"id":1349,"uris":["http://zotero.org/users/938050/items/7ZBDCTGD"],"itemData":{"id":1349,"type":"article-journal","abstract":"&lt;h3&gt;Objective.&lt;/h3&gt;&lt;p&gt;—To develop and validate a new Simplified Acute Physiology Score, the SAPS II, from a large sample of surgical and medical patients, and to provide a method to convert the score to a probability of hospital mortality.&lt;/p&gt;&lt;h3&gt;Design and Setting.&lt;/h3&gt;&lt;p&gt;—The SAPS II and the probability of hospital mortality were developed and validated using data from consecutive admissions to 137 adult medical and/or surgical intensive care units in 12 countries.&lt;/p&gt;&lt;h3&gt;Patients.&lt;/h3&gt;&lt;p&gt;—The 13 152 patients were randomly divided into developmental (65%) and validation (35%) samples. Patients younger than 18 years, burn patients, coronary care patients, and cardiac surgery patients were excluded.&lt;/p&gt;&lt;h3&gt;Outcome Measure.&lt;/h3&gt;&lt;p&gt;—Vital status at hospital discharge.&lt;/p&gt;&lt;h3&gt;Results.&lt;/h3&gt;&lt;p&gt;—The SAPS II includes only 17 variables: 12 physiology variables, age, type of admission (scheduled surgical, unscheduled surgical, or medical), and three underlying disease variables (acquired immunodeficiency syndrome, metastatic cancer, and hematologic malignancy). Goodness-of-fit tests indicated that the model performed well in the developmental sample and validated well in an independent sample of patients (&lt;i&gt;P&lt;/i&gt;=.883 and&lt;i&gt;P&lt;/i&gt;=.104 in the developmental and validation samples, respectively). The area under the receiver operating characteristic curve was 0.88 in the developmental sample and 0.86 in the validation sample.&lt;/p&gt;&lt;h3&gt;Conclusion.&lt;/h3&gt;&lt;p&gt;—The SAPS II, based on a large international sample of patients, provides an estimate of the risk of death without having to specify a primary diagnosis. This is a starting point for future evaluation of the efficiency of intensive care units.&lt;/p&gt;&lt;p&gt;(&lt;i&gt;JAMA&lt;/i&gt;. 1993;270:2957-2963)&lt;/p&gt;","container-title":"JAMA","DOI":"10.1001/jama.1993.03510240069035","ISSN":"0098-7484","issue":"24","journalAbbreviation":"JAMA","language":"en","page":"2957-2963","source":"jamanetwork.com","title":"A New Simplified Acute Physiology Score (SAPS II) Based on a European/North American Multicenter Study","volume":"270","author":[{"family":"Gall","given":"Jean-Roger Le"},{"family":"Lemeshow","given":"Stanley"},{"family":"Saulnier","given":"Fabienne"}],"issued":{"date-parts":[["1993",12,22]]}}}],"schema":"https://github.com/citation-style-language/schema/raw/master/csl-citation.json"} </w:instrText>
      </w:r>
      <w:r w:rsidRPr="00AB4E59">
        <w:rPr>
          <w:lang w:val="en-US"/>
        </w:rPr>
        <w:fldChar w:fldCharType="separate"/>
      </w:r>
      <w:r w:rsidRPr="00A9575B">
        <w:rPr>
          <w:rFonts w:ascii="Calibri" w:hAnsi="Calibri" w:cs="Calibri"/>
          <w:lang w:val="en-US"/>
        </w:rPr>
        <w:t>(29)</w:t>
      </w:r>
      <w:r w:rsidRPr="00AB4E59">
        <w:rPr>
          <w:lang w:val="en-US"/>
        </w:rPr>
        <w:fldChar w:fldCharType="end"/>
      </w:r>
      <w:r w:rsidRPr="00AB4E59">
        <w:rPr>
          <w:lang w:val="en-US"/>
        </w:rPr>
        <w:t xml:space="preserve">, use of </w:t>
      </w:r>
      <w:r>
        <w:rPr>
          <w:lang w:val="en-US"/>
        </w:rPr>
        <w:t>high flow nasal oxygen</w:t>
      </w:r>
      <w:r w:rsidRPr="00AB4E59">
        <w:rPr>
          <w:lang w:val="en-US"/>
        </w:rPr>
        <w:t xml:space="preserve">, non-invasive ventilation, invasive mechanical ventilation, length of ventilation, prone position requirement, use of neuromuscular blockers; catecholamine; dialysis; extracorporeal membrane oxygenation, occurrence of cardiac arrest. Regarding specific COVID-19 therapeutic interventions, data on the use of corticosteroids, chloroquine or </w:t>
      </w:r>
      <w:proofErr w:type="spellStart"/>
      <w:r w:rsidRPr="00AB4E59">
        <w:rPr>
          <w:lang w:val="en-US"/>
        </w:rPr>
        <w:t>hydroxychloroquine</w:t>
      </w:r>
      <w:proofErr w:type="spellEnd"/>
      <w:r w:rsidRPr="00AB4E59">
        <w:rPr>
          <w:lang w:val="en-US"/>
        </w:rPr>
        <w:t xml:space="preserve">, </w:t>
      </w:r>
      <w:proofErr w:type="spellStart"/>
      <w:r w:rsidRPr="00AB4E59">
        <w:rPr>
          <w:lang w:val="en-US"/>
        </w:rPr>
        <w:t>anakinra</w:t>
      </w:r>
      <w:proofErr w:type="spellEnd"/>
      <w:r w:rsidRPr="00AB4E59">
        <w:rPr>
          <w:lang w:val="en-US"/>
        </w:rPr>
        <w:t xml:space="preserve">, </w:t>
      </w:r>
      <w:proofErr w:type="spellStart"/>
      <w:r w:rsidRPr="00AB4E59">
        <w:rPr>
          <w:lang w:val="en-US"/>
        </w:rPr>
        <w:t>lopinavir</w:t>
      </w:r>
      <w:proofErr w:type="spellEnd"/>
      <w:r w:rsidRPr="00AB4E59">
        <w:rPr>
          <w:lang w:val="en-US"/>
        </w:rPr>
        <w:t xml:space="preserve">/ritonavir, curative anticoagulants, </w:t>
      </w:r>
      <w:proofErr w:type="spellStart"/>
      <w:r w:rsidRPr="00AB4E59">
        <w:rPr>
          <w:lang w:val="en-US"/>
        </w:rPr>
        <w:t>tocilizumab</w:t>
      </w:r>
      <w:proofErr w:type="spellEnd"/>
      <w:r w:rsidRPr="00AB4E59">
        <w:rPr>
          <w:lang w:val="en-US"/>
        </w:rPr>
        <w:t xml:space="preserve">, or </w:t>
      </w:r>
      <w:proofErr w:type="spellStart"/>
      <w:r w:rsidRPr="00AB4E59">
        <w:rPr>
          <w:lang w:val="en-US"/>
        </w:rPr>
        <w:t>sarilumab</w:t>
      </w:r>
      <w:proofErr w:type="spellEnd"/>
      <w:r w:rsidRPr="00AB4E59">
        <w:rPr>
          <w:lang w:val="en-US"/>
        </w:rPr>
        <w:t xml:space="preserve"> were </w:t>
      </w:r>
      <w:r w:rsidRPr="005328D1">
        <w:rPr>
          <w:lang w:val="en-US"/>
        </w:rPr>
        <w:t xml:space="preserve">collected. All the data were extracted from electronic medical records. </w:t>
      </w:r>
    </w:p>
    <w:p w14:paraId="147148BE" w14:textId="77777777" w:rsidR="001843E6" w:rsidRDefault="001843E6" w:rsidP="001843E6">
      <w:pPr>
        <w:rPr>
          <w:b/>
          <w:lang w:val="en-US"/>
        </w:rPr>
      </w:pPr>
      <w:r w:rsidRPr="00E82951">
        <w:rPr>
          <w:b/>
          <w:lang w:val="en-US"/>
        </w:rPr>
        <w:t>Statistical analysis</w:t>
      </w:r>
    </w:p>
    <w:p w14:paraId="59006BA7" w14:textId="77777777" w:rsidR="001843E6" w:rsidRPr="00E256F0" w:rsidRDefault="001843E6" w:rsidP="001843E6">
      <w:pPr>
        <w:ind w:firstLine="708"/>
        <w:jc w:val="both"/>
        <w:rPr>
          <w:lang w:val="en-US"/>
        </w:rPr>
      </w:pPr>
      <w:r w:rsidRPr="00E256F0">
        <w:rPr>
          <w:lang w:val="en-US"/>
        </w:rPr>
        <w:t>Patient characteristics were described for the entire population and stratified by the use of I</w:t>
      </w:r>
      <w:r>
        <w:rPr>
          <w:lang w:val="en-US"/>
        </w:rPr>
        <w:t>L-6 inhibitors (</w:t>
      </w:r>
      <w:proofErr w:type="spellStart"/>
      <w:r>
        <w:rPr>
          <w:lang w:val="en-US"/>
        </w:rPr>
        <w:t>tocilizumab</w:t>
      </w:r>
      <w:proofErr w:type="spellEnd"/>
      <w:r>
        <w:rPr>
          <w:lang w:val="en-US"/>
        </w:rPr>
        <w:t xml:space="preserve"> or </w:t>
      </w:r>
      <w:proofErr w:type="spellStart"/>
      <w:r>
        <w:rPr>
          <w:lang w:val="en-US"/>
        </w:rPr>
        <w:t>s</w:t>
      </w:r>
      <w:r w:rsidRPr="00E256F0">
        <w:rPr>
          <w:lang w:val="en-US"/>
        </w:rPr>
        <w:t>arilumab</w:t>
      </w:r>
      <w:proofErr w:type="spellEnd"/>
      <w:r w:rsidRPr="00E256F0">
        <w:rPr>
          <w:lang w:val="en-US"/>
        </w:rPr>
        <w:t xml:space="preserve">). Categorical variables are presented as counts (percentages), and continuous variables as mean (± standard deviation) or median with interquartile range [Q1; Q3], depending on their distribution. Categorical variables were compared between groups using the Pearson Chi-squared test or Fisher’s exact test, while continuous variables were compared using the Student’s t-test or the Wilcoxon rank-sum test. As there were no formal recommendations for the use of </w:t>
      </w:r>
      <w:proofErr w:type="spellStart"/>
      <w:r>
        <w:rPr>
          <w:lang w:val="en-US"/>
        </w:rPr>
        <w:t>tocilizumab</w:t>
      </w:r>
      <w:proofErr w:type="spellEnd"/>
      <w:r w:rsidRPr="00E256F0">
        <w:rPr>
          <w:lang w:val="en-US"/>
        </w:rPr>
        <w:t xml:space="preserve"> or </w:t>
      </w:r>
      <w:proofErr w:type="spellStart"/>
      <w:r>
        <w:rPr>
          <w:lang w:val="en-US"/>
        </w:rPr>
        <w:t>s</w:t>
      </w:r>
      <w:r w:rsidRPr="00E256F0">
        <w:rPr>
          <w:lang w:val="en-US"/>
        </w:rPr>
        <w:t>arilumab</w:t>
      </w:r>
      <w:proofErr w:type="spellEnd"/>
      <w:r w:rsidRPr="00E256F0">
        <w:rPr>
          <w:lang w:val="en-US"/>
        </w:rPr>
        <w:t>, their prescription was based on patient-specific characteristics and the judgment of the attending physician. To address potential bias introduced by these prescription methods, a logistic regression model was employed to examine the relationship between the use of these medications and hospital-acquired infectious episodes.</w:t>
      </w:r>
      <w:r>
        <w:rPr>
          <w:lang w:val="en-US"/>
        </w:rPr>
        <w:t xml:space="preserve"> </w:t>
      </w:r>
      <w:r w:rsidRPr="00536167">
        <w:rPr>
          <w:lang w:val="en-US"/>
        </w:rPr>
        <w:t>Details are provided in the supplementary material.</w:t>
      </w:r>
    </w:p>
    <w:p w14:paraId="002EBC37" w14:textId="77777777" w:rsidR="001843E6" w:rsidRPr="00131378" w:rsidRDefault="001843E6" w:rsidP="001843E6">
      <w:pPr>
        <w:jc w:val="both"/>
        <w:rPr>
          <w:lang w:val="en-US"/>
        </w:rPr>
      </w:pPr>
      <w:r w:rsidRPr="00131378">
        <w:rPr>
          <w:lang w:val="en-US"/>
        </w:rPr>
        <w:t xml:space="preserve">The adjustment factors included in the model were sex, age, body mass index (BMI), tobacco consumption, hypertension, ischemic heart disease, heart failure, diabetes mellitus, drug-induced </w:t>
      </w:r>
      <w:r w:rsidRPr="00131378">
        <w:rPr>
          <w:lang w:val="en-US"/>
        </w:rPr>
        <w:lastRenderedPageBreak/>
        <w:t xml:space="preserve">immunosuppression, infection-induced immunosuppression, gastroduodenal ulcer, chronic obstructive pulmonary disease (COPD) or asthma, long-term oxygen therapy, dialysis, cancer, stroke, treatment with proton pump inhibitors, anticoagulation therapy, antiplatelet therapy, initial admission to the intensive care unit (ICU), and center of admission. Variables with a p-value ≤ 0.20 in univariate analysis were retained in the multivariate model. </w:t>
      </w:r>
      <w:proofErr w:type="spellStart"/>
      <w:r w:rsidRPr="00131378">
        <w:rPr>
          <w:lang w:val="en-US"/>
        </w:rPr>
        <w:t>Multicollinearity</w:t>
      </w:r>
      <w:proofErr w:type="spellEnd"/>
      <w:r w:rsidRPr="00131378">
        <w:rPr>
          <w:lang w:val="en-US"/>
        </w:rPr>
        <w:t xml:space="preserve"> was assessed using a correlation matrix, tolerance, and variance inflation factors. Due to the violation of linearity when using age as a continuous variable, it was categorized using quartile values. direct multivariate binary logistic regression model was constructed, incorporating the aforementioned adjustment factors. Results are presented as odds ratios (ORs) with two-sided 95% confidence intervals (CIs). To address the risk of bias due to missing data, analyses were first conducted among complete cases for the variables included in the model. Subsequently, multiple imputations were performed using the Fully Conditional Specification method. Discriminative and logistic functions were used for categorical and binary variables, respectively, and 15 datasets were created. All statistical analyses were performed using R Statistical Software version 4.2.2 (R Core Team, R Foundation for Statistical Computing, Vienna, Austria).</w:t>
      </w:r>
    </w:p>
    <w:p w14:paraId="551C35AB" w14:textId="49F4BA50" w:rsidR="006E7535" w:rsidRDefault="006E7535">
      <w:pPr>
        <w:rPr>
          <w:lang w:val="en-US"/>
        </w:rPr>
      </w:pPr>
    </w:p>
    <w:p w14:paraId="4C9C6CB9" w14:textId="77777777" w:rsidR="001843E6" w:rsidRDefault="001843E6">
      <w:pPr>
        <w:rPr>
          <w:lang w:val="en-US"/>
        </w:rPr>
      </w:pPr>
    </w:p>
    <w:p w14:paraId="3643C227" w14:textId="77777777" w:rsidR="00297964" w:rsidRPr="00AD17C6" w:rsidRDefault="00AD17C6" w:rsidP="00AD17C6">
      <w:pPr>
        <w:rPr>
          <w:b/>
          <w:bCs/>
          <w:lang w:val="en-US"/>
        </w:rPr>
      </w:pPr>
      <w:r w:rsidRPr="00AD17C6">
        <w:rPr>
          <w:b/>
          <w:bCs/>
          <w:lang w:val="en-US"/>
        </w:rPr>
        <w:t>Supplementary tables</w:t>
      </w:r>
    </w:p>
    <w:p w14:paraId="607C349F" w14:textId="4EB43E02" w:rsidR="00297964" w:rsidRPr="00C205D8" w:rsidRDefault="00297964" w:rsidP="00297964">
      <w:pPr>
        <w:rPr>
          <w:lang w:val="en-US"/>
        </w:rPr>
      </w:pPr>
      <w:r w:rsidRPr="00C205D8">
        <w:rPr>
          <w:u w:val="single"/>
          <w:lang w:val="en-US"/>
        </w:rPr>
        <w:t>Supplementary table 1</w:t>
      </w:r>
      <w:r w:rsidRPr="00C205D8">
        <w:rPr>
          <w:lang w:val="en-US"/>
        </w:rPr>
        <w:t>: Participant</w:t>
      </w:r>
      <w:r w:rsidR="0049627F" w:rsidRPr="00C205D8">
        <w:rPr>
          <w:lang w:val="en-US"/>
        </w:rPr>
        <w:t xml:space="preserve">s: </w:t>
      </w:r>
      <w:r w:rsidR="00C205D8" w:rsidRPr="00C205D8">
        <w:rPr>
          <w:lang w:val="en-US"/>
        </w:rPr>
        <w:t>ward</w:t>
      </w:r>
      <w:r w:rsidR="0049627F" w:rsidRPr="00C205D8">
        <w:rPr>
          <w:lang w:val="en-US"/>
        </w:rPr>
        <w:t xml:space="preserve"> population</w:t>
      </w:r>
      <w:r w:rsidR="00156EE3" w:rsidRPr="00C205D8">
        <w:rPr>
          <w:lang w:val="en-US"/>
        </w:rPr>
        <w:t xml:space="preserve">: </w:t>
      </w:r>
      <w:proofErr w:type="spellStart"/>
      <w:r w:rsidR="00156EE3" w:rsidRPr="00C205D8">
        <w:rPr>
          <w:lang w:val="en-US"/>
        </w:rPr>
        <w:t>Tocilizumab</w:t>
      </w:r>
      <w:proofErr w:type="spellEnd"/>
      <w:r w:rsidR="00156EE3" w:rsidRPr="00C205D8">
        <w:rPr>
          <w:lang w:val="en-US"/>
        </w:rPr>
        <w:t xml:space="preserve"> versus absence of </w:t>
      </w:r>
      <w:proofErr w:type="spellStart"/>
      <w:r w:rsidR="00156EE3" w:rsidRPr="00C205D8">
        <w:rPr>
          <w:lang w:val="en-US"/>
        </w:rPr>
        <w:t>Tocilizumab</w:t>
      </w:r>
      <w:proofErr w:type="spellEnd"/>
    </w:p>
    <w:tbl>
      <w:tblPr>
        <w:tblW w:w="1106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863"/>
      </w:tblGrid>
      <w:tr w:rsidR="0049627F" w:rsidRPr="00EA5121" w14:paraId="20BF15BB" w14:textId="77777777" w:rsidTr="00E37E60">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17FBAB87" w14:textId="77777777" w:rsidR="0049627F" w:rsidRPr="00C205D8" w:rsidRDefault="0049627F" w:rsidP="00E37E60">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2CF025DF" w14:textId="6789A29B" w:rsidR="0049627F" w:rsidRPr="00EA5121" w:rsidRDefault="0049627F" w:rsidP="00E37E60">
            <w:pPr>
              <w:spacing w:after="0" w:line="240" w:lineRule="auto"/>
              <w:jc w:val="center"/>
              <w:rPr>
                <w:rFonts w:eastAsia="Times New Roman" w:cs="Calibri"/>
                <w:color w:val="000000"/>
                <w:lang w:eastAsia="fr-FR"/>
              </w:rPr>
            </w:pPr>
            <w:r w:rsidRPr="00EA5121">
              <w:rPr>
                <w:rFonts w:eastAsia="Times New Roman" w:cs="Calibri"/>
                <w:color w:val="000000"/>
                <w:lang w:eastAsia="fr-FR"/>
              </w:rPr>
              <w:t>Total (N=</w:t>
            </w:r>
            <w:r w:rsidR="00B023C0">
              <w:rPr>
                <w:rFonts w:eastAsia="Times New Roman" w:cs="Calibri"/>
                <w:color w:val="000000"/>
                <w:lang w:eastAsia="fr-FR"/>
              </w:rPr>
              <w:t>1603</w:t>
            </w:r>
            <w:r w:rsidRPr="00EA5121">
              <w:rPr>
                <w:rFonts w:eastAsia="Times New Roman" w:cs="Calibri"/>
                <w:color w:val="000000"/>
                <w:lang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3E9AEF6" w14:textId="2A954B41" w:rsidR="0049627F" w:rsidRPr="00EA5121" w:rsidRDefault="0019388D" w:rsidP="00E37E60">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0049627F" w:rsidRPr="00EA5121">
              <w:rPr>
                <w:rFonts w:eastAsia="Times New Roman" w:cs="Calibri"/>
                <w:color w:val="000000"/>
                <w:lang w:eastAsia="fr-FR"/>
              </w:rPr>
              <w:t>ocilizumab</w:t>
            </w:r>
            <w:proofErr w:type="spellEnd"/>
            <w:r w:rsidR="0049627F" w:rsidRPr="00EA5121">
              <w:rPr>
                <w:rFonts w:eastAsia="Times New Roman" w:cs="Calibri"/>
                <w:color w:val="000000"/>
                <w:lang w:eastAsia="fr-FR"/>
              </w:rPr>
              <w:t xml:space="preserve"> (N=</w:t>
            </w:r>
            <w:r w:rsidR="00B023C0">
              <w:rPr>
                <w:rFonts w:eastAsia="Times New Roman" w:cs="Calibri"/>
                <w:color w:val="000000"/>
                <w:lang w:eastAsia="fr-FR"/>
              </w:rPr>
              <w:t>1523</w:t>
            </w:r>
            <w:r w:rsidR="0049627F" w:rsidRPr="00EA5121">
              <w:rPr>
                <w:rFonts w:eastAsia="Times New Roman" w:cs="Calibri"/>
                <w:color w:val="000000"/>
                <w:lang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06E9C9C5" w14:textId="5D8A0666" w:rsidR="0049627F" w:rsidRPr="00EA5121" w:rsidRDefault="0049627F" w:rsidP="00E37E60">
            <w:pPr>
              <w:spacing w:after="0" w:line="240" w:lineRule="auto"/>
              <w:jc w:val="center"/>
              <w:rPr>
                <w:rFonts w:eastAsia="Times New Roman" w:cs="Calibri"/>
                <w:color w:val="000000"/>
                <w:lang w:eastAsia="fr-FR"/>
              </w:rPr>
            </w:pPr>
            <w:proofErr w:type="spellStart"/>
            <w:r w:rsidRPr="00EA5121">
              <w:rPr>
                <w:rFonts w:eastAsia="Times New Roman" w:cs="Calibri"/>
                <w:color w:val="000000"/>
                <w:lang w:eastAsia="fr-FR"/>
              </w:rPr>
              <w:t>Tocilizumab</w:t>
            </w:r>
            <w:proofErr w:type="spellEnd"/>
            <w:r w:rsidRPr="00EA5121">
              <w:rPr>
                <w:rFonts w:eastAsia="Times New Roman" w:cs="Calibri"/>
                <w:color w:val="000000"/>
                <w:lang w:eastAsia="fr-FR"/>
              </w:rPr>
              <w:t xml:space="preserve"> (N=</w:t>
            </w:r>
            <w:r w:rsidR="00B023C0">
              <w:rPr>
                <w:rFonts w:eastAsia="Times New Roman" w:cs="Calibri"/>
                <w:color w:val="000000"/>
                <w:lang w:eastAsia="fr-FR"/>
              </w:rPr>
              <w:t>80</w:t>
            </w:r>
            <w:r w:rsidRPr="00EA5121">
              <w:rPr>
                <w:rFonts w:eastAsia="Times New Roman" w:cs="Calibri"/>
                <w:color w:val="000000"/>
                <w:lang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51EE3919" w14:textId="77777777" w:rsidR="0049627F" w:rsidRPr="00EA5121" w:rsidRDefault="0049627F" w:rsidP="00E37E60">
            <w:pPr>
              <w:spacing w:after="0" w:line="240" w:lineRule="auto"/>
              <w:jc w:val="center"/>
              <w:rPr>
                <w:rFonts w:eastAsia="Times New Roman" w:cs="Calibri"/>
                <w:color w:val="000000"/>
                <w:lang w:eastAsia="fr-FR"/>
              </w:rPr>
            </w:pPr>
            <w:r w:rsidRPr="00EA5121">
              <w:rPr>
                <w:rFonts w:eastAsia="Times New Roman" w:cs="Calibri"/>
                <w:color w:val="000000"/>
                <w:lang w:eastAsia="fr-FR"/>
              </w:rPr>
              <w:t>OR [IC95%]</w:t>
            </w:r>
          </w:p>
        </w:tc>
        <w:tc>
          <w:tcPr>
            <w:tcW w:w="863" w:type="dxa"/>
            <w:tcBorders>
              <w:top w:val="single" w:sz="4" w:space="0" w:color="auto"/>
              <w:bottom w:val="single" w:sz="4" w:space="0" w:color="auto"/>
            </w:tcBorders>
            <w:shd w:val="clear" w:color="auto" w:fill="D9D9D9" w:themeFill="background1" w:themeFillShade="D9"/>
            <w:noWrap/>
            <w:vAlign w:val="bottom"/>
            <w:hideMark/>
          </w:tcPr>
          <w:p w14:paraId="3B114634" w14:textId="77777777" w:rsidR="0049627F" w:rsidRPr="00EA5121" w:rsidRDefault="0049627F" w:rsidP="00E37E60">
            <w:pPr>
              <w:spacing w:after="0" w:line="240" w:lineRule="auto"/>
              <w:jc w:val="center"/>
              <w:rPr>
                <w:rFonts w:eastAsia="Times New Roman" w:cs="Calibri"/>
                <w:color w:val="000000"/>
                <w:lang w:eastAsia="fr-FR"/>
              </w:rPr>
            </w:pPr>
            <w:r w:rsidRPr="00EA5121">
              <w:rPr>
                <w:rFonts w:eastAsia="Times New Roman" w:cs="Calibri"/>
                <w:color w:val="000000"/>
                <w:lang w:eastAsia="fr-FR"/>
              </w:rPr>
              <w:t>p</w:t>
            </w:r>
          </w:p>
        </w:tc>
      </w:tr>
      <w:tr w:rsidR="0049627F" w:rsidRPr="00EA5121" w14:paraId="799DF18E" w14:textId="77777777" w:rsidTr="00E37E60">
        <w:trPr>
          <w:trHeight w:val="300"/>
          <w:jc w:val="center"/>
        </w:trPr>
        <w:tc>
          <w:tcPr>
            <w:tcW w:w="3402" w:type="dxa"/>
            <w:tcBorders>
              <w:top w:val="single" w:sz="4" w:space="0" w:color="auto"/>
            </w:tcBorders>
            <w:shd w:val="clear" w:color="auto" w:fill="auto"/>
            <w:noWrap/>
            <w:vAlign w:val="center"/>
            <w:hideMark/>
          </w:tcPr>
          <w:p w14:paraId="5DB15C6E" w14:textId="77777777" w:rsidR="0049627F" w:rsidRPr="00EA5121" w:rsidRDefault="0049627F" w:rsidP="00E37E60">
            <w:pPr>
              <w:spacing w:after="0" w:line="240" w:lineRule="auto"/>
              <w:rPr>
                <w:rFonts w:eastAsia="Times New Roman" w:cs="Calibri"/>
                <w:b/>
                <w:color w:val="000000"/>
                <w:lang w:eastAsia="fr-FR"/>
              </w:rPr>
            </w:pPr>
            <w:r>
              <w:rPr>
                <w:rFonts w:eastAsia="Times New Roman" w:cs="Calibri"/>
                <w:b/>
                <w:color w:val="000000"/>
                <w:lang w:eastAsia="fr-FR"/>
              </w:rPr>
              <w:t>Center of inclusion</w:t>
            </w:r>
            <w:r w:rsidRPr="00EA5121">
              <w:rPr>
                <w:rFonts w:eastAsia="Times New Roman" w:cs="Calibri"/>
                <w:b/>
                <w:color w:val="000000"/>
                <w:lang w:eastAsia="fr-FR"/>
              </w:rPr>
              <w:t xml:space="preserve"> (N=2573)</w:t>
            </w:r>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7833DC52" w14:textId="77777777" w:rsidR="0049627F" w:rsidRPr="00EA5121" w:rsidRDefault="0049627F"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7898395C" w14:textId="77777777" w:rsidR="0049627F" w:rsidRPr="00EA5121" w:rsidRDefault="0049627F"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02DD7D21" w14:textId="77777777" w:rsidR="0049627F" w:rsidRPr="00EA5121" w:rsidRDefault="0049627F"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06161476" w14:textId="77777777" w:rsidR="0049627F" w:rsidRPr="00EA5121" w:rsidRDefault="0049627F" w:rsidP="00E37E60">
            <w:pPr>
              <w:spacing w:after="0" w:line="240" w:lineRule="auto"/>
              <w:rPr>
                <w:rFonts w:eastAsia="Times New Roman" w:cs="Calibri"/>
                <w:b/>
                <w:color w:val="000000"/>
                <w:lang w:eastAsia="fr-FR"/>
              </w:rPr>
            </w:pPr>
          </w:p>
        </w:tc>
        <w:tc>
          <w:tcPr>
            <w:tcW w:w="863" w:type="dxa"/>
            <w:tcBorders>
              <w:top w:val="single" w:sz="4" w:space="0" w:color="auto"/>
            </w:tcBorders>
            <w:shd w:val="clear" w:color="auto" w:fill="auto"/>
            <w:noWrap/>
            <w:vAlign w:val="bottom"/>
            <w:hideMark/>
          </w:tcPr>
          <w:p w14:paraId="181BB290" w14:textId="77777777" w:rsidR="0049627F" w:rsidRPr="00EA5121" w:rsidRDefault="0049627F" w:rsidP="00E37E60">
            <w:pPr>
              <w:spacing w:after="0" w:line="240" w:lineRule="auto"/>
              <w:rPr>
                <w:rFonts w:eastAsia="Times New Roman" w:cs="Calibri"/>
                <w:b/>
                <w:color w:val="000000"/>
                <w:lang w:eastAsia="fr-FR"/>
              </w:rPr>
            </w:pPr>
          </w:p>
        </w:tc>
      </w:tr>
      <w:tr w:rsidR="00B023C0" w:rsidRPr="00EA5121" w14:paraId="76807C92" w14:textId="77777777" w:rsidTr="003E46D8">
        <w:trPr>
          <w:trHeight w:val="300"/>
          <w:jc w:val="center"/>
        </w:trPr>
        <w:tc>
          <w:tcPr>
            <w:tcW w:w="3402" w:type="dxa"/>
            <w:shd w:val="clear" w:color="auto" w:fill="auto"/>
            <w:noWrap/>
            <w:vAlign w:val="center"/>
            <w:hideMark/>
          </w:tcPr>
          <w:p w14:paraId="3B48D675" w14:textId="77777777" w:rsidR="00B023C0" w:rsidRPr="00EA5121" w:rsidRDefault="00B023C0" w:rsidP="00B023C0">
            <w:pPr>
              <w:spacing w:after="0" w:line="240" w:lineRule="auto"/>
              <w:jc w:val="right"/>
              <w:rPr>
                <w:rFonts w:eastAsia="Times New Roman" w:cs="Calibri"/>
                <w:color w:val="000000"/>
                <w:lang w:eastAsia="fr-FR"/>
              </w:rPr>
            </w:pPr>
            <w:r>
              <w:rPr>
                <w:rFonts w:eastAsia="Times New Roman" w:cs="Calibri"/>
                <w:color w:val="000000"/>
                <w:lang w:eastAsia="fr-FR"/>
              </w:rPr>
              <w:t xml:space="preserve">Center 1 </w:t>
            </w:r>
          </w:p>
        </w:tc>
        <w:tc>
          <w:tcPr>
            <w:tcW w:w="1701" w:type="dxa"/>
            <w:shd w:val="clear" w:color="auto" w:fill="auto"/>
            <w:noWrap/>
            <w:vAlign w:val="center"/>
            <w:hideMark/>
          </w:tcPr>
          <w:p w14:paraId="74581028" w14:textId="1332544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927 (58.16%)</w:t>
            </w:r>
          </w:p>
        </w:tc>
        <w:tc>
          <w:tcPr>
            <w:tcW w:w="1701" w:type="dxa"/>
            <w:shd w:val="clear" w:color="auto" w:fill="auto"/>
            <w:noWrap/>
            <w:vAlign w:val="center"/>
            <w:hideMark/>
          </w:tcPr>
          <w:p w14:paraId="7170BD93" w14:textId="0A6098A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899 (59.34%)</w:t>
            </w:r>
          </w:p>
        </w:tc>
        <w:tc>
          <w:tcPr>
            <w:tcW w:w="1701" w:type="dxa"/>
            <w:shd w:val="clear" w:color="auto" w:fill="auto"/>
            <w:noWrap/>
            <w:vAlign w:val="center"/>
            <w:hideMark/>
          </w:tcPr>
          <w:p w14:paraId="0D259196" w14:textId="57D2573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28 (35.44%)</w:t>
            </w:r>
          </w:p>
        </w:tc>
        <w:tc>
          <w:tcPr>
            <w:tcW w:w="1701" w:type="dxa"/>
            <w:shd w:val="clear" w:color="auto" w:fill="auto"/>
            <w:noWrap/>
            <w:vAlign w:val="center"/>
            <w:hideMark/>
          </w:tcPr>
          <w:p w14:paraId="754EF198" w14:textId="3AA6B3B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709746B5" w14:textId="0C9B6A1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&lt;0.0001</w:t>
            </w:r>
          </w:p>
        </w:tc>
      </w:tr>
      <w:tr w:rsidR="00B023C0" w:rsidRPr="00EA5121" w14:paraId="3310BA68" w14:textId="77777777" w:rsidTr="003E46D8">
        <w:trPr>
          <w:trHeight w:val="300"/>
          <w:jc w:val="center"/>
        </w:trPr>
        <w:tc>
          <w:tcPr>
            <w:tcW w:w="3402" w:type="dxa"/>
            <w:shd w:val="clear" w:color="auto" w:fill="auto"/>
            <w:noWrap/>
            <w:vAlign w:val="center"/>
            <w:hideMark/>
          </w:tcPr>
          <w:p w14:paraId="3A37DFC1" w14:textId="77777777" w:rsidR="00B023C0" w:rsidRPr="00EA5121" w:rsidRDefault="00B023C0" w:rsidP="00B023C0">
            <w:pPr>
              <w:spacing w:after="0" w:line="240" w:lineRule="auto"/>
              <w:jc w:val="right"/>
              <w:rPr>
                <w:rFonts w:eastAsia="Times New Roman" w:cs="Calibri"/>
                <w:color w:val="000000"/>
                <w:lang w:eastAsia="fr-FR"/>
              </w:rPr>
            </w:pPr>
            <w:r>
              <w:rPr>
                <w:rFonts w:eastAsia="Times New Roman" w:cs="Calibri"/>
                <w:color w:val="000000"/>
                <w:lang w:eastAsia="fr-FR"/>
              </w:rPr>
              <w:t xml:space="preserve">Center 2 </w:t>
            </w:r>
          </w:p>
        </w:tc>
        <w:tc>
          <w:tcPr>
            <w:tcW w:w="1701" w:type="dxa"/>
            <w:shd w:val="clear" w:color="auto" w:fill="auto"/>
            <w:noWrap/>
            <w:vAlign w:val="center"/>
            <w:hideMark/>
          </w:tcPr>
          <w:p w14:paraId="0C8FCC8D" w14:textId="4267D47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666 (41.78%)</w:t>
            </w:r>
          </w:p>
        </w:tc>
        <w:tc>
          <w:tcPr>
            <w:tcW w:w="1701" w:type="dxa"/>
            <w:shd w:val="clear" w:color="auto" w:fill="auto"/>
            <w:noWrap/>
            <w:vAlign w:val="center"/>
            <w:hideMark/>
          </w:tcPr>
          <w:p w14:paraId="03A7041C" w14:textId="2E243F3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615 (40.59%)</w:t>
            </w:r>
          </w:p>
        </w:tc>
        <w:tc>
          <w:tcPr>
            <w:tcW w:w="1701" w:type="dxa"/>
            <w:shd w:val="clear" w:color="auto" w:fill="auto"/>
            <w:noWrap/>
            <w:vAlign w:val="center"/>
            <w:hideMark/>
          </w:tcPr>
          <w:p w14:paraId="39555334" w14:textId="29D5007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51 (64.56%)</w:t>
            </w:r>
          </w:p>
        </w:tc>
        <w:tc>
          <w:tcPr>
            <w:tcW w:w="1701" w:type="dxa"/>
            <w:shd w:val="clear" w:color="auto" w:fill="auto"/>
            <w:noWrap/>
            <w:vAlign w:val="center"/>
            <w:hideMark/>
          </w:tcPr>
          <w:p w14:paraId="1965D21A" w14:textId="30A7EE2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2.66 [1.66;4.27]</w:t>
            </w:r>
          </w:p>
        </w:tc>
        <w:tc>
          <w:tcPr>
            <w:tcW w:w="863" w:type="dxa"/>
            <w:shd w:val="clear" w:color="auto" w:fill="auto"/>
            <w:noWrap/>
            <w:vAlign w:val="center"/>
            <w:hideMark/>
          </w:tcPr>
          <w:p w14:paraId="7239EB9C"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1E0DBB66" w14:textId="77777777" w:rsidTr="003E46D8">
        <w:trPr>
          <w:trHeight w:val="300"/>
          <w:jc w:val="center"/>
        </w:trPr>
        <w:tc>
          <w:tcPr>
            <w:tcW w:w="3402" w:type="dxa"/>
            <w:shd w:val="clear" w:color="auto" w:fill="auto"/>
            <w:noWrap/>
            <w:vAlign w:val="center"/>
            <w:hideMark/>
          </w:tcPr>
          <w:p w14:paraId="23CBEF7D" w14:textId="77777777" w:rsidR="00B023C0" w:rsidRPr="00EA5121" w:rsidRDefault="00B023C0" w:rsidP="00B023C0">
            <w:pPr>
              <w:spacing w:after="0" w:line="240" w:lineRule="auto"/>
              <w:jc w:val="right"/>
              <w:rPr>
                <w:rFonts w:eastAsia="Times New Roman" w:cs="Calibri"/>
                <w:color w:val="000000"/>
                <w:lang w:eastAsia="fr-FR"/>
              </w:rPr>
            </w:pPr>
            <w:r>
              <w:rPr>
                <w:rFonts w:eastAsia="Times New Roman" w:cs="Calibri"/>
                <w:color w:val="000000"/>
                <w:lang w:eastAsia="fr-FR"/>
              </w:rPr>
              <w:t xml:space="preserve">Center 3 </w:t>
            </w:r>
          </w:p>
        </w:tc>
        <w:tc>
          <w:tcPr>
            <w:tcW w:w="1701" w:type="dxa"/>
            <w:shd w:val="clear" w:color="auto" w:fill="auto"/>
            <w:noWrap/>
            <w:vAlign w:val="center"/>
            <w:hideMark/>
          </w:tcPr>
          <w:p w14:paraId="61AF61BB" w14:textId="1245B63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 (0.06%)</w:t>
            </w:r>
          </w:p>
        </w:tc>
        <w:tc>
          <w:tcPr>
            <w:tcW w:w="1701" w:type="dxa"/>
            <w:shd w:val="clear" w:color="auto" w:fill="auto"/>
            <w:noWrap/>
            <w:vAlign w:val="center"/>
            <w:hideMark/>
          </w:tcPr>
          <w:p w14:paraId="20451C2D" w14:textId="0B74445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 (0.07%)</w:t>
            </w:r>
          </w:p>
        </w:tc>
        <w:tc>
          <w:tcPr>
            <w:tcW w:w="1701" w:type="dxa"/>
            <w:shd w:val="clear" w:color="auto" w:fill="auto"/>
            <w:noWrap/>
            <w:vAlign w:val="center"/>
            <w:hideMark/>
          </w:tcPr>
          <w:p w14:paraId="1656AAA4" w14:textId="5731361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 (0.00%)</w:t>
            </w:r>
          </w:p>
        </w:tc>
        <w:tc>
          <w:tcPr>
            <w:tcW w:w="1701" w:type="dxa"/>
            <w:shd w:val="clear" w:color="auto" w:fill="auto"/>
            <w:noWrap/>
            <w:vAlign w:val="center"/>
            <w:hideMark/>
          </w:tcPr>
          <w:p w14:paraId="15DD0336" w14:textId="59C74F5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w:t>
            </w:r>
          </w:p>
        </w:tc>
        <w:tc>
          <w:tcPr>
            <w:tcW w:w="863" w:type="dxa"/>
            <w:shd w:val="clear" w:color="auto" w:fill="auto"/>
            <w:noWrap/>
            <w:vAlign w:val="center"/>
            <w:hideMark/>
          </w:tcPr>
          <w:p w14:paraId="5AD0F9D8"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778DC36D" w14:textId="77777777" w:rsidTr="003E46D8">
        <w:trPr>
          <w:trHeight w:val="300"/>
          <w:jc w:val="center"/>
        </w:trPr>
        <w:tc>
          <w:tcPr>
            <w:tcW w:w="3402" w:type="dxa"/>
            <w:shd w:val="clear" w:color="auto" w:fill="auto"/>
            <w:noWrap/>
            <w:vAlign w:val="center"/>
            <w:hideMark/>
          </w:tcPr>
          <w:p w14:paraId="0FDAE910" w14:textId="453A3DD4" w:rsidR="00B023C0" w:rsidRPr="00EA5121" w:rsidRDefault="00B023C0" w:rsidP="00B023C0">
            <w:pPr>
              <w:spacing w:after="0" w:line="240" w:lineRule="auto"/>
              <w:rPr>
                <w:rFonts w:eastAsia="Times New Roman" w:cs="Calibri"/>
                <w:b/>
                <w:color w:val="000000"/>
                <w:lang w:eastAsia="fr-FR"/>
              </w:rPr>
            </w:pPr>
            <w:r w:rsidRPr="00EA5121">
              <w:rPr>
                <w:rFonts w:eastAsia="Times New Roman" w:cs="Calibri"/>
                <w:b/>
                <w:color w:val="000000"/>
                <w:lang w:eastAsia="fr-FR"/>
              </w:rPr>
              <w:t>Age (</w:t>
            </w:r>
            <w:proofErr w:type="spellStart"/>
            <w:r>
              <w:rPr>
                <w:rFonts w:eastAsia="Times New Roman" w:cs="Calibri"/>
                <w:b/>
                <w:color w:val="000000"/>
                <w:lang w:eastAsia="fr-FR"/>
              </w:rPr>
              <w:t>years</w:t>
            </w:r>
            <w:proofErr w:type="spellEnd"/>
            <w:r w:rsidRPr="00EA5121">
              <w:rPr>
                <w:rFonts w:eastAsia="Times New Roman" w:cs="Calibri"/>
                <w:b/>
                <w:color w:val="000000"/>
                <w:lang w:eastAsia="fr-FR"/>
              </w:rPr>
              <w:t>) (N=</w:t>
            </w:r>
            <w:r w:rsidR="00744859">
              <w:rPr>
                <w:rFonts w:eastAsia="Times New Roman" w:cs="Calibri"/>
                <w:b/>
                <w:color w:val="000000"/>
                <w:lang w:eastAsia="fr-FR"/>
              </w:rPr>
              <w:t>1601</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5C2BB658"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3FF3C44"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1B7BE91"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1168D8D"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19414200"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596F3BCA" w14:textId="77777777" w:rsidTr="003E46D8">
        <w:trPr>
          <w:trHeight w:val="300"/>
          <w:jc w:val="center"/>
        </w:trPr>
        <w:tc>
          <w:tcPr>
            <w:tcW w:w="3402" w:type="dxa"/>
            <w:shd w:val="clear" w:color="auto" w:fill="auto"/>
            <w:noWrap/>
            <w:vAlign w:val="center"/>
            <w:hideMark/>
          </w:tcPr>
          <w:p w14:paraId="148F2D1A" w14:textId="77777777" w:rsidR="00B023C0" w:rsidRPr="00EA5121" w:rsidRDefault="00B023C0" w:rsidP="00B023C0">
            <w:pPr>
              <w:spacing w:after="0" w:line="240" w:lineRule="auto"/>
              <w:jc w:val="right"/>
              <w:rPr>
                <w:rFonts w:eastAsia="Times New Roman" w:cs="Calibri"/>
                <w:color w:val="000000"/>
                <w:lang w:eastAsia="fr-FR"/>
              </w:rPr>
            </w:pPr>
            <w:proofErr w:type="spellStart"/>
            <w:r w:rsidRPr="00EA5121">
              <w:rPr>
                <w:rFonts w:eastAsia="Times New Roman" w:cs="Calibri"/>
                <w:color w:val="000000"/>
                <w:lang w:eastAsia="fr-FR"/>
              </w:rPr>
              <w:t>Mean</w:t>
            </w:r>
            <w:proofErr w:type="spellEnd"/>
            <w:r w:rsidRPr="00EA5121">
              <w:rPr>
                <w:rFonts w:eastAsia="Times New Roman" w:cs="Calibri"/>
                <w:color w:val="000000"/>
                <w:lang w:eastAsia="fr-FR"/>
              </w:rPr>
              <w:t xml:space="preserve"> (SD)</w:t>
            </w:r>
            <w:r>
              <w:rPr>
                <w:rFonts w:eastAsia="Times New Roman" w:cs="Calibri"/>
                <w:color w:val="000000"/>
                <w:lang w:eastAsia="fr-FR"/>
              </w:rPr>
              <w:t xml:space="preserve"> </w:t>
            </w:r>
          </w:p>
        </w:tc>
        <w:tc>
          <w:tcPr>
            <w:tcW w:w="1701" w:type="dxa"/>
            <w:shd w:val="clear" w:color="auto" w:fill="auto"/>
            <w:noWrap/>
            <w:vAlign w:val="center"/>
            <w:hideMark/>
          </w:tcPr>
          <w:p w14:paraId="53C205B4" w14:textId="0FF9DD4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64.99 (16.81)</w:t>
            </w:r>
          </w:p>
        </w:tc>
        <w:tc>
          <w:tcPr>
            <w:tcW w:w="1701" w:type="dxa"/>
            <w:shd w:val="clear" w:color="auto" w:fill="auto"/>
            <w:noWrap/>
            <w:vAlign w:val="center"/>
            <w:hideMark/>
          </w:tcPr>
          <w:p w14:paraId="55619A43" w14:textId="39DCD12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64.72 (16.84)</w:t>
            </w:r>
          </w:p>
        </w:tc>
        <w:tc>
          <w:tcPr>
            <w:tcW w:w="1701" w:type="dxa"/>
            <w:shd w:val="clear" w:color="auto" w:fill="auto"/>
            <w:noWrap/>
            <w:vAlign w:val="center"/>
            <w:hideMark/>
          </w:tcPr>
          <w:p w14:paraId="1C67EE4F" w14:textId="1E213CA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70.11 (15.35)</w:t>
            </w:r>
          </w:p>
        </w:tc>
        <w:tc>
          <w:tcPr>
            <w:tcW w:w="1701" w:type="dxa"/>
            <w:shd w:val="clear" w:color="auto" w:fill="auto"/>
            <w:noWrap/>
            <w:vAlign w:val="center"/>
            <w:hideMark/>
          </w:tcPr>
          <w:p w14:paraId="5A2E0ABD" w14:textId="77777777" w:rsidR="00B023C0" w:rsidRPr="00EA5121" w:rsidRDefault="00B023C0" w:rsidP="00B023C0">
            <w:pPr>
              <w:spacing w:after="0" w:line="240" w:lineRule="auto"/>
              <w:jc w:val="center"/>
              <w:rPr>
                <w:rFonts w:eastAsia="Times New Roman" w:cs="Calibri"/>
                <w:color w:val="000000"/>
                <w:lang w:eastAsia="fr-FR"/>
              </w:rPr>
            </w:pPr>
          </w:p>
        </w:tc>
        <w:tc>
          <w:tcPr>
            <w:tcW w:w="863" w:type="dxa"/>
            <w:shd w:val="clear" w:color="auto" w:fill="auto"/>
            <w:noWrap/>
            <w:vAlign w:val="center"/>
            <w:hideMark/>
          </w:tcPr>
          <w:p w14:paraId="335EDDC9" w14:textId="2648E03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0.0034</w:t>
            </w:r>
          </w:p>
        </w:tc>
      </w:tr>
      <w:tr w:rsidR="00B023C0" w:rsidRPr="00EA5121" w14:paraId="6F6DC1AE" w14:textId="77777777" w:rsidTr="003E46D8">
        <w:trPr>
          <w:trHeight w:val="300"/>
          <w:jc w:val="center"/>
        </w:trPr>
        <w:tc>
          <w:tcPr>
            <w:tcW w:w="3402" w:type="dxa"/>
            <w:shd w:val="clear" w:color="auto" w:fill="auto"/>
            <w:noWrap/>
            <w:vAlign w:val="center"/>
            <w:hideMark/>
          </w:tcPr>
          <w:p w14:paraId="1B559112" w14:textId="5034B207" w:rsidR="00B023C0" w:rsidRPr="00EA5121" w:rsidRDefault="00B023C0" w:rsidP="00B023C0">
            <w:pPr>
              <w:spacing w:after="0" w:line="240" w:lineRule="auto"/>
              <w:rPr>
                <w:rFonts w:eastAsia="Times New Roman" w:cs="Calibri"/>
                <w:b/>
                <w:color w:val="000000"/>
                <w:lang w:eastAsia="fr-FR"/>
              </w:rPr>
            </w:pPr>
            <w:proofErr w:type="spellStart"/>
            <w:r w:rsidRPr="00EA5121">
              <w:rPr>
                <w:rFonts w:eastAsia="Times New Roman" w:cs="Calibri"/>
                <w:b/>
                <w:color w:val="000000"/>
                <w:lang w:eastAsia="fr-FR"/>
              </w:rPr>
              <w:t>Sex</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1599</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3CAB2D77"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DFC047A"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844726C"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4E65242"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62EE6A38"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57F8F4B9" w14:textId="77777777" w:rsidTr="003E46D8">
        <w:trPr>
          <w:trHeight w:val="300"/>
          <w:jc w:val="center"/>
        </w:trPr>
        <w:tc>
          <w:tcPr>
            <w:tcW w:w="3402" w:type="dxa"/>
            <w:shd w:val="clear" w:color="auto" w:fill="auto"/>
            <w:noWrap/>
            <w:vAlign w:val="center"/>
            <w:hideMark/>
          </w:tcPr>
          <w:p w14:paraId="60AC1A28" w14:textId="77777777" w:rsidR="00B023C0" w:rsidRPr="00EA5121" w:rsidRDefault="00B023C0" w:rsidP="00B023C0">
            <w:pPr>
              <w:spacing w:after="0" w:line="240" w:lineRule="auto"/>
              <w:jc w:val="right"/>
              <w:rPr>
                <w:rFonts w:eastAsia="Times New Roman" w:cs="Calibri"/>
                <w:color w:val="000000"/>
                <w:lang w:eastAsia="fr-FR"/>
              </w:rPr>
            </w:pPr>
            <w:proofErr w:type="spellStart"/>
            <w:r w:rsidRPr="00EA5121">
              <w:rPr>
                <w:rFonts w:eastAsia="Times New Roman" w:cs="Calibri"/>
                <w:color w:val="000000"/>
                <w:lang w:eastAsia="fr-FR"/>
              </w:rPr>
              <w:t>F</w:t>
            </w:r>
            <w:r>
              <w:rPr>
                <w:rFonts w:eastAsia="Times New Roman" w:cs="Calibri"/>
                <w:color w:val="000000"/>
                <w:lang w:eastAsia="fr-FR"/>
              </w:rPr>
              <w:t>emale</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45746A97" w14:textId="5598C64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657 (41.09%)</w:t>
            </w:r>
          </w:p>
        </w:tc>
        <w:tc>
          <w:tcPr>
            <w:tcW w:w="1701" w:type="dxa"/>
            <w:shd w:val="clear" w:color="auto" w:fill="auto"/>
            <w:noWrap/>
            <w:vAlign w:val="center"/>
            <w:hideMark/>
          </w:tcPr>
          <w:p w14:paraId="1E29F893" w14:textId="1E92DB4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625 (41.12%)</w:t>
            </w:r>
          </w:p>
        </w:tc>
        <w:tc>
          <w:tcPr>
            <w:tcW w:w="1701" w:type="dxa"/>
            <w:shd w:val="clear" w:color="auto" w:fill="auto"/>
            <w:noWrap/>
            <w:vAlign w:val="center"/>
            <w:hideMark/>
          </w:tcPr>
          <w:p w14:paraId="4B31F173" w14:textId="4D02ACB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32 (40.51%)</w:t>
            </w:r>
          </w:p>
        </w:tc>
        <w:tc>
          <w:tcPr>
            <w:tcW w:w="1701" w:type="dxa"/>
            <w:shd w:val="clear" w:color="auto" w:fill="auto"/>
            <w:noWrap/>
            <w:vAlign w:val="center"/>
            <w:hideMark/>
          </w:tcPr>
          <w:p w14:paraId="56089EA5" w14:textId="4F5216A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23BAFFED" w14:textId="7FA3E70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0.91</w:t>
            </w:r>
          </w:p>
        </w:tc>
      </w:tr>
      <w:tr w:rsidR="00B023C0" w:rsidRPr="00EA5121" w14:paraId="091EAEEE" w14:textId="77777777" w:rsidTr="003E46D8">
        <w:trPr>
          <w:trHeight w:val="300"/>
          <w:jc w:val="center"/>
        </w:trPr>
        <w:tc>
          <w:tcPr>
            <w:tcW w:w="3402" w:type="dxa"/>
            <w:shd w:val="clear" w:color="auto" w:fill="auto"/>
            <w:noWrap/>
            <w:vAlign w:val="center"/>
            <w:hideMark/>
          </w:tcPr>
          <w:p w14:paraId="04D13DF2"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Ma</w:t>
            </w:r>
            <w:r>
              <w:rPr>
                <w:rFonts w:eastAsia="Times New Roman" w:cs="Calibri"/>
                <w:color w:val="000000"/>
                <w:lang w:eastAsia="fr-FR"/>
              </w:rPr>
              <w:t xml:space="preserve">le </w:t>
            </w:r>
          </w:p>
        </w:tc>
        <w:tc>
          <w:tcPr>
            <w:tcW w:w="1701" w:type="dxa"/>
            <w:shd w:val="clear" w:color="auto" w:fill="auto"/>
            <w:noWrap/>
            <w:vAlign w:val="center"/>
            <w:hideMark/>
          </w:tcPr>
          <w:p w14:paraId="6A420D22" w14:textId="15D04D2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942 (58.91%)</w:t>
            </w:r>
          </w:p>
        </w:tc>
        <w:tc>
          <w:tcPr>
            <w:tcW w:w="1701" w:type="dxa"/>
            <w:shd w:val="clear" w:color="auto" w:fill="auto"/>
            <w:noWrap/>
            <w:vAlign w:val="center"/>
            <w:hideMark/>
          </w:tcPr>
          <w:p w14:paraId="02FEAF3E" w14:textId="30400C8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895 (58.88%)</w:t>
            </w:r>
          </w:p>
        </w:tc>
        <w:tc>
          <w:tcPr>
            <w:tcW w:w="1701" w:type="dxa"/>
            <w:shd w:val="clear" w:color="auto" w:fill="auto"/>
            <w:noWrap/>
            <w:vAlign w:val="center"/>
            <w:hideMark/>
          </w:tcPr>
          <w:p w14:paraId="7F95817C" w14:textId="68D5772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47 (59.49%)</w:t>
            </w:r>
          </w:p>
        </w:tc>
        <w:tc>
          <w:tcPr>
            <w:tcW w:w="1701" w:type="dxa"/>
            <w:shd w:val="clear" w:color="auto" w:fill="auto"/>
            <w:noWrap/>
            <w:vAlign w:val="center"/>
            <w:hideMark/>
          </w:tcPr>
          <w:p w14:paraId="25957972" w14:textId="0843AC2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1.03 [0.65;1.63]</w:t>
            </w:r>
          </w:p>
        </w:tc>
        <w:tc>
          <w:tcPr>
            <w:tcW w:w="863" w:type="dxa"/>
            <w:shd w:val="clear" w:color="auto" w:fill="auto"/>
            <w:noWrap/>
            <w:vAlign w:val="center"/>
            <w:hideMark/>
          </w:tcPr>
          <w:p w14:paraId="7260DD82"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46815F80" w14:textId="77777777" w:rsidTr="003E46D8">
        <w:trPr>
          <w:trHeight w:val="300"/>
          <w:jc w:val="center"/>
        </w:trPr>
        <w:tc>
          <w:tcPr>
            <w:tcW w:w="3402" w:type="dxa"/>
            <w:shd w:val="clear" w:color="auto" w:fill="auto"/>
            <w:noWrap/>
            <w:vAlign w:val="center"/>
            <w:hideMark/>
          </w:tcPr>
          <w:p w14:paraId="792986BF" w14:textId="2B1D9C12"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BMI</w:t>
            </w:r>
            <w:r w:rsidRPr="00EA5121">
              <w:rPr>
                <w:rFonts w:eastAsia="Times New Roman" w:cs="Calibri"/>
                <w:b/>
                <w:color w:val="000000"/>
                <w:lang w:eastAsia="fr-FR"/>
              </w:rPr>
              <w:t xml:space="preserve"> (kg/m</w:t>
            </w:r>
            <w:r w:rsidRPr="003C1D5C">
              <w:rPr>
                <w:rFonts w:eastAsia="Times New Roman" w:cs="Calibri"/>
                <w:b/>
                <w:color w:val="000000"/>
                <w:vertAlign w:val="superscript"/>
                <w:lang w:eastAsia="fr-FR"/>
              </w:rPr>
              <w:t>2</w:t>
            </w:r>
            <w:r w:rsidRPr="00EA5121">
              <w:rPr>
                <w:rFonts w:eastAsia="Times New Roman" w:cs="Calibri"/>
                <w:b/>
                <w:color w:val="000000"/>
                <w:lang w:eastAsia="fr-FR"/>
              </w:rPr>
              <w:t>) (N=</w:t>
            </w:r>
            <w:r w:rsidR="00744859">
              <w:rPr>
                <w:rFonts w:eastAsia="Times New Roman" w:cs="Calibri"/>
                <w:b/>
                <w:color w:val="000000"/>
                <w:lang w:eastAsia="fr-FR"/>
              </w:rPr>
              <w:t>1212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4923469F"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959178D"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9E97B9A"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D3794B2"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48502AA9"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44F31F0C" w14:textId="77777777" w:rsidTr="003E46D8">
        <w:trPr>
          <w:trHeight w:val="300"/>
          <w:jc w:val="center"/>
        </w:trPr>
        <w:tc>
          <w:tcPr>
            <w:tcW w:w="3402" w:type="dxa"/>
            <w:shd w:val="clear" w:color="auto" w:fill="auto"/>
            <w:noWrap/>
            <w:vAlign w:val="center"/>
            <w:hideMark/>
          </w:tcPr>
          <w:p w14:paraId="6C397DA0" w14:textId="77777777" w:rsidR="00B023C0" w:rsidRPr="00EA5121" w:rsidRDefault="00B023C0" w:rsidP="00B023C0">
            <w:pPr>
              <w:spacing w:after="0" w:line="240" w:lineRule="auto"/>
              <w:jc w:val="right"/>
              <w:rPr>
                <w:rFonts w:eastAsia="Times New Roman" w:cs="Calibri"/>
                <w:color w:val="000000"/>
                <w:lang w:eastAsia="fr-FR"/>
              </w:rPr>
            </w:pPr>
            <w:proofErr w:type="spellStart"/>
            <w:r w:rsidRPr="00EA5121">
              <w:rPr>
                <w:rFonts w:eastAsia="Times New Roman" w:cs="Calibri"/>
                <w:color w:val="000000"/>
                <w:lang w:eastAsia="fr-FR"/>
              </w:rPr>
              <w:t>Median</w:t>
            </w:r>
            <w:proofErr w:type="spellEnd"/>
            <w:r w:rsidRPr="00EA5121">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center"/>
            <w:hideMark/>
          </w:tcPr>
          <w:p w14:paraId="749551F1" w14:textId="2D3D56C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27.10 [23.83;31.00]</w:t>
            </w:r>
          </w:p>
        </w:tc>
        <w:tc>
          <w:tcPr>
            <w:tcW w:w="1701" w:type="dxa"/>
            <w:shd w:val="clear" w:color="auto" w:fill="auto"/>
            <w:noWrap/>
            <w:vAlign w:val="center"/>
            <w:hideMark/>
          </w:tcPr>
          <w:p w14:paraId="1F757D45" w14:textId="51C5763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27.06 [23.77;30.86]</w:t>
            </w:r>
          </w:p>
        </w:tc>
        <w:tc>
          <w:tcPr>
            <w:tcW w:w="1701" w:type="dxa"/>
            <w:shd w:val="clear" w:color="auto" w:fill="auto"/>
            <w:noWrap/>
            <w:vAlign w:val="center"/>
            <w:hideMark/>
          </w:tcPr>
          <w:p w14:paraId="79537723" w14:textId="125CFC0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27.73 [25.26;32.00]</w:t>
            </w:r>
          </w:p>
        </w:tc>
        <w:tc>
          <w:tcPr>
            <w:tcW w:w="1701" w:type="dxa"/>
            <w:shd w:val="clear" w:color="auto" w:fill="auto"/>
            <w:noWrap/>
            <w:vAlign w:val="center"/>
            <w:hideMark/>
          </w:tcPr>
          <w:p w14:paraId="120E66F7" w14:textId="77777777" w:rsidR="00B023C0" w:rsidRPr="00EA5121" w:rsidRDefault="00B023C0" w:rsidP="00B023C0">
            <w:pPr>
              <w:spacing w:after="0" w:line="240" w:lineRule="auto"/>
              <w:jc w:val="center"/>
              <w:rPr>
                <w:rFonts w:eastAsia="Times New Roman" w:cs="Calibri"/>
                <w:color w:val="000000"/>
                <w:lang w:eastAsia="fr-FR"/>
              </w:rPr>
            </w:pPr>
          </w:p>
        </w:tc>
        <w:tc>
          <w:tcPr>
            <w:tcW w:w="863" w:type="dxa"/>
            <w:shd w:val="clear" w:color="auto" w:fill="auto"/>
            <w:noWrap/>
            <w:vAlign w:val="center"/>
            <w:hideMark/>
          </w:tcPr>
          <w:p w14:paraId="4D90BEC3" w14:textId="330FA99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0.23</w:t>
            </w:r>
          </w:p>
        </w:tc>
      </w:tr>
      <w:tr w:rsidR="00B023C0" w:rsidRPr="00EA5121" w14:paraId="27B35025" w14:textId="77777777" w:rsidTr="003E46D8">
        <w:trPr>
          <w:trHeight w:val="300"/>
          <w:jc w:val="center"/>
        </w:trPr>
        <w:tc>
          <w:tcPr>
            <w:tcW w:w="3402" w:type="dxa"/>
            <w:shd w:val="clear" w:color="auto" w:fill="auto"/>
            <w:noWrap/>
            <w:vAlign w:val="center"/>
            <w:hideMark/>
          </w:tcPr>
          <w:p w14:paraId="3DFAF1E4" w14:textId="7363D28D"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BMI</w:t>
            </w:r>
            <w:r w:rsidRPr="00EA5121">
              <w:rPr>
                <w:rFonts w:eastAsia="Times New Roman" w:cs="Calibri"/>
                <w:b/>
                <w:color w:val="000000"/>
                <w:lang w:eastAsia="fr-FR"/>
              </w:rPr>
              <w:t xml:space="preserve"> </w:t>
            </w:r>
            <w:r>
              <w:rPr>
                <w:rFonts w:eastAsia="Times New Roman" w:cs="Calibri"/>
                <w:b/>
                <w:color w:val="000000"/>
                <w:lang w:eastAsia="fr-FR"/>
              </w:rPr>
              <w:t>(</w:t>
            </w:r>
            <w:r w:rsidRPr="00EA5121">
              <w:rPr>
                <w:rFonts w:eastAsia="Times New Roman" w:cs="Calibri"/>
                <w:b/>
                <w:color w:val="000000"/>
                <w:lang w:eastAsia="fr-FR"/>
              </w:rPr>
              <w:t>kg/m</w:t>
            </w:r>
            <w:r w:rsidRPr="003C1D5C">
              <w:rPr>
                <w:rFonts w:eastAsia="Times New Roman" w:cs="Calibri"/>
                <w:b/>
                <w:color w:val="000000"/>
                <w:vertAlign w:val="superscript"/>
                <w:lang w:eastAsia="fr-FR"/>
              </w:rPr>
              <w:t>2</w:t>
            </w:r>
            <w:r w:rsidRPr="00EA5121">
              <w:rPr>
                <w:rFonts w:eastAsia="Times New Roman" w:cs="Calibri"/>
                <w:b/>
                <w:color w:val="000000"/>
                <w:lang w:eastAsia="fr-FR"/>
              </w:rPr>
              <w:t>) (N=</w:t>
            </w:r>
            <w:r w:rsidR="00744859">
              <w:rPr>
                <w:rFonts w:eastAsia="Times New Roman" w:cs="Calibri"/>
                <w:b/>
                <w:color w:val="000000"/>
                <w:lang w:eastAsia="fr-FR"/>
              </w:rPr>
              <w:t>1212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5F1E8C32"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1F5483C"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9E0F91E"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6C1CD24"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43E79E5E"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062F080D" w14:textId="77777777" w:rsidTr="003E46D8">
        <w:trPr>
          <w:trHeight w:val="300"/>
          <w:jc w:val="center"/>
        </w:trPr>
        <w:tc>
          <w:tcPr>
            <w:tcW w:w="3402" w:type="dxa"/>
            <w:shd w:val="clear" w:color="auto" w:fill="auto"/>
            <w:noWrap/>
            <w:vAlign w:val="center"/>
            <w:hideMark/>
          </w:tcPr>
          <w:p w14:paraId="251666AC"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&lt;=25</w:t>
            </w:r>
            <w:r>
              <w:rPr>
                <w:rFonts w:eastAsia="Times New Roman" w:cs="Calibri"/>
                <w:color w:val="000000"/>
                <w:lang w:eastAsia="fr-FR"/>
              </w:rPr>
              <w:t xml:space="preserve"> </w:t>
            </w:r>
          </w:p>
        </w:tc>
        <w:tc>
          <w:tcPr>
            <w:tcW w:w="1701" w:type="dxa"/>
            <w:shd w:val="clear" w:color="auto" w:fill="auto"/>
            <w:noWrap/>
            <w:vAlign w:val="center"/>
            <w:hideMark/>
          </w:tcPr>
          <w:p w14:paraId="676D960B" w14:textId="5F5DD08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413 (34.08%)</w:t>
            </w:r>
          </w:p>
        </w:tc>
        <w:tc>
          <w:tcPr>
            <w:tcW w:w="1701" w:type="dxa"/>
            <w:shd w:val="clear" w:color="auto" w:fill="auto"/>
            <w:noWrap/>
            <w:vAlign w:val="center"/>
            <w:hideMark/>
          </w:tcPr>
          <w:p w14:paraId="722221B9" w14:textId="57CFE21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397 (34.73%)</w:t>
            </w:r>
          </w:p>
        </w:tc>
        <w:tc>
          <w:tcPr>
            <w:tcW w:w="1701" w:type="dxa"/>
            <w:shd w:val="clear" w:color="auto" w:fill="auto"/>
            <w:noWrap/>
            <w:vAlign w:val="center"/>
            <w:hideMark/>
          </w:tcPr>
          <w:p w14:paraId="2274AE78" w14:textId="57627EB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16 (23.19%)</w:t>
            </w:r>
          </w:p>
        </w:tc>
        <w:tc>
          <w:tcPr>
            <w:tcW w:w="1701" w:type="dxa"/>
            <w:shd w:val="clear" w:color="auto" w:fill="auto"/>
            <w:noWrap/>
            <w:vAlign w:val="center"/>
            <w:hideMark/>
          </w:tcPr>
          <w:p w14:paraId="7155F999" w14:textId="4C0B8E5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0A5551C7" w14:textId="736329A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0.09</w:t>
            </w:r>
          </w:p>
        </w:tc>
      </w:tr>
      <w:tr w:rsidR="00B023C0" w:rsidRPr="00EA5121" w14:paraId="0D98B8BB" w14:textId="77777777" w:rsidTr="003E46D8">
        <w:trPr>
          <w:trHeight w:val="300"/>
          <w:jc w:val="center"/>
        </w:trPr>
        <w:tc>
          <w:tcPr>
            <w:tcW w:w="3402" w:type="dxa"/>
            <w:shd w:val="clear" w:color="auto" w:fill="auto"/>
            <w:noWrap/>
            <w:vAlign w:val="center"/>
            <w:hideMark/>
          </w:tcPr>
          <w:p w14:paraId="55549C82"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]25 - 30]</w:t>
            </w:r>
            <w:r>
              <w:rPr>
                <w:rFonts w:eastAsia="Times New Roman" w:cs="Calibri"/>
                <w:color w:val="000000"/>
                <w:lang w:eastAsia="fr-FR"/>
              </w:rPr>
              <w:t xml:space="preserve"> </w:t>
            </w:r>
          </w:p>
        </w:tc>
        <w:tc>
          <w:tcPr>
            <w:tcW w:w="1701" w:type="dxa"/>
            <w:shd w:val="clear" w:color="auto" w:fill="auto"/>
            <w:noWrap/>
            <w:vAlign w:val="center"/>
            <w:hideMark/>
          </w:tcPr>
          <w:p w14:paraId="2A051380" w14:textId="469F1AB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432 (35.64%)</w:t>
            </w:r>
          </w:p>
        </w:tc>
        <w:tc>
          <w:tcPr>
            <w:tcW w:w="1701" w:type="dxa"/>
            <w:shd w:val="clear" w:color="auto" w:fill="auto"/>
            <w:noWrap/>
            <w:vAlign w:val="center"/>
            <w:hideMark/>
          </w:tcPr>
          <w:p w14:paraId="1FC9DB09" w14:textId="270AB13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400 (35.00%)</w:t>
            </w:r>
          </w:p>
        </w:tc>
        <w:tc>
          <w:tcPr>
            <w:tcW w:w="1701" w:type="dxa"/>
            <w:shd w:val="clear" w:color="auto" w:fill="auto"/>
            <w:noWrap/>
            <w:vAlign w:val="center"/>
            <w:hideMark/>
          </w:tcPr>
          <w:p w14:paraId="1DE4B154" w14:textId="55F1B59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32 (46.38%)</w:t>
            </w:r>
          </w:p>
        </w:tc>
        <w:tc>
          <w:tcPr>
            <w:tcW w:w="1701" w:type="dxa"/>
            <w:shd w:val="clear" w:color="auto" w:fill="auto"/>
            <w:noWrap/>
            <w:vAlign w:val="center"/>
            <w:hideMark/>
          </w:tcPr>
          <w:p w14:paraId="69739ACF" w14:textId="1637DF4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1.99 [1.07;3.68]</w:t>
            </w:r>
          </w:p>
        </w:tc>
        <w:tc>
          <w:tcPr>
            <w:tcW w:w="863" w:type="dxa"/>
            <w:shd w:val="clear" w:color="auto" w:fill="auto"/>
            <w:noWrap/>
            <w:vAlign w:val="center"/>
            <w:hideMark/>
          </w:tcPr>
          <w:p w14:paraId="1306F95A"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3B699AF2" w14:textId="77777777" w:rsidTr="003E46D8">
        <w:trPr>
          <w:trHeight w:val="300"/>
          <w:jc w:val="center"/>
        </w:trPr>
        <w:tc>
          <w:tcPr>
            <w:tcW w:w="3402" w:type="dxa"/>
            <w:shd w:val="clear" w:color="auto" w:fill="auto"/>
            <w:noWrap/>
            <w:vAlign w:val="center"/>
            <w:hideMark/>
          </w:tcPr>
          <w:p w14:paraId="36F398E7"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&gt;30</w:t>
            </w:r>
            <w:r>
              <w:rPr>
                <w:rFonts w:eastAsia="Times New Roman" w:cs="Calibri"/>
                <w:color w:val="000000"/>
                <w:lang w:eastAsia="fr-FR"/>
              </w:rPr>
              <w:t xml:space="preserve"> </w:t>
            </w:r>
          </w:p>
        </w:tc>
        <w:tc>
          <w:tcPr>
            <w:tcW w:w="1701" w:type="dxa"/>
            <w:shd w:val="clear" w:color="auto" w:fill="auto"/>
            <w:noWrap/>
            <w:vAlign w:val="center"/>
            <w:hideMark/>
          </w:tcPr>
          <w:p w14:paraId="3A3DADE2" w14:textId="55DC916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367 (30.28%)</w:t>
            </w:r>
          </w:p>
        </w:tc>
        <w:tc>
          <w:tcPr>
            <w:tcW w:w="1701" w:type="dxa"/>
            <w:shd w:val="clear" w:color="auto" w:fill="auto"/>
            <w:noWrap/>
            <w:vAlign w:val="center"/>
            <w:hideMark/>
          </w:tcPr>
          <w:p w14:paraId="6B449A61" w14:textId="6EA8D43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346 (30.27%)</w:t>
            </w:r>
          </w:p>
        </w:tc>
        <w:tc>
          <w:tcPr>
            <w:tcW w:w="1701" w:type="dxa"/>
            <w:shd w:val="clear" w:color="auto" w:fill="auto"/>
            <w:noWrap/>
            <w:vAlign w:val="center"/>
            <w:hideMark/>
          </w:tcPr>
          <w:p w14:paraId="41E36EEE" w14:textId="772FE63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21 (30.43%)</w:t>
            </w:r>
          </w:p>
        </w:tc>
        <w:tc>
          <w:tcPr>
            <w:tcW w:w="1701" w:type="dxa"/>
            <w:shd w:val="clear" w:color="auto" w:fill="auto"/>
            <w:noWrap/>
            <w:vAlign w:val="center"/>
            <w:hideMark/>
          </w:tcPr>
          <w:p w14:paraId="4D236552" w14:textId="1703B30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1.51 [0.77;2.93]</w:t>
            </w:r>
          </w:p>
        </w:tc>
        <w:tc>
          <w:tcPr>
            <w:tcW w:w="863" w:type="dxa"/>
            <w:shd w:val="clear" w:color="auto" w:fill="auto"/>
            <w:noWrap/>
            <w:vAlign w:val="center"/>
            <w:hideMark/>
          </w:tcPr>
          <w:p w14:paraId="61F2D1DB"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50B61F29" w14:textId="77777777" w:rsidTr="003E46D8">
        <w:trPr>
          <w:trHeight w:val="300"/>
          <w:jc w:val="center"/>
        </w:trPr>
        <w:tc>
          <w:tcPr>
            <w:tcW w:w="3402" w:type="dxa"/>
            <w:shd w:val="clear" w:color="auto" w:fill="auto"/>
            <w:noWrap/>
            <w:vAlign w:val="center"/>
            <w:hideMark/>
          </w:tcPr>
          <w:p w14:paraId="5D6A0E54" w14:textId="074B39C4"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Smoking habits</w:t>
            </w:r>
            <w:r w:rsidRPr="00EA5121">
              <w:rPr>
                <w:rFonts w:eastAsia="Times New Roman" w:cs="Calibri"/>
                <w:b/>
                <w:color w:val="000000"/>
                <w:lang w:eastAsia="fr-FR"/>
              </w:rPr>
              <w:t xml:space="preserve"> (N=</w:t>
            </w:r>
            <w:r w:rsidR="00744859">
              <w:rPr>
                <w:rFonts w:eastAsia="Times New Roman" w:cs="Calibri"/>
                <w:b/>
                <w:color w:val="000000"/>
                <w:lang w:eastAsia="fr-FR"/>
              </w:rPr>
              <w:t>1595</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48B4933E"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52818C7C"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EF75E84"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2F1D642"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12B54F76"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76FED956" w14:textId="77777777" w:rsidTr="003E46D8">
        <w:trPr>
          <w:trHeight w:val="300"/>
          <w:jc w:val="center"/>
        </w:trPr>
        <w:tc>
          <w:tcPr>
            <w:tcW w:w="3402" w:type="dxa"/>
            <w:shd w:val="clear" w:color="auto" w:fill="auto"/>
            <w:noWrap/>
            <w:vAlign w:val="center"/>
            <w:hideMark/>
          </w:tcPr>
          <w:p w14:paraId="75D648B3"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ND</w:t>
            </w:r>
            <w:r>
              <w:rPr>
                <w:rFonts w:eastAsia="Times New Roman" w:cs="Calibri"/>
                <w:color w:val="000000"/>
                <w:lang w:eastAsia="fr-FR"/>
              </w:rPr>
              <w:t xml:space="preserve"> </w:t>
            </w:r>
          </w:p>
        </w:tc>
        <w:tc>
          <w:tcPr>
            <w:tcW w:w="1701" w:type="dxa"/>
            <w:shd w:val="clear" w:color="auto" w:fill="auto"/>
            <w:noWrap/>
            <w:vAlign w:val="center"/>
            <w:hideMark/>
          </w:tcPr>
          <w:p w14:paraId="38AFEEF1" w14:textId="12EA87A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144 (9.03%)</w:t>
            </w:r>
          </w:p>
        </w:tc>
        <w:tc>
          <w:tcPr>
            <w:tcW w:w="1701" w:type="dxa"/>
            <w:shd w:val="clear" w:color="auto" w:fill="auto"/>
            <w:noWrap/>
            <w:vAlign w:val="center"/>
            <w:hideMark/>
          </w:tcPr>
          <w:p w14:paraId="506E6D64" w14:textId="5FEC2E9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137 (9.04%)</w:t>
            </w:r>
          </w:p>
        </w:tc>
        <w:tc>
          <w:tcPr>
            <w:tcW w:w="1701" w:type="dxa"/>
            <w:shd w:val="clear" w:color="auto" w:fill="auto"/>
            <w:noWrap/>
            <w:vAlign w:val="center"/>
            <w:hideMark/>
          </w:tcPr>
          <w:p w14:paraId="37676700" w14:textId="64A2B52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 (8.86%)</w:t>
            </w:r>
          </w:p>
        </w:tc>
        <w:tc>
          <w:tcPr>
            <w:tcW w:w="1701" w:type="dxa"/>
            <w:shd w:val="clear" w:color="auto" w:fill="auto"/>
            <w:noWrap/>
            <w:vAlign w:val="center"/>
            <w:hideMark/>
          </w:tcPr>
          <w:p w14:paraId="14E74464" w14:textId="4881AC0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07377E8F" w14:textId="57CB08E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0.24</w:t>
            </w:r>
          </w:p>
        </w:tc>
      </w:tr>
      <w:tr w:rsidR="00B023C0" w:rsidRPr="00EA5121" w14:paraId="5240CECE" w14:textId="77777777" w:rsidTr="003E46D8">
        <w:trPr>
          <w:trHeight w:val="300"/>
          <w:jc w:val="center"/>
        </w:trPr>
        <w:tc>
          <w:tcPr>
            <w:tcW w:w="3402" w:type="dxa"/>
            <w:shd w:val="clear" w:color="auto" w:fill="auto"/>
            <w:noWrap/>
            <w:vAlign w:val="center"/>
            <w:hideMark/>
          </w:tcPr>
          <w:p w14:paraId="29E4AA96"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4470F703" w14:textId="39EFA96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1180 (73.98%)</w:t>
            </w:r>
          </w:p>
        </w:tc>
        <w:tc>
          <w:tcPr>
            <w:tcW w:w="1701" w:type="dxa"/>
            <w:shd w:val="clear" w:color="auto" w:fill="auto"/>
            <w:noWrap/>
            <w:vAlign w:val="center"/>
            <w:hideMark/>
          </w:tcPr>
          <w:p w14:paraId="3CC1029C" w14:textId="45FDF5E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1116 (73.61%)</w:t>
            </w:r>
          </w:p>
        </w:tc>
        <w:tc>
          <w:tcPr>
            <w:tcW w:w="1701" w:type="dxa"/>
            <w:shd w:val="clear" w:color="auto" w:fill="auto"/>
            <w:noWrap/>
            <w:vAlign w:val="center"/>
            <w:hideMark/>
          </w:tcPr>
          <w:p w14:paraId="538DF050" w14:textId="646FCA8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64 (81.01%)</w:t>
            </w:r>
          </w:p>
        </w:tc>
        <w:tc>
          <w:tcPr>
            <w:tcW w:w="1701" w:type="dxa"/>
            <w:shd w:val="clear" w:color="auto" w:fill="auto"/>
            <w:noWrap/>
            <w:vAlign w:val="center"/>
            <w:hideMark/>
          </w:tcPr>
          <w:p w14:paraId="07491E82" w14:textId="046F8AE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1.12 [0.50;2.50]</w:t>
            </w:r>
          </w:p>
        </w:tc>
        <w:tc>
          <w:tcPr>
            <w:tcW w:w="863" w:type="dxa"/>
            <w:shd w:val="clear" w:color="auto" w:fill="auto"/>
            <w:noWrap/>
            <w:vAlign w:val="center"/>
            <w:hideMark/>
          </w:tcPr>
          <w:p w14:paraId="1B2414DB"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2081753A" w14:textId="77777777" w:rsidTr="003E46D8">
        <w:trPr>
          <w:trHeight w:val="300"/>
          <w:jc w:val="center"/>
        </w:trPr>
        <w:tc>
          <w:tcPr>
            <w:tcW w:w="3402" w:type="dxa"/>
            <w:shd w:val="clear" w:color="auto" w:fill="auto"/>
            <w:noWrap/>
            <w:vAlign w:val="center"/>
            <w:hideMark/>
          </w:tcPr>
          <w:p w14:paraId="1B4A85FC"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1502E386" w14:textId="05F957B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271 (16.99%)</w:t>
            </w:r>
          </w:p>
        </w:tc>
        <w:tc>
          <w:tcPr>
            <w:tcW w:w="1701" w:type="dxa"/>
            <w:shd w:val="clear" w:color="auto" w:fill="auto"/>
            <w:noWrap/>
            <w:vAlign w:val="center"/>
            <w:hideMark/>
          </w:tcPr>
          <w:p w14:paraId="2ADF5064" w14:textId="47A02B3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263 (17.35%)</w:t>
            </w:r>
          </w:p>
        </w:tc>
        <w:tc>
          <w:tcPr>
            <w:tcW w:w="1701" w:type="dxa"/>
            <w:shd w:val="clear" w:color="auto" w:fill="auto"/>
            <w:noWrap/>
            <w:vAlign w:val="center"/>
            <w:hideMark/>
          </w:tcPr>
          <w:p w14:paraId="541BD575" w14:textId="2339798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 (10.13%)</w:t>
            </w:r>
          </w:p>
        </w:tc>
        <w:tc>
          <w:tcPr>
            <w:tcW w:w="1701" w:type="dxa"/>
            <w:shd w:val="clear" w:color="auto" w:fill="auto"/>
            <w:noWrap/>
            <w:vAlign w:val="center"/>
            <w:hideMark/>
          </w:tcPr>
          <w:p w14:paraId="4AD8CE22" w14:textId="5CCE422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0.60 [0.21;1.68]</w:t>
            </w:r>
          </w:p>
        </w:tc>
        <w:tc>
          <w:tcPr>
            <w:tcW w:w="863" w:type="dxa"/>
            <w:shd w:val="clear" w:color="auto" w:fill="auto"/>
            <w:noWrap/>
            <w:vAlign w:val="center"/>
            <w:hideMark/>
          </w:tcPr>
          <w:p w14:paraId="7A68C604"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13749B22" w14:textId="77777777" w:rsidTr="003E46D8">
        <w:trPr>
          <w:trHeight w:val="300"/>
          <w:jc w:val="center"/>
        </w:trPr>
        <w:tc>
          <w:tcPr>
            <w:tcW w:w="3402" w:type="dxa"/>
            <w:shd w:val="clear" w:color="auto" w:fill="auto"/>
            <w:noWrap/>
            <w:vAlign w:val="center"/>
            <w:hideMark/>
          </w:tcPr>
          <w:p w14:paraId="217AE998" w14:textId="5701AA9B"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eastAsia="fr-FR"/>
              </w:rPr>
              <w:t>Alcohol</w:t>
            </w:r>
            <w:proofErr w:type="spellEnd"/>
            <w:r>
              <w:rPr>
                <w:rFonts w:eastAsia="Times New Roman" w:cs="Calibri"/>
                <w:b/>
                <w:color w:val="000000"/>
                <w:lang w:eastAsia="fr-FR"/>
              </w:rPr>
              <w:t xml:space="preserve"> habits</w:t>
            </w:r>
            <w:r w:rsidRPr="00EA5121">
              <w:rPr>
                <w:rFonts w:eastAsia="Times New Roman" w:cs="Calibri"/>
                <w:b/>
                <w:color w:val="000000"/>
                <w:lang w:eastAsia="fr-FR"/>
              </w:rPr>
              <w:t xml:space="preserve"> (N=</w:t>
            </w:r>
            <w:r w:rsidR="00744859">
              <w:rPr>
                <w:rFonts w:eastAsia="Times New Roman" w:cs="Calibri"/>
                <w:b/>
                <w:color w:val="000000"/>
                <w:lang w:eastAsia="fr-FR"/>
              </w:rPr>
              <w:t>1592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0360368D"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D1979E5"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5660248"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57277EB"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736F64A2"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7E69E479" w14:textId="77777777" w:rsidTr="003E46D8">
        <w:trPr>
          <w:trHeight w:val="300"/>
          <w:jc w:val="center"/>
        </w:trPr>
        <w:tc>
          <w:tcPr>
            <w:tcW w:w="3402" w:type="dxa"/>
            <w:shd w:val="clear" w:color="auto" w:fill="auto"/>
            <w:noWrap/>
            <w:vAlign w:val="center"/>
            <w:hideMark/>
          </w:tcPr>
          <w:p w14:paraId="7B7019A0"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ND</w:t>
            </w:r>
            <w:r>
              <w:rPr>
                <w:rFonts w:eastAsia="Times New Roman" w:cs="Calibri"/>
                <w:color w:val="000000"/>
                <w:lang w:eastAsia="fr-FR"/>
              </w:rPr>
              <w:t xml:space="preserve"> </w:t>
            </w:r>
          </w:p>
        </w:tc>
        <w:tc>
          <w:tcPr>
            <w:tcW w:w="1701" w:type="dxa"/>
            <w:shd w:val="clear" w:color="auto" w:fill="auto"/>
            <w:noWrap/>
            <w:vAlign w:val="center"/>
            <w:hideMark/>
          </w:tcPr>
          <w:p w14:paraId="16940AC2" w14:textId="254F33B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198 (12.44%)</w:t>
            </w:r>
          </w:p>
        </w:tc>
        <w:tc>
          <w:tcPr>
            <w:tcW w:w="1701" w:type="dxa"/>
            <w:shd w:val="clear" w:color="auto" w:fill="auto"/>
            <w:noWrap/>
            <w:vAlign w:val="center"/>
            <w:hideMark/>
          </w:tcPr>
          <w:p w14:paraId="486D8313" w14:textId="725DE22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191 (12.63%)</w:t>
            </w:r>
          </w:p>
        </w:tc>
        <w:tc>
          <w:tcPr>
            <w:tcW w:w="1701" w:type="dxa"/>
            <w:shd w:val="clear" w:color="auto" w:fill="auto"/>
            <w:noWrap/>
            <w:vAlign w:val="center"/>
            <w:hideMark/>
          </w:tcPr>
          <w:p w14:paraId="2C4A5E7F" w14:textId="62B41D2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 (8.75%)</w:t>
            </w:r>
          </w:p>
        </w:tc>
        <w:tc>
          <w:tcPr>
            <w:tcW w:w="1701" w:type="dxa"/>
            <w:shd w:val="clear" w:color="auto" w:fill="auto"/>
            <w:noWrap/>
            <w:vAlign w:val="center"/>
            <w:hideMark/>
          </w:tcPr>
          <w:p w14:paraId="3C180BDF" w14:textId="661A127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018C4CC5" w14:textId="44A759E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0.50</w:t>
            </w:r>
          </w:p>
        </w:tc>
      </w:tr>
      <w:tr w:rsidR="00B023C0" w:rsidRPr="00EA5121" w14:paraId="1DFE7223" w14:textId="77777777" w:rsidTr="003E46D8">
        <w:trPr>
          <w:trHeight w:val="300"/>
          <w:jc w:val="center"/>
        </w:trPr>
        <w:tc>
          <w:tcPr>
            <w:tcW w:w="3402" w:type="dxa"/>
            <w:shd w:val="clear" w:color="auto" w:fill="auto"/>
            <w:noWrap/>
            <w:vAlign w:val="center"/>
            <w:hideMark/>
          </w:tcPr>
          <w:p w14:paraId="3F6EFE07"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20143287" w14:textId="5DB6ABC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1273 (79.96%)</w:t>
            </w:r>
          </w:p>
        </w:tc>
        <w:tc>
          <w:tcPr>
            <w:tcW w:w="1701" w:type="dxa"/>
            <w:shd w:val="clear" w:color="auto" w:fill="auto"/>
            <w:noWrap/>
            <w:vAlign w:val="center"/>
            <w:hideMark/>
          </w:tcPr>
          <w:p w14:paraId="41E332AB" w14:textId="002F867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1205 (79.70%)</w:t>
            </w:r>
          </w:p>
        </w:tc>
        <w:tc>
          <w:tcPr>
            <w:tcW w:w="1701" w:type="dxa"/>
            <w:shd w:val="clear" w:color="auto" w:fill="auto"/>
            <w:noWrap/>
            <w:vAlign w:val="center"/>
            <w:hideMark/>
          </w:tcPr>
          <w:p w14:paraId="441BAADB" w14:textId="31D0396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68 (85.00%)</w:t>
            </w:r>
          </w:p>
        </w:tc>
        <w:tc>
          <w:tcPr>
            <w:tcW w:w="1701" w:type="dxa"/>
            <w:shd w:val="clear" w:color="auto" w:fill="auto"/>
            <w:noWrap/>
            <w:vAlign w:val="center"/>
            <w:hideMark/>
          </w:tcPr>
          <w:p w14:paraId="74765A23" w14:textId="6BAC7CB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1.54 [0.70;3.40]</w:t>
            </w:r>
          </w:p>
        </w:tc>
        <w:tc>
          <w:tcPr>
            <w:tcW w:w="863" w:type="dxa"/>
            <w:shd w:val="clear" w:color="auto" w:fill="auto"/>
            <w:noWrap/>
            <w:vAlign w:val="center"/>
            <w:hideMark/>
          </w:tcPr>
          <w:p w14:paraId="7B6CF4F6"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19447661" w14:textId="77777777" w:rsidTr="003E46D8">
        <w:trPr>
          <w:trHeight w:val="300"/>
          <w:jc w:val="center"/>
        </w:trPr>
        <w:tc>
          <w:tcPr>
            <w:tcW w:w="3402" w:type="dxa"/>
            <w:shd w:val="clear" w:color="auto" w:fill="auto"/>
            <w:noWrap/>
            <w:vAlign w:val="center"/>
            <w:hideMark/>
          </w:tcPr>
          <w:p w14:paraId="456D6A6D"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lastRenderedPageBreak/>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1198BCE7" w14:textId="6380FF5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121 (7.60%)</w:t>
            </w:r>
          </w:p>
        </w:tc>
        <w:tc>
          <w:tcPr>
            <w:tcW w:w="1701" w:type="dxa"/>
            <w:shd w:val="clear" w:color="auto" w:fill="auto"/>
            <w:noWrap/>
            <w:vAlign w:val="center"/>
            <w:hideMark/>
          </w:tcPr>
          <w:p w14:paraId="2B93B393" w14:textId="37098DB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116 (7.67%)</w:t>
            </w:r>
          </w:p>
        </w:tc>
        <w:tc>
          <w:tcPr>
            <w:tcW w:w="1701" w:type="dxa"/>
            <w:shd w:val="clear" w:color="auto" w:fill="auto"/>
            <w:noWrap/>
            <w:vAlign w:val="center"/>
            <w:hideMark/>
          </w:tcPr>
          <w:p w14:paraId="5C5CD715" w14:textId="5D0FB03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5 (6.25%)</w:t>
            </w:r>
          </w:p>
        </w:tc>
        <w:tc>
          <w:tcPr>
            <w:tcW w:w="1701" w:type="dxa"/>
            <w:shd w:val="clear" w:color="auto" w:fill="auto"/>
            <w:noWrap/>
            <w:vAlign w:val="center"/>
            <w:hideMark/>
          </w:tcPr>
          <w:p w14:paraId="70B421CF" w14:textId="040EB3B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1.18 [0.36;3.79]</w:t>
            </w:r>
          </w:p>
        </w:tc>
        <w:tc>
          <w:tcPr>
            <w:tcW w:w="863" w:type="dxa"/>
            <w:shd w:val="clear" w:color="auto" w:fill="auto"/>
            <w:noWrap/>
            <w:vAlign w:val="center"/>
            <w:hideMark/>
          </w:tcPr>
          <w:p w14:paraId="4981F297"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1EFFFAE6" w14:textId="77777777" w:rsidTr="003E46D8">
        <w:trPr>
          <w:trHeight w:val="300"/>
          <w:jc w:val="center"/>
        </w:trPr>
        <w:tc>
          <w:tcPr>
            <w:tcW w:w="3402" w:type="dxa"/>
            <w:shd w:val="clear" w:color="auto" w:fill="auto"/>
            <w:noWrap/>
            <w:vAlign w:val="center"/>
            <w:hideMark/>
          </w:tcPr>
          <w:p w14:paraId="727E33D0" w14:textId="388A15EE" w:rsidR="00B023C0" w:rsidRPr="00EA5121" w:rsidRDefault="00B023C0" w:rsidP="00B023C0">
            <w:pPr>
              <w:spacing w:after="0" w:line="240" w:lineRule="auto"/>
              <w:rPr>
                <w:rFonts w:eastAsia="Times New Roman" w:cs="Calibri"/>
                <w:b/>
                <w:color w:val="000000"/>
                <w:lang w:eastAsia="fr-FR"/>
              </w:rPr>
            </w:pPr>
            <w:r w:rsidRPr="00EA5121">
              <w:rPr>
                <w:rFonts w:eastAsia="Times New Roman" w:cs="Calibri"/>
                <w:b/>
                <w:color w:val="000000"/>
                <w:lang w:eastAsia="fr-FR"/>
              </w:rPr>
              <w:t>H</w:t>
            </w:r>
            <w:r>
              <w:rPr>
                <w:rFonts w:eastAsia="Times New Roman" w:cs="Calibri"/>
                <w:b/>
                <w:color w:val="000000"/>
                <w:lang w:eastAsia="fr-FR"/>
              </w:rPr>
              <w:t>ypertension</w:t>
            </w:r>
            <w:r w:rsidRPr="00EA5121">
              <w:rPr>
                <w:rFonts w:eastAsia="Times New Roman" w:cs="Calibri"/>
                <w:b/>
                <w:color w:val="000000"/>
                <w:lang w:eastAsia="fr-FR"/>
              </w:rPr>
              <w:t xml:space="preserve"> (N=</w:t>
            </w:r>
            <w:r w:rsidR="00744859">
              <w:rPr>
                <w:rFonts w:eastAsia="Times New Roman" w:cs="Calibri"/>
                <w:b/>
                <w:color w:val="000000"/>
                <w:lang w:eastAsia="fr-FR"/>
              </w:rPr>
              <w:t>1602)</w:t>
            </w:r>
            <w:r>
              <w:rPr>
                <w:rFonts w:eastAsia="Times New Roman" w:cs="Calibri"/>
                <w:b/>
                <w:color w:val="000000"/>
                <w:lang w:eastAsia="fr-FR"/>
              </w:rPr>
              <w:t xml:space="preserve"> </w:t>
            </w:r>
          </w:p>
        </w:tc>
        <w:tc>
          <w:tcPr>
            <w:tcW w:w="1701" w:type="dxa"/>
            <w:shd w:val="clear" w:color="auto" w:fill="auto"/>
            <w:noWrap/>
            <w:vAlign w:val="center"/>
            <w:hideMark/>
          </w:tcPr>
          <w:p w14:paraId="6E96A4D3"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43E3302"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1378D0D"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B2ADD7A"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467F5C2D"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52A392E1" w14:textId="77777777" w:rsidTr="003E46D8">
        <w:trPr>
          <w:trHeight w:val="300"/>
          <w:jc w:val="center"/>
        </w:trPr>
        <w:tc>
          <w:tcPr>
            <w:tcW w:w="3402" w:type="dxa"/>
            <w:shd w:val="clear" w:color="auto" w:fill="auto"/>
            <w:noWrap/>
            <w:vAlign w:val="center"/>
            <w:hideMark/>
          </w:tcPr>
          <w:p w14:paraId="5D490725"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55A3FC1E" w14:textId="748CCD4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862 (53.81%)</w:t>
            </w:r>
          </w:p>
        </w:tc>
        <w:tc>
          <w:tcPr>
            <w:tcW w:w="1701" w:type="dxa"/>
            <w:shd w:val="clear" w:color="auto" w:fill="auto"/>
            <w:noWrap/>
            <w:vAlign w:val="center"/>
            <w:hideMark/>
          </w:tcPr>
          <w:p w14:paraId="0F0BF766" w14:textId="5C53805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828 (54.40%)</w:t>
            </w:r>
          </w:p>
        </w:tc>
        <w:tc>
          <w:tcPr>
            <w:tcW w:w="1701" w:type="dxa"/>
            <w:shd w:val="clear" w:color="auto" w:fill="auto"/>
            <w:noWrap/>
            <w:vAlign w:val="center"/>
            <w:hideMark/>
          </w:tcPr>
          <w:p w14:paraId="591EB821" w14:textId="0BE8A8C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34 (42.50%)</w:t>
            </w:r>
          </w:p>
        </w:tc>
        <w:tc>
          <w:tcPr>
            <w:tcW w:w="1701" w:type="dxa"/>
            <w:shd w:val="clear" w:color="auto" w:fill="auto"/>
            <w:noWrap/>
            <w:vAlign w:val="center"/>
            <w:hideMark/>
          </w:tcPr>
          <w:p w14:paraId="0A8AAD0C" w14:textId="5EB003E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051D5DC9" w14:textId="332D538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0.0374</w:t>
            </w:r>
          </w:p>
        </w:tc>
      </w:tr>
      <w:tr w:rsidR="00B023C0" w:rsidRPr="00EA5121" w14:paraId="0019C1F3" w14:textId="77777777" w:rsidTr="003E46D8">
        <w:trPr>
          <w:trHeight w:val="300"/>
          <w:jc w:val="center"/>
        </w:trPr>
        <w:tc>
          <w:tcPr>
            <w:tcW w:w="3402" w:type="dxa"/>
            <w:shd w:val="clear" w:color="auto" w:fill="auto"/>
            <w:noWrap/>
            <w:vAlign w:val="center"/>
            <w:hideMark/>
          </w:tcPr>
          <w:p w14:paraId="684697AE"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7735D529" w14:textId="703FE0C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740 (46.19%)</w:t>
            </w:r>
          </w:p>
        </w:tc>
        <w:tc>
          <w:tcPr>
            <w:tcW w:w="1701" w:type="dxa"/>
            <w:shd w:val="clear" w:color="auto" w:fill="auto"/>
            <w:noWrap/>
            <w:vAlign w:val="center"/>
            <w:hideMark/>
          </w:tcPr>
          <w:p w14:paraId="673F75C3" w14:textId="59A76C0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694 (45.60%)</w:t>
            </w:r>
          </w:p>
        </w:tc>
        <w:tc>
          <w:tcPr>
            <w:tcW w:w="1701" w:type="dxa"/>
            <w:shd w:val="clear" w:color="auto" w:fill="auto"/>
            <w:noWrap/>
            <w:vAlign w:val="center"/>
            <w:hideMark/>
          </w:tcPr>
          <w:p w14:paraId="08959B07" w14:textId="162AB0D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46 (57.50%)</w:t>
            </w:r>
          </w:p>
        </w:tc>
        <w:tc>
          <w:tcPr>
            <w:tcW w:w="1701" w:type="dxa"/>
            <w:shd w:val="clear" w:color="auto" w:fill="auto"/>
            <w:noWrap/>
            <w:vAlign w:val="center"/>
            <w:hideMark/>
          </w:tcPr>
          <w:p w14:paraId="6E68FF35" w14:textId="7C1F3A0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1.61 [1.02;2.54]</w:t>
            </w:r>
          </w:p>
        </w:tc>
        <w:tc>
          <w:tcPr>
            <w:tcW w:w="863" w:type="dxa"/>
            <w:shd w:val="clear" w:color="auto" w:fill="auto"/>
            <w:noWrap/>
            <w:vAlign w:val="center"/>
            <w:hideMark/>
          </w:tcPr>
          <w:p w14:paraId="4D137FC7"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782CBB40" w14:textId="77777777" w:rsidTr="003E46D8">
        <w:trPr>
          <w:trHeight w:val="300"/>
          <w:jc w:val="center"/>
        </w:trPr>
        <w:tc>
          <w:tcPr>
            <w:tcW w:w="3402" w:type="dxa"/>
            <w:shd w:val="clear" w:color="auto" w:fill="auto"/>
            <w:noWrap/>
            <w:vAlign w:val="center"/>
            <w:hideMark/>
          </w:tcPr>
          <w:p w14:paraId="773233C8" w14:textId="610A1F46"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eastAsia="fr-FR"/>
              </w:rPr>
              <w:t>Ischemic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cardiopathy</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1601</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5BF97BD0"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D0FC14B"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0770ED9"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28161F0"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18971C7E"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7058BDE1" w14:textId="77777777" w:rsidTr="003E46D8">
        <w:trPr>
          <w:trHeight w:val="300"/>
          <w:jc w:val="center"/>
        </w:trPr>
        <w:tc>
          <w:tcPr>
            <w:tcW w:w="3402" w:type="dxa"/>
            <w:shd w:val="clear" w:color="auto" w:fill="auto"/>
            <w:noWrap/>
            <w:vAlign w:val="center"/>
            <w:hideMark/>
          </w:tcPr>
          <w:p w14:paraId="67189044"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346370DF" w14:textId="6454FA3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1427 (89.13%)</w:t>
            </w:r>
          </w:p>
        </w:tc>
        <w:tc>
          <w:tcPr>
            <w:tcW w:w="1701" w:type="dxa"/>
            <w:shd w:val="clear" w:color="auto" w:fill="auto"/>
            <w:noWrap/>
            <w:vAlign w:val="center"/>
            <w:hideMark/>
          </w:tcPr>
          <w:p w14:paraId="65EDF1A0" w14:textId="3F257B1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1360 (89.36%)</w:t>
            </w:r>
          </w:p>
        </w:tc>
        <w:tc>
          <w:tcPr>
            <w:tcW w:w="1701" w:type="dxa"/>
            <w:shd w:val="clear" w:color="auto" w:fill="auto"/>
            <w:noWrap/>
            <w:vAlign w:val="center"/>
            <w:hideMark/>
          </w:tcPr>
          <w:p w14:paraId="745B866D" w14:textId="0AF3361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67 (84.81%)</w:t>
            </w:r>
          </w:p>
        </w:tc>
        <w:tc>
          <w:tcPr>
            <w:tcW w:w="1701" w:type="dxa"/>
            <w:shd w:val="clear" w:color="auto" w:fill="auto"/>
            <w:noWrap/>
            <w:vAlign w:val="center"/>
            <w:hideMark/>
          </w:tcPr>
          <w:p w14:paraId="7640F4BD" w14:textId="6FD621D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34F9DB24" w14:textId="2289E1B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0.21</w:t>
            </w:r>
          </w:p>
        </w:tc>
      </w:tr>
      <w:tr w:rsidR="00B023C0" w:rsidRPr="00EA5121" w14:paraId="522A0923" w14:textId="77777777" w:rsidTr="003E46D8">
        <w:trPr>
          <w:trHeight w:val="300"/>
          <w:jc w:val="center"/>
        </w:trPr>
        <w:tc>
          <w:tcPr>
            <w:tcW w:w="3402" w:type="dxa"/>
            <w:shd w:val="clear" w:color="auto" w:fill="auto"/>
            <w:noWrap/>
            <w:vAlign w:val="center"/>
            <w:hideMark/>
          </w:tcPr>
          <w:p w14:paraId="17795DB9"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260D34C9" w14:textId="02747B6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174 (10.87%)</w:t>
            </w:r>
          </w:p>
        </w:tc>
        <w:tc>
          <w:tcPr>
            <w:tcW w:w="1701" w:type="dxa"/>
            <w:shd w:val="clear" w:color="auto" w:fill="auto"/>
            <w:noWrap/>
            <w:vAlign w:val="center"/>
            <w:hideMark/>
          </w:tcPr>
          <w:p w14:paraId="63AECDCC" w14:textId="5689DAE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162 (10.64%)</w:t>
            </w:r>
          </w:p>
        </w:tc>
        <w:tc>
          <w:tcPr>
            <w:tcW w:w="1701" w:type="dxa"/>
            <w:shd w:val="clear" w:color="auto" w:fill="auto"/>
            <w:noWrap/>
            <w:vAlign w:val="center"/>
            <w:hideMark/>
          </w:tcPr>
          <w:p w14:paraId="4419EF97" w14:textId="77B314A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 (15.19%)</w:t>
            </w:r>
          </w:p>
        </w:tc>
        <w:tc>
          <w:tcPr>
            <w:tcW w:w="1701" w:type="dxa"/>
            <w:shd w:val="clear" w:color="auto" w:fill="auto"/>
            <w:noWrap/>
            <w:vAlign w:val="center"/>
            <w:hideMark/>
          </w:tcPr>
          <w:p w14:paraId="32093D96" w14:textId="4897E51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1.50 [0.80;2.84]</w:t>
            </w:r>
          </w:p>
        </w:tc>
        <w:tc>
          <w:tcPr>
            <w:tcW w:w="863" w:type="dxa"/>
            <w:shd w:val="clear" w:color="auto" w:fill="auto"/>
            <w:noWrap/>
            <w:vAlign w:val="center"/>
            <w:hideMark/>
          </w:tcPr>
          <w:p w14:paraId="278C7325"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435B1A3F" w14:textId="77777777" w:rsidTr="003E46D8">
        <w:trPr>
          <w:trHeight w:val="300"/>
          <w:jc w:val="center"/>
        </w:trPr>
        <w:tc>
          <w:tcPr>
            <w:tcW w:w="3402" w:type="dxa"/>
            <w:shd w:val="clear" w:color="auto" w:fill="auto"/>
            <w:noWrap/>
            <w:vAlign w:val="center"/>
            <w:hideMark/>
          </w:tcPr>
          <w:p w14:paraId="31AD747C" w14:textId="7936BC78"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eastAsia="fr-FR"/>
              </w:rPr>
              <w:t>Chronic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heart</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failure</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1601</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665A7AAF"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82169E9"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4E8DD6B"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483408B"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5A4FD2E9"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1C808E61" w14:textId="77777777" w:rsidTr="003E46D8">
        <w:trPr>
          <w:trHeight w:val="300"/>
          <w:jc w:val="center"/>
        </w:trPr>
        <w:tc>
          <w:tcPr>
            <w:tcW w:w="3402" w:type="dxa"/>
            <w:shd w:val="clear" w:color="auto" w:fill="auto"/>
            <w:noWrap/>
            <w:vAlign w:val="center"/>
            <w:hideMark/>
          </w:tcPr>
          <w:p w14:paraId="190AC86B"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4DB76911" w14:textId="3EC315A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1531 (95.57%)</w:t>
            </w:r>
          </w:p>
        </w:tc>
        <w:tc>
          <w:tcPr>
            <w:tcW w:w="1701" w:type="dxa"/>
            <w:shd w:val="clear" w:color="auto" w:fill="auto"/>
            <w:noWrap/>
            <w:vAlign w:val="center"/>
            <w:hideMark/>
          </w:tcPr>
          <w:p w14:paraId="104693DC" w14:textId="415DB00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1457 (95.73%)</w:t>
            </w:r>
          </w:p>
        </w:tc>
        <w:tc>
          <w:tcPr>
            <w:tcW w:w="1701" w:type="dxa"/>
            <w:shd w:val="clear" w:color="auto" w:fill="auto"/>
            <w:noWrap/>
            <w:vAlign w:val="center"/>
            <w:hideMark/>
          </w:tcPr>
          <w:p w14:paraId="7EA31ADC" w14:textId="6EC857C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74 (92.50%)</w:t>
            </w:r>
          </w:p>
        </w:tc>
        <w:tc>
          <w:tcPr>
            <w:tcW w:w="1701" w:type="dxa"/>
            <w:shd w:val="clear" w:color="auto" w:fill="auto"/>
            <w:noWrap/>
            <w:vAlign w:val="center"/>
            <w:hideMark/>
          </w:tcPr>
          <w:p w14:paraId="524A761D" w14:textId="42DA514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0DA20AAF" w14:textId="1955838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0.16</w:t>
            </w:r>
          </w:p>
        </w:tc>
      </w:tr>
      <w:tr w:rsidR="00B023C0" w:rsidRPr="00EA5121" w14:paraId="5493EF2B" w14:textId="77777777" w:rsidTr="003E46D8">
        <w:trPr>
          <w:trHeight w:val="300"/>
          <w:jc w:val="center"/>
        </w:trPr>
        <w:tc>
          <w:tcPr>
            <w:tcW w:w="3402" w:type="dxa"/>
            <w:shd w:val="clear" w:color="auto" w:fill="auto"/>
            <w:noWrap/>
            <w:vAlign w:val="center"/>
            <w:hideMark/>
          </w:tcPr>
          <w:p w14:paraId="0AE2D890"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3B9ABE11" w14:textId="350AFD0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71 (4.43%)</w:t>
            </w:r>
          </w:p>
        </w:tc>
        <w:tc>
          <w:tcPr>
            <w:tcW w:w="1701" w:type="dxa"/>
            <w:shd w:val="clear" w:color="auto" w:fill="auto"/>
            <w:noWrap/>
            <w:vAlign w:val="center"/>
            <w:hideMark/>
          </w:tcPr>
          <w:p w14:paraId="3A7A5D08" w14:textId="21F1AFA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65 (4.27%)</w:t>
            </w:r>
          </w:p>
        </w:tc>
        <w:tc>
          <w:tcPr>
            <w:tcW w:w="1701" w:type="dxa"/>
            <w:shd w:val="clear" w:color="auto" w:fill="auto"/>
            <w:noWrap/>
            <w:vAlign w:val="center"/>
            <w:hideMark/>
          </w:tcPr>
          <w:p w14:paraId="034FC0FF" w14:textId="63D8011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 (7.50%)</w:t>
            </w:r>
          </w:p>
        </w:tc>
        <w:tc>
          <w:tcPr>
            <w:tcW w:w="1701" w:type="dxa"/>
            <w:shd w:val="clear" w:color="auto" w:fill="auto"/>
            <w:noWrap/>
            <w:vAlign w:val="center"/>
            <w:hideMark/>
          </w:tcPr>
          <w:p w14:paraId="25AB95E2" w14:textId="0126270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1.82 [0.76;4.33]</w:t>
            </w:r>
          </w:p>
        </w:tc>
        <w:tc>
          <w:tcPr>
            <w:tcW w:w="863" w:type="dxa"/>
            <w:shd w:val="clear" w:color="auto" w:fill="auto"/>
            <w:noWrap/>
            <w:vAlign w:val="center"/>
            <w:hideMark/>
          </w:tcPr>
          <w:p w14:paraId="42A1CF21"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0BEE33BE" w14:textId="77777777" w:rsidTr="003E46D8">
        <w:trPr>
          <w:trHeight w:val="300"/>
          <w:jc w:val="center"/>
        </w:trPr>
        <w:tc>
          <w:tcPr>
            <w:tcW w:w="3402" w:type="dxa"/>
            <w:shd w:val="clear" w:color="auto" w:fill="auto"/>
            <w:noWrap/>
            <w:vAlign w:val="center"/>
            <w:hideMark/>
          </w:tcPr>
          <w:p w14:paraId="4A4B17B7" w14:textId="63A66D1C" w:rsidR="00B023C0" w:rsidRPr="00EA5121" w:rsidRDefault="00B023C0" w:rsidP="00B023C0">
            <w:pPr>
              <w:spacing w:after="0" w:line="240" w:lineRule="auto"/>
              <w:rPr>
                <w:rFonts w:eastAsia="Times New Roman" w:cs="Calibri"/>
                <w:b/>
                <w:color w:val="000000"/>
                <w:lang w:eastAsia="fr-FR"/>
              </w:rPr>
            </w:pPr>
            <w:proofErr w:type="spellStart"/>
            <w:r w:rsidRPr="00EA5121">
              <w:rPr>
                <w:rFonts w:eastAsia="Times New Roman" w:cs="Calibri"/>
                <w:b/>
                <w:color w:val="000000"/>
                <w:lang w:eastAsia="fr-FR"/>
              </w:rPr>
              <w:t>Diab</w:t>
            </w:r>
            <w:r>
              <w:rPr>
                <w:rFonts w:eastAsia="Times New Roman" w:cs="Calibri"/>
                <w:b/>
                <w:color w:val="000000"/>
                <w:lang w:eastAsia="fr-FR"/>
              </w:rPr>
              <w:t>etes</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mellitus</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1601</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3DD9B22E"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3955B5C"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3DED1A7"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61DEFD3"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05864ABF"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445F94B0" w14:textId="77777777" w:rsidTr="003E46D8">
        <w:trPr>
          <w:trHeight w:val="300"/>
          <w:jc w:val="center"/>
        </w:trPr>
        <w:tc>
          <w:tcPr>
            <w:tcW w:w="3402" w:type="dxa"/>
            <w:shd w:val="clear" w:color="auto" w:fill="auto"/>
            <w:noWrap/>
            <w:vAlign w:val="center"/>
            <w:hideMark/>
          </w:tcPr>
          <w:p w14:paraId="4C43B5E5"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5CA60308" w14:textId="2BAC338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1246 (77.83%)</w:t>
            </w:r>
          </w:p>
        </w:tc>
        <w:tc>
          <w:tcPr>
            <w:tcW w:w="1701" w:type="dxa"/>
            <w:shd w:val="clear" w:color="auto" w:fill="auto"/>
            <w:noWrap/>
            <w:vAlign w:val="center"/>
            <w:hideMark/>
          </w:tcPr>
          <w:p w14:paraId="67CF38DF" w14:textId="3A14759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1191 (78.30%)</w:t>
            </w:r>
          </w:p>
        </w:tc>
        <w:tc>
          <w:tcPr>
            <w:tcW w:w="1701" w:type="dxa"/>
            <w:shd w:val="clear" w:color="auto" w:fill="auto"/>
            <w:noWrap/>
            <w:vAlign w:val="center"/>
            <w:hideMark/>
          </w:tcPr>
          <w:p w14:paraId="13C5C397" w14:textId="4574C04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55 (68.75%)</w:t>
            </w:r>
          </w:p>
        </w:tc>
        <w:tc>
          <w:tcPr>
            <w:tcW w:w="1701" w:type="dxa"/>
            <w:shd w:val="clear" w:color="auto" w:fill="auto"/>
            <w:noWrap/>
            <w:vAlign w:val="center"/>
            <w:hideMark/>
          </w:tcPr>
          <w:p w14:paraId="24ED4602" w14:textId="4242873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3DA37F83" w14:textId="5824F87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0.0450</w:t>
            </w:r>
          </w:p>
        </w:tc>
      </w:tr>
      <w:tr w:rsidR="00B023C0" w:rsidRPr="00EA5121" w14:paraId="1CFCB852" w14:textId="77777777" w:rsidTr="003E46D8">
        <w:trPr>
          <w:trHeight w:val="300"/>
          <w:jc w:val="center"/>
        </w:trPr>
        <w:tc>
          <w:tcPr>
            <w:tcW w:w="3402" w:type="dxa"/>
            <w:shd w:val="clear" w:color="auto" w:fill="auto"/>
            <w:noWrap/>
            <w:vAlign w:val="center"/>
            <w:hideMark/>
          </w:tcPr>
          <w:p w14:paraId="21D80473"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772F6174" w14:textId="4260039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355 (22.17%)</w:t>
            </w:r>
          </w:p>
        </w:tc>
        <w:tc>
          <w:tcPr>
            <w:tcW w:w="1701" w:type="dxa"/>
            <w:shd w:val="clear" w:color="auto" w:fill="auto"/>
            <w:noWrap/>
            <w:vAlign w:val="center"/>
            <w:hideMark/>
          </w:tcPr>
          <w:p w14:paraId="6FBA8963" w14:textId="0394283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330 (21.70%)</w:t>
            </w:r>
          </w:p>
        </w:tc>
        <w:tc>
          <w:tcPr>
            <w:tcW w:w="1701" w:type="dxa"/>
            <w:shd w:val="clear" w:color="auto" w:fill="auto"/>
            <w:noWrap/>
            <w:vAlign w:val="center"/>
            <w:hideMark/>
          </w:tcPr>
          <w:p w14:paraId="62358A88" w14:textId="7341A37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25 (31.25%)</w:t>
            </w:r>
          </w:p>
        </w:tc>
        <w:tc>
          <w:tcPr>
            <w:tcW w:w="1701" w:type="dxa"/>
            <w:shd w:val="clear" w:color="auto" w:fill="auto"/>
            <w:noWrap/>
            <w:vAlign w:val="center"/>
            <w:hideMark/>
          </w:tcPr>
          <w:p w14:paraId="3B106F14" w14:textId="7BD9A91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1.64 [1.01;2.67]</w:t>
            </w:r>
          </w:p>
        </w:tc>
        <w:tc>
          <w:tcPr>
            <w:tcW w:w="863" w:type="dxa"/>
            <w:shd w:val="clear" w:color="auto" w:fill="auto"/>
            <w:noWrap/>
            <w:vAlign w:val="center"/>
            <w:hideMark/>
          </w:tcPr>
          <w:p w14:paraId="00822CC8"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35BDA3E7" w14:textId="77777777" w:rsidTr="003E46D8">
        <w:trPr>
          <w:trHeight w:val="300"/>
          <w:jc w:val="center"/>
        </w:trPr>
        <w:tc>
          <w:tcPr>
            <w:tcW w:w="3402" w:type="dxa"/>
            <w:shd w:val="clear" w:color="auto" w:fill="auto"/>
            <w:noWrap/>
            <w:vAlign w:val="center"/>
            <w:hideMark/>
          </w:tcPr>
          <w:p w14:paraId="2637D618" w14:textId="284F9C01" w:rsidR="00B023C0" w:rsidRPr="00EA5121" w:rsidRDefault="00B023C0" w:rsidP="00B023C0">
            <w:pPr>
              <w:spacing w:after="0" w:line="240" w:lineRule="auto"/>
              <w:rPr>
                <w:rFonts w:eastAsia="Times New Roman" w:cs="Calibri"/>
                <w:b/>
                <w:color w:val="000000"/>
                <w:lang w:eastAsia="fr-FR"/>
              </w:rPr>
            </w:pPr>
            <w:r w:rsidRPr="00EA5121">
              <w:rPr>
                <w:rFonts w:eastAsia="Times New Roman" w:cs="Calibri"/>
                <w:b/>
                <w:color w:val="000000"/>
                <w:lang w:eastAsia="fr-FR"/>
              </w:rPr>
              <w:t>Immuno</w:t>
            </w:r>
            <w:r>
              <w:rPr>
                <w:rFonts w:eastAsia="Times New Roman" w:cs="Calibri"/>
                <w:b/>
                <w:color w:val="000000"/>
                <w:lang w:eastAsia="fr-FR"/>
              </w:rPr>
              <w:t xml:space="preserve">suppressive </w:t>
            </w:r>
            <w:proofErr w:type="spellStart"/>
            <w:r>
              <w:rPr>
                <w:rFonts w:eastAsia="Times New Roman" w:cs="Calibri"/>
                <w:b/>
                <w:color w:val="000000"/>
                <w:lang w:eastAsia="fr-FR"/>
              </w:rPr>
              <w:t>treatment</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471D0D74"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099FC36"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E6D7669"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8648F54"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44DB8D04"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1C4ECD2C" w14:textId="77777777" w:rsidTr="003E46D8">
        <w:trPr>
          <w:trHeight w:val="300"/>
          <w:jc w:val="center"/>
        </w:trPr>
        <w:tc>
          <w:tcPr>
            <w:tcW w:w="3402" w:type="dxa"/>
            <w:shd w:val="clear" w:color="auto" w:fill="auto"/>
            <w:noWrap/>
            <w:vAlign w:val="center"/>
            <w:hideMark/>
          </w:tcPr>
          <w:p w14:paraId="47459967"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541ADF01" w14:textId="1D004E5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1518 (94.76%)</w:t>
            </w:r>
          </w:p>
        </w:tc>
        <w:tc>
          <w:tcPr>
            <w:tcW w:w="1701" w:type="dxa"/>
            <w:shd w:val="clear" w:color="auto" w:fill="auto"/>
            <w:noWrap/>
            <w:vAlign w:val="center"/>
            <w:hideMark/>
          </w:tcPr>
          <w:p w14:paraId="25EA1A5B" w14:textId="0320BEA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1439 (94.55%)</w:t>
            </w:r>
          </w:p>
        </w:tc>
        <w:tc>
          <w:tcPr>
            <w:tcW w:w="1701" w:type="dxa"/>
            <w:shd w:val="clear" w:color="auto" w:fill="auto"/>
            <w:noWrap/>
            <w:vAlign w:val="center"/>
            <w:hideMark/>
          </w:tcPr>
          <w:p w14:paraId="2101EB9A" w14:textId="1FCF88C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79 (98.75%)</w:t>
            </w:r>
          </w:p>
        </w:tc>
        <w:tc>
          <w:tcPr>
            <w:tcW w:w="1701" w:type="dxa"/>
            <w:shd w:val="clear" w:color="auto" w:fill="auto"/>
            <w:noWrap/>
            <w:vAlign w:val="center"/>
            <w:hideMark/>
          </w:tcPr>
          <w:p w14:paraId="61B844EA" w14:textId="55CD7D1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7538BA45" w14:textId="62BA5E8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0.12</w:t>
            </w:r>
          </w:p>
        </w:tc>
      </w:tr>
      <w:tr w:rsidR="00B023C0" w:rsidRPr="00EA5121" w14:paraId="41EF4CE7" w14:textId="77777777" w:rsidTr="003E46D8">
        <w:trPr>
          <w:trHeight w:val="300"/>
          <w:jc w:val="center"/>
        </w:trPr>
        <w:tc>
          <w:tcPr>
            <w:tcW w:w="3402" w:type="dxa"/>
            <w:shd w:val="clear" w:color="auto" w:fill="auto"/>
            <w:noWrap/>
            <w:vAlign w:val="center"/>
            <w:hideMark/>
          </w:tcPr>
          <w:p w14:paraId="1621DE3D"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2C57880D" w14:textId="749BB1B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84 (5.24%)</w:t>
            </w:r>
          </w:p>
        </w:tc>
        <w:tc>
          <w:tcPr>
            <w:tcW w:w="1701" w:type="dxa"/>
            <w:shd w:val="clear" w:color="auto" w:fill="auto"/>
            <w:noWrap/>
            <w:vAlign w:val="center"/>
            <w:hideMark/>
          </w:tcPr>
          <w:p w14:paraId="350B35E9" w14:textId="1C6C073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83 (5.45%)</w:t>
            </w:r>
          </w:p>
        </w:tc>
        <w:tc>
          <w:tcPr>
            <w:tcW w:w="1701" w:type="dxa"/>
            <w:shd w:val="clear" w:color="auto" w:fill="auto"/>
            <w:noWrap/>
            <w:vAlign w:val="center"/>
            <w:hideMark/>
          </w:tcPr>
          <w:p w14:paraId="0A2007A9" w14:textId="4FDCC97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 (1.25%)</w:t>
            </w:r>
          </w:p>
        </w:tc>
        <w:tc>
          <w:tcPr>
            <w:tcW w:w="1701" w:type="dxa"/>
            <w:shd w:val="clear" w:color="auto" w:fill="auto"/>
            <w:noWrap/>
            <w:vAlign w:val="center"/>
            <w:hideMark/>
          </w:tcPr>
          <w:p w14:paraId="09D293F9" w14:textId="5FBA762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0.22 [0.03;1.60]</w:t>
            </w:r>
          </w:p>
        </w:tc>
        <w:tc>
          <w:tcPr>
            <w:tcW w:w="863" w:type="dxa"/>
            <w:shd w:val="clear" w:color="auto" w:fill="auto"/>
            <w:noWrap/>
            <w:vAlign w:val="center"/>
            <w:hideMark/>
          </w:tcPr>
          <w:p w14:paraId="6E83660F"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3A801407" w14:textId="77777777" w:rsidTr="003E46D8">
        <w:trPr>
          <w:trHeight w:val="300"/>
          <w:jc w:val="center"/>
        </w:trPr>
        <w:tc>
          <w:tcPr>
            <w:tcW w:w="3402" w:type="dxa"/>
            <w:shd w:val="clear" w:color="auto" w:fill="auto"/>
            <w:noWrap/>
            <w:vAlign w:val="center"/>
            <w:hideMark/>
          </w:tcPr>
          <w:p w14:paraId="146612B6" w14:textId="7E9FD0A7" w:rsidR="00B023C0" w:rsidRPr="00EA5121" w:rsidRDefault="00B023C0" w:rsidP="00B023C0">
            <w:pPr>
              <w:spacing w:after="0" w:line="240" w:lineRule="auto"/>
              <w:rPr>
                <w:rFonts w:eastAsia="Times New Roman" w:cs="Calibri"/>
                <w:b/>
                <w:color w:val="000000"/>
                <w:lang w:eastAsia="fr-FR"/>
              </w:rPr>
            </w:pPr>
            <w:proofErr w:type="spellStart"/>
            <w:r w:rsidRPr="00EA5121">
              <w:rPr>
                <w:rFonts w:eastAsia="Times New Roman" w:cs="Calibri"/>
                <w:b/>
                <w:color w:val="000000"/>
                <w:lang w:eastAsia="fr-FR"/>
              </w:rPr>
              <w:t>I</w:t>
            </w:r>
            <w:r>
              <w:rPr>
                <w:rFonts w:eastAsia="Times New Roman" w:cs="Calibri"/>
                <w:b/>
                <w:color w:val="000000"/>
                <w:lang w:eastAsia="fr-FR"/>
              </w:rPr>
              <w:t>nfectious</w:t>
            </w:r>
            <w:proofErr w:type="spellEnd"/>
            <w:r>
              <w:rPr>
                <w:rFonts w:eastAsia="Times New Roman" w:cs="Calibri"/>
                <w:b/>
                <w:color w:val="000000"/>
                <w:lang w:eastAsia="fr-FR"/>
              </w:rPr>
              <w:t xml:space="preserve"> </w:t>
            </w:r>
            <w:proofErr w:type="spellStart"/>
            <w:r w:rsidRPr="00EA5121">
              <w:rPr>
                <w:rFonts w:eastAsia="Times New Roman" w:cs="Calibri"/>
                <w:b/>
                <w:color w:val="000000"/>
                <w:lang w:eastAsia="fr-FR"/>
              </w:rPr>
              <w:t>mmunod</w:t>
            </w:r>
            <w:r>
              <w:rPr>
                <w:rFonts w:eastAsia="Times New Roman" w:cs="Calibri"/>
                <w:b/>
                <w:color w:val="000000"/>
                <w:lang w:eastAsia="fr-FR"/>
              </w:rPr>
              <w:t>e</w:t>
            </w:r>
            <w:r w:rsidRPr="00EA5121">
              <w:rPr>
                <w:rFonts w:eastAsia="Times New Roman" w:cs="Calibri"/>
                <w:b/>
                <w:color w:val="000000"/>
                <w:lang w:eastAsia="fr-FR"/>
              </w:rPr>
              <w:t>pression</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2AE88CF6"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6747FBA"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E54CB8D"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611B6EB"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70A30EEA"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5EF4E2AD" w14:textId="77777777" w:rsidTr="003E46D8">
        <w:trPr>
          <w:trHeight w:val="300"/>
          <w:jc w:val="center"/>
        </w:trPr>
        <w:tc>
          <w:tcPr>
            <w:tcW w:w="3402" w:type="dxa"/>
            <w:shd w:val="clear" w:color="auto" w:fill="auto"/>
            <w:noWrap/>
            <w:vAlign w:val="center"/>
            <w:hideMark/>
          </w:tcPr>
          <w:p w14:paraId="5E8D3578"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6A493022" w14:textId="6BA004A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1580 (98.63%)</w:t>
            </w:r>
          </w:p>
        </w:tc>
        <w:tc>
          <w:tcPr>
            <w:tcW w:w="1701" w:type="dxa"/>
            <w:shd w:val="clear" w:color="auto" w:fill="auto"/>
            <w:noWrap/>
            <w:vAlign w:val="center"/>
            <w:hideMark/>
          </w:tcPr>
          <w:p w14:paraId="14C865A4" w14:textId="200B612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1500 (98.55%)</w:t>
            </w:r>
          </w:p>
        </w:tc>
        <w:tc>
          <w:tcPr>
            <w:tcW w:w="1701" w:type="dxa"/>
            <w:shd w:val="clear" w:color="auto" w:fill="auto"/>
            <w:noWrap/>
            <w:vAlign w:val="center"/>
            <w:hideMark/>
          </w:tcPr>
          <w:p w14:paraId="66EFFD86" w14:textId="467CB90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80 (100.00%)</w:t>
            </w:r>
          </w:p>
        </w:tc>
        <w:tc>
          <w:tcPr>
            <w:tcW w:w="1701" w:type="dxa"/>
            <w:shd w:val="clear" w:color="auto" w:fill="auto"/>
            <w:noWrap/>
            <w:vAlign w:val="center"/>
            <w:hideMark/>
          </w:tcPr>
          <w:p w14:paraId="1FDDD952" w14:textId="230B24B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1CE6D7E3" w14:textId="67193B9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0.62</w:t>
            </w:r>
          </w:p>
        </w:tc>
      </w:tr>
      <w:tr w:rsidR="00B023C0" w:rsidRPr="00EA5121" w14:paraId="5C1A8B65" w14:textId="77777777" w:rsidTr="003E46D8">
        <w:trPr>
          <w:trHeight w:val="300"/>
          <w:jc w:val="center"/>
        </w:trPr>
        <w:tc>
          <w:tcPr>
            <w:tcW w:w="3402" w:type="dxa"/>
            <w:shd w:val="clear" w:color="auto" w:fill="auto"/>
            <w:noWrap/>
            <w:vAlign w:val="center"/>
            <w:hideMark/>
          </w:tcPr>
          <w:p w14:paraId="73A8DE10"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305BF623" w14:textId="5114415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22 (1.37%)</w:t>
            </w:r>
          </w:p>
        </w:tc>
        <w:tc>
          <w:tcPr>
            <w:tcW w:w="1701" w:type="dxa"/>
            <w:shd w:val="clear" w:color="auto" w:fill="auto"/>
            <w:noWrap/>
            <w:vAlign w:val="center"/>
            <w:hideMark/>
          </w:tcPr>
          <w:p w14:paraId="52FE6CF6" w14:textId="60970CC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22 (1.45%)</w:t>
            </w:r>
          </w:p>
        </w:tc>
        <w:tc>
          <w:tcPr>
            <w:tcW w:w="1701" w:type="dxa"/>
            <w:shd w:val="clear" w:color="auto" w:fill="auto"/>
            <w:noWrap/>
            <w:vAlign w:val="center"/>
            <w:hideMark/>
          </w:tcPr>
          <w:p w14:paraId="05A707D1" w14:textId="3FC2881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 (0.00%)</w:t>
            </w:r>
          </w:p>
        </w:tc>
        <w:tc>
          <w:tcPr>
            <w:tcW w:w="1701" w:type="dxa"/>
            <w:shd w:val="clear" w:color="auto" w:fill="auto"/>
            <w:noWrap/>
            <w:vAlign w:val="center"/>
            <w:hideMark/>
          </w:tcPr>
          <w:p w14:paraId="73E3865C" w14:textId="0BAA3DE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w:t>
            </w:r>
          </w:p>
        </w:tc>
        <w:tc>
          <w:tcPr>
            <w:tcW w:w="863" w:type="dxa"/>
            <w:shd w:val="clear" w:color="auto" w:fill="auto"/>
            <w:noWrap/>
            <w:vAlign w:val="center"/>
            <w:hideMark/>
          </w:tcPr>
          <w:p w14:paraId="7AA6626B"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09503D" w14:paraId="0149A672" w14:textId="77777777" w:rsidTr="003E46D8">
        <w:trPr>
          <w:trHeight w:val="300"/>
          <w:jc w:val="center"/>
        </w:trPr>
        <w:tc>
          <w:tcPr>
            <w:tcW w:w="3402" w:type="dxa"/>
            <w:shd w:val="clear" w:color="auto" w:fill="auto"/>
            <w:noWrap/>
            <w:vAlign w:val="center"/>
            <w:hideMark/>
          </w:tcPr>
          <w:p w14:paraId="01628A85" w14:textId="764BCDBC" w:rsidR="00B023C0" w:rsidRPr="00C72B82" w:rsidRDefault="00B023C0" w:rsidP="00B023C0">
            <w:pPr>
              <w:spacing w:after="0" w:line="240" w:lineRule="auto"/>
              <w:rPr>
                <w:rFonts w:eastAsia="Times New Roman" w:cs="Calibri"/>
                <w:b/>
                <w:color w:val="000000"/>
                <w:lang w:val="en-US" w:eastAsia="fr-FR"/>
              </w:rPr>
            </w:pPr>
            <w:r w:rsidRPr="00C72B82">
              <w:rPr>
                <w:rFonts w:eastAsia="Times New Roman" w:cs="Calibri"/>
                <w:b/>
                <w:color w:val="000000"/>
                <w:lang w:val="en-US" w:eastAsia="fr-FR"/>
              </w:rPr>
              <w:t xml:space="preserve">Gastric or duodenal </w:t>
            </w:r>
            <w:r>
              <w:rPr>
                <w:rFonts w:eastAsia="Times New Roman" w:cs="Calibri"/>
                <w:b/>
                <w:color w:val="000000"/>
                <w:lang w:val="en-US" w:eastAsia="fr-FR"/>
              </w:rPr>
              <w:t xml:space="preserve">peptic </w:t>
            </w:r>
            <w:proofErr w:type="spellStart"/>
            <w:r w:rsidRPr="00C72B82">
              <w:rPr>
                <w:rFonts w:eastAsia="Times New Roman" w:cs="Calibri"/>
                <w:b/>
                <w:color w:val="000000"/>
                <w:lang w:val="en-US" w:eastAsia="fr-FR"/>
              </w:rPr>
              <w:t>ucler</w:t>
            </w:r>
            <w:proofErr w:type="spellEnd"/>
            <w:r w:rsidRPr="00C72B82">
              <w:rPr>
                <w:rFonts w:eastAsia="Times New Roman" w:cs="Calibri"/>
                <w:b/>
                <w:color w:val="000000"/>
                <w:lang w:val="en-US" w:eastAsia="fr-FR"/>
              </w:rPr>
              <w:t xml:space="preserve"> (N=</w:t>
            </w:r>
            <w:r w:rsidR="00744859">
              <w:rPr>
                <w:rFonts w:eastAsia="Times New Roman" w:cs="Calibri"/>
                <w:b/>
                <w:color w:val="000000"/>
                <w:lang w:val="en-US" w:eastAsia="fr-FR"/>
              </w:rPr>
              <w:t>1602</w:t>
            </w:r>
            <w:r w:rsidRPr="00C72B82">
              <w:rPr>
                <w:rFonts w:eastAsia="Times New Roman" w:cs="Calibri"/>
                <w:b/>
                <w:color w:val="000000"/>
                <w:lang w:val="en-US" w:eastAsia="fr-FR"/>
              </w:rPr>
              <w:t xml:space="preserve">) </w:t>
            </w:r>
          </w:p>
        </w:tc>
        <w:tc>
          <w:tcPr>
            <w:tcW w:w="1701" w:type="dxa"/>
            <w:shd w:val="clear" w:color="auto" w:fill="auto"/>
            <w:noWrap/>
            <w:vAlign w:val="center"/>
            <w:hideMark/>
          </w:tcPr>
          <w:p w14:paraId="3C68C837" w14:textId="77777777" w:rsidR="00B023C0" w:rsidRPr="00C72B82" w:rsidRDefault="00B023C0" w:rsidP="00B023C0">
            <w:pPr>
              <w:spacing w:after="0" w:line="240" w:lineRule="auto"/>
              <w:rPr>
                <w:rFonts w:eastAsia="Times New Roman" w:cs="Calibri"/>
                <w:b/>
                <w:color w:val="000000"/>
                <w:lang w:val="en-US" w:eastAsia="fr-FR"/>
              </w:rPr>
            </w:pPr>
          </w:p>
        </w:tc>
        <w:tc>
          <w:tcPr>
            <w:tcW w:w="1701" w:type="dxa"/>
            <w:shd w:val="clear" w:color="auto" w:fill="auto"/>
            <w:noWrap/>
            <w:vAlign w:val="center"/>
            <w:hideMark/>
          </w:tcPr>
          <w:p w14:paraId="1AD5ACCB" w14:textId="77777777" w:rsidR="00B023C0" w:rsidRPr="00C72B82" w:rsidRDefault="00B023C0" w:rsidP="00B023C0">
            <w:pPr>
              <w:spacing w:after="0" w:line="240" w:lineRule="auto"/>
              <w:rPr>
                <w:rFonts w:eastAsia="Times New Roman" w:cs="Calibri"/>
                <w:b/>
                <w:color w:val="000000"/>
                <w:lang w:val="en-US" w:eastAsia="fr-FR"/>
              </w:rPr>
            </w:pPr>
          </w:p>
        </w:tc>
        <w:tc>
          <w:tcPr>
            <w:tcW w:w="1701" w:type="dxa"/>
            <w:shd w:val="clear" w:color="auto" w:fill="auto"/>
            <w:noWrap/>
            <w:vAlign w:val="center"/>
            <w:hideMark/>
          </w:tcPr>
          <w:p w14:paraId="12529947" w14:textId="77777777" w:rsidR="00B023C0" w:rsidRPr="00C72B82" w:rsidRDefault="00B023C0" w:rsidP="00B023C0">
            <w:pPr>
              <w:spacing w:after="0" w:line="240" w:lineRule="auto"/>
              <w:rPr>
                <w:rFonts w:eastAsia="Times New Roman" w:cs="Calibri"/>
                <w:b/>
                <w:color w:val="000000"/>
                <w:lang w:val="en-US" w:eastAsia="fr-FR"/>
              </w:rPr>
            </w:pPr>
          </w:p>
        </w:tc>
        <w:tc>
          <w:tcPr>
            <w:tcW w:w="1701" w:type="dxa"/>
            <w:shd w:val="clear" w:color="auto" w:fill="auto"/>
            <w:noWrap/>
            <w:vAlign w:val="center"/>
            <w:hideMark/>
          </w:tcPr>
          <w:p w14:paraId="05CEEEBF" w14:textId="77777777" w:rsidR="00B023C0" w:rsidRPr="00C72B82" w:rsidRDefault="00B023C0" w:rsidP="00B023C0">
            <w:pPr>
              <w:spacing w:after="0" w:line="240" w:lineRule="auto"/>
              <w:rPr>
                <w:rFonts w:eastAsia="Times New Roman" w:cs="Calibri"/>
                <w:b/>
                <w:color w:val="000000"/>
                <w:lang w:val="en-US" w:eastAsia="fr-FR"/>
              </w:rPr>
            </w:pPr>
          </w:p>
        </w:tc>
        <w:tc>
          <w:tcPr>
            <w:tcW w:w="863" w:type="dxa"/>
            <w:shd w:val="clear" w:color="auto" w:fill="auto"/>
            <w:noWrap/>
            <w:vAlign w:val="center"/>
            <w:hideMark/>
          </w:tcPr>
          <w:p w14:paraId="6EA9C078" w14:textId="77777777" w:rsidR="00B023C0" w:rsidRPr="00C72B82" w:rsidRDefault="00B023C0" w:rsidP="00B023C0">
            <w:pPr>
              <w:spacing w:after="0" w:line="240" w:lineRule="auto"/>
              <w:rPr>
                <w:rFonts w:eastAsia="Times New Roman" w:cs="Calibri"/>
                <w:b/>
                <w:color w:val="000000"/>
                <w:lang w:val="en-US" w:eastAsia="fr-FR"/>
              </w:rPr>
            </w:pPr>
          </w:p>
        </w:tc>
      </w:tr>
      <w:tr w:rsidR="00B023C0" w:rsidRPr="00EA5121" w14:paraId="3C6B6AE2" w14:textId="77777777" w:rsidTr="003E46D8">
        <w:trPr>
          <w:trHeight w:val="300"/>
          <w:jc w:val="center"/>
        </w:trPr>
        <w:tc>
          <w:tcPr>
            <w:tcW w:w="3402" w:type="dxa"/>
            <w:shd w:val="clear" w:color="auto" w:fill="auto"/>
            <w:noWrap/>
            <w:vAlign w:val="center"/>
            <w:hideMark/>
          </w:tcPr>
          <w:p w14:paraId="018317A5"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1D2EB936" w14:textId="145B9DE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1563 (97.57%)</w:t>
            </w:r>
          </w:p>
        </w:tc>
        <w:tc>
          <w:tcPr>
            <w:tcW w:w="1701" w:type="dxa"/>
            <w:shd w:val="clear" w:color="auto" w:fill="auto"/>
            <w:noWrap/>
            <w:vAlign w:val="center"/>
            <w:hideMark/>
          </w:tcPr>
          <w:p w14:paraId="2484084C" w14:textId="50A2898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1485 (97.57%)</w:t>
            </w:r>
          </w:p>
        </w:tc>
        <w:tc>
          <w:tcPr>
            <w:tcW w:w="1701" w:type="dxa"/>
            <w:shd w:val="clear" w:color="auto" w:fill="auto"/>
            <w:noWrap/>
            <w:vAlign w:val="center"/>
            <w:hideMark/>
          </w:tcPr>
          <w:p w14:paraId="783F1539" w14:textId="3C30D9F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78 (97.50%)</w:t>
            </w:r>
          </w:p>
        </w:tc>
        <w:tc>
          <w:tcPr>
            <w:tcW w:w="1701" w:type="dxa"/>
            <w:shd w:val="clear" w:color="auto" w:fill="auto"/>
            <w:noWrap/>
            <w:vAlign w:val="center"/>
            <w:hideMark/>
          </w:tcPr>
          <w:p w14:paraId="271E2A73" w14:textId="20B96D6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4B4F4DE0" w14:textId="6CE172A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&gt;0.99</w:t>
            </w:r>
          </w:p>
        </w:tc>
      </w:tr>
      <w:tr w:rsidR="00B023C0" w:rsidRPr="00EA5121" w14:paraId="759F7D12" w14:textId="77777777" w:rsidTr="003E46D8">
        <w:trPr>
          <w:trHeight w:val="300"/>
          <w:jc w:val="center"/>
        </w:trPr>
        <w:tc>
          <w:tcPr>
            <w:tcW w:w="3402" w:type="dxa"/>
            <w:shd w:val="clear" w:color="auto" w:fill="auto"/>
            <w:noWrap/>
            <w:vAlign w:val="center"/>
            <w:hideMark/>
          </w:tcPr>
          <w:p w14:paraId="7FF03824"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3DA6A754" w14:textId="495C5EF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39 (2.43%)</w:t>
            </w:r>
          </w:p>
        </w:tc>
        <w:tc>
          <w:tcPr>
            <w:tcW w:w="1701" w:type="dxa"/>
            <w:shd w:val="clear" w:color="auto" w:fill="auto"/>
            <w:noWrap/>
            <w:vAlign w:val="center"/>
            <w:hideMark/>
          </w:tcPr>
          <w:p w14:paraId="3D6E0AB9" w14:textId="24C2260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37 (2.43%)</w:t>
            </w:r>
          </w:p>
        </w:tc>
        <w:tc>
          <w:tcPr>
            <w:tcW w:w="1701" w:type="dxa"/>
            <w:shd w:val="clear" w:color="auto" w:fill="auto"/>
            <w:noWrap/>
            <w:vAlign w:val="center"/>
            <w:hideMark/>
          </w:tcPr>
          <w:p w14:paraId="419E2071" w14:textId="64E7852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 (2.50%)</w:t>
            </w:r>
          </w:p>
        </w:tc>
        <w:tc>
          <w:tcPr>
            <w:tcW w:w="1701" w:type="dxa"/>
            <w:shd w:val="clear" w:color="auto" w:fill="auto"/>
            <w:noWrap/>
            <w:vAlign w:val="center"/>
            <w:hideMark/>
          </w:tcPr>
          <w:p w14:paraId="6A4F6298" w14:textId="76AF635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1.03 [0.24;4.35]</w:t>
            </w:r>
          </w:p>
        </w:tc>
        <w:tc>
          <w:tcPr>
            <w:tcW w:w="863" w:type="dxa"/>
            <w:shd w:val="clear" w:color="auto" w:fill="auto"/>
            <w:noWrap/>
            <w:vAlign w:val="center"/>
            <w:hideMark/>
          </w:tcPr>
          <w:p w14:paraId="02864F5E"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6898FBB0" w14:textId="77777777" w:rsidTr="003E46D8">
        <w:trPr>
          <w:trHeight w:val="300"/>
          <w:jc w:val="center"/>
        </w:trPr>
        <w:tc>
          <w:tcPr>
            <w:tcW w:w="3402" w:type="dxa"/>
            <w:shd w:val="clear" w:color="auto" w:fill="auto"/>
            <w:noWrap/>
            <w:vAlign w:val="center"/>
            <w:hideMark/>
          </w:tcPr>
          <w:p w14:paraId="028E1707" w14:textId="0C560295"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COPD</w:t>
            </w:r>
            <w:r w:rsidRPr="00EA5121">
              <w:rPr>
                <w:rFonts w:eastAsia="Times New Roman" w:cs="Calibri"/>
                <w:b/>
                <w:color w:val="000000"/>
                <w:lang w:eastAsia="fr-FR"/>
              </w:rPr>
              <w:t>/</w:t>
            </w:r>
            <w:r>
              <w:rPr>
                <w:rFonts w:eastAsia="Times New Roman" w:cs="Calibri"/>
                <w:b/>
                <w:color w:val="000000"/>
                <w:lang w:eastAsia="fr-FR"/>
              </w:rPr>
              <w:t>SAS</w:t>
            </w:r>
            <w:r w:rsidRPr="00EA5121">
              <w:rPr>
                <w:rFonts w:eastAsia="Times New Roman" w:cs="Calibri"/>
                <w:b/>
                <w:color w:val="000000"/>
                <w:lang w:eastAsia="fr-FR"/>
              </w:rPr>
              <w:t>/</w:t>
            </w:r>
            <w:proofErr w:type="spellStart"/>
            <w:r w:rsidRPr="00EA5121">
              <w:rPr>
                <w:rFonts w:eastAsia="Times New Roman" w:cs="Calibri"/>
                <w:b/>
                <w:color w:val="000000"/>
                <w:lang w:eastAsia="fr-FR"/>
              </w:rPr>
              <w:t>Asthm</w:t>
            </w:r>
            <w:r>
              <w:rPr>
                <w:rFonts w:eastAsia="Times New Roman" w:cs="Calibri"/>
                <w:b/>
                <w:color w:val="000000"/>
                <w:lang w:eastAsia="fr-FR"/>
              </w:rPr>
              <w:t>a</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201618C6"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AC12460"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E9D2316"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5D57BCE9"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09F72026"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4D002A5E" w14:textId="77777777" w:rsidTr="003E46D8">
        <w:trPr>
          <w:trHeight w:val="300"/>
          <w:jc w:val="center"/>
        </w:trPr>
        <w:tc>
          <w:tcPr>
            <w:tcW w:w="3402" w:type="dxa"/>
            <w:shd w:val="clear" w:color="auto" w:fill="auto"/>
            <w:noWrap/>
            <w:vAlign w:val="center"/>
            <w:hideMark/>
          </w:tcPr>
          <w:p w14:paraId="4FFC7D62"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2462E867" w14:textId="5F72D78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1301 (81.21%)</w:t>
            </w:r>
          </w:p>
        </w:tc>
        <w:tc>
          <w:tcPr>
            <w:tcW w:w="1701" w:type="dxa"/>
            <w:shd w:val="clear" w:color="auto" w:fill="auto"/>
            <w:noWrap/>
            <w:vAlign w:val="center"/>
            <w:hideMark/>
          </w:tcPr>
          <w:p w14:paraId="017A7C0E" w14:textId="4B88DAB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1242 (81.60%)</w:t>
            </w:r>
          </w:p>
        </w:tc>
        <w:tc>
          <w:tcPr>
            <w:tcW w:w="1701" w:type="dxa"/>
            <w:shd w:val="clear" w:color="auto" w:fill="auto"/>
            <w:noWrap/>
            <w:vAlign w:val="center"/>
            <w:hideMark/>
          </w:tcPr>
          <w:p w14:paraId="52F5E73F" w14:textId="024A06B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59 (73.75%)</w:t>
            </w:r>
          </w:p>
        </w:tc>
        <w:tc>
          <w:tcPr>
            <w:tcW w:w="1701" w:type="dxa"/>
            <w:shd w:val="clear" w:color="auto" w:fill="auto"/>
            <w:noWrap/>
            <w:vAlign w:val="center"/>
            <w:hideMark/>
          </w:tcPr>
          <w:p w14:paraId="3EB544A3" w14:textId="01D0963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4B1703F8" w14:textId="3A4CC21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0.08</w:t>
            </w:r>
          </w:p>
        </w:tc>
      </w:tr>
      <w:tr w:rsidR="00B023C0" w:rsidRPr="00EA5121" w14:paraId="46A5B410" w14:textId="77777777" w:rsidTr="003E46D8">
        <w:trPr>
          <w:trHeight w:val="300"/>
          <w:jc w:val="center"/>
        </w:trPr>
        <w:tc>
          <w:tcPr>
            <w:tcW w:w="3402" w:type="dxa"/>
            <w:shd w:val="clear" w:color="auto" w:fill="auto"/>
            <w:noWrap/>
            <w:vAlign w:val="center"/>
            <w:hideMark/>
          </w:tcPr>
          <w:p w14:paraId="1A6639DC"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5EC65B00" w14:textId="599914D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301 (18.79%)</w:t>
            </w:r>
          </w:p>
        </w:tc>
        <w:tc>
          <w:tcPr>
            <w:tcW w:w="1701" w:type="dxa"/>
            <w:shd w:val="clear" w:color="auto" w:fill="auto"/>
            <w:noWrap/>
            <w:vAlign w:val="center"/>
            <w:hideMark/>
          </w:tcPr>
          <w:p w14:paraId="7A9E0409" w14:textId="2DD749F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280 (18.40%)</w:t>
            </w:r>
          </w:p>
        </w:tc>
        <w:tc>
          <w:tcPr>
            <w:tcW w:w="1701" w:type="dxa"/>
            <w:shd w:val="clear" w:color="auto" w:fill="auto"/>
            <w:noWrap/>
            <w:vAlign w:val="center"/>
            <w:hideMark/>
          </w:tcPr>
          <w:p w14:paraId="1B0DC2D6" w14:textId="34EA93D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21 (26.25%)</w:t>
            </w:r>
          </w:p>
        </w:tc>
        <w:tc>
          <w:tcPr>
            <w:tcW w:w="1701" w:type="dxa"/>
            <w:shd w:val="clear" w:color="auto" w:fill="auto"/>
            <w:noWrap/>
            <w:vAlign w:val="center"/>
            <w:hideMark/>
          </w:tcPr>
          <w:p w14:paraId="79F83F11" w14:textId="70045E1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1.58 [0.94;2.64]</w:t>
            </w:r>
          </w:p>
        </w:tc>
        <w:tc>
          <w:tcPr>
            <w:tcW w:w="863" w:type="dxa"/>
            <w:shd w:val="clear" w:color="auto" w:fill="auto"/>
            <w:noWrap/>
            <w:vAlign w:val="center"/>
            <w:hideMark/>
          </w:tcPr>
          <w:p w14:paraId="43985946"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09503D" w14:paraId="738EDA24" w14:textId="77777777" w:rsidTr="003E46D8">
        <w:trPr>
          <w:trHeight w:val="300"/>
          <w:jc w:val="center"/>
        </w:trPr>
        <w:tc>
          <w:tcPr>
            <w:tcW w:w="3402" w:type="dxa"/>
            <w:shd w:val="clear" w:color="auto" w:fill="auto"/>
            <w:noWrap/>
            <w:vAlign w:val="center"/>
            <w:hideMark/>
          </w:tcPr>
          <w:p w14:paraId="5DF99749" w14:textId="1FD7F0D4" w:rsidR="00B023C0" w:rsidRPr="00156EE3" w:rsidRDefault="00B023C0" w:rsidP="00B023C0">
            <w:pPr>
              <w:spacing w:after="0" w:line="240" w:lineRule="auto"/>
              <w:rPr>
                <w:rFonts w:eastAsia="Times New Roman" w:cs="Calibri"/>
                <w:b/>
                <w:color w:val="000000"/>
                <w:lang w:val="en-US" w:eastAsia="fr-FR"/>
              </w:rPr>
            </w:pPr>
            <w:r w:rsidRPr="00156EE3">
              <w:rPr>
                <w:rFonts w:eastAsia="Times New Roman" w:cs="Calibri"/>
                <w:b/>
                <w:color w:val="000000"/>
                <w:lang w:val="en-US" w:eastAsia="fr-FR"/>
              </w:rPr>
              <w:t>Long-term oxygen therapy (N=</w:t>
            </w:r>
            <w:r w:rsidR="00744859">
              <w:rPr>
                <w:rFonts w:eastAsia="Times New Roman" w:cs="Calibri"/>
                <w:b/>
                <w:color w:val="000000"/>
                <w:lang w:val="en-US" w:eastAsia="fr-FR"/>
              </w:rPr>
              <w:t>1601</w:t>
            </w:r>
            <w:r w:rsidRPr="00156EE3">
              <w:rPr>
                <w:rFonts w:eastAsia="Times New Roman" w:cs="Calibri"/>
                <w:b/>
                <w:color w:val="000000"/>
                <w:lang w:val="en-US" w:eastAsia="fr-FR"/>
              </w:rPr>
              <w:t xml:space="preserve">) </w:t>
            </w:r>
          </w:p>
        </w:tc>
        <w:tc>
          <w:tcPr>
            <w:tcW w:w="1701" w:type="dxa"/>
            <w:shd w:val="clear" w:color="auto" w:fill="auto"/>
            <w:noWrap/>
            <w:vAlign w:val="center"/>
            <w:hideMark/>
          </w:tcPr>
          <w:p w14:paraId="4B2DC4AE" w14:textId="77777777" w:rsidR="00B023C0" w:rsidRPr="00156EE3" w:rsidRDefault="00B023C0" w:rsidP="00B023C0">
            <w:pPr>
              <w:spacing w:after="0" w:line="240" w:lineRule="auto"/>
              <w:rPr>
                <w:rFonts w:eastAsia="Times New Roman" w:cs="Calibri"/>
                <w:b/>
                <w:color w:val="000000"/>
                <w:lang w:val="en-US" w:eastAsia="fr-FR"/>
              </w:rPr>
            </w:pPr>
          </w:p>
        </w:tc>
        <w:tc>
          <w:tcPr>
            <w:tcW w:w="1701" w:type="dxa"/>
            <w:shd w:val="clear" w:color="auto" w:fill="auto"/>
            <w:noWrap/>
            <w:vAlign w:val="center"/>
            <w:hideMark/>
          </w:tcPr>
          <w:p w14:paraId="35DF1609" w14:textId="77777777" w:rsidR="00B023C0" w:rsidRPr="00156EE3" w:rsidRDefault="00B023C0" w:rsidP="00B023C0">
            <w:pPr>
              <w:spacing w:after="0" w:line="240" w:lineRule="auto"/>
              <w:rPr>
                <w:rFonts w:eastAsia="Times New Roman" w:cs="Calibri"/>
                <w:b/>
                <w:color w:val="000000"/>
                <w:lang w:val="en-US" w:eastAsia="fr-FR"/>
              </w:rPr>
            </w:pPr>
          </w:p>
        </w:tc>
        <w:tc>
          <w:tcPr>
            <w:tcW w:w="1701" w:type="dxa"/>
            <w:shd w:val="clear" w:color="auto" w:fill="auto"/>
            <w:noWrap/>
            <w:vAlign w:val="center"/>
            <w:hideMark/>
          </w:tcPr>
          <w:p w14:paraId="4A5D3468" w14:textId="77777777" w:rsidR="00B023C0" w:rsidRPr="00156EE3" w:rsidRDefault="00B023C0" w:rsidP="00B023C0">
            <w:pPr>
              <w:spacing w:after="0" w:line="240" w:lineRule="auto"/>
              <w:rPr>
                <w:rFonts w:eastAsia="Times New Roman" w:cs="Calibri"/>
                <w:b/>
                <w:color w:val="000000"/>
                <w:lang w:val="en-US" w:eastAsia="fr-FR"/>
              </w:rPr>
            </w:pPr>
          </w:p>
        </w:tc>
        <w:tc>
          <w:tcPr>
            <w:tcW w:w="1701" w:type="dxa"/>
            <w:shd w:val="clear" w:color="auto" w:fill="auto"/>
            <w:noWrap/>
            <w:vAlign w:val="center"/>
            <w:hideMark/>
          </w:tcPr>
          <w:p w14:paraId="74B04B27" w14:textId="77777777" w:rsidR="00B023C0" w:rsidRPr="00156EE3" w:rsidRDefault="00B023C0" w:rsidP="00B023C0">
            <w:pPr>
              <w:spacing w:after="0" w:line="240" w:lineRule="auto"/>
              <w:rPr>
                <w:rFonts w:eastAsia="Times New Roman" w:cs="Calibri"/>
                <w:b/>
                <w:color w:val="000000"/>
                <w:lang w:val="en-US" w:eastAsia="fr-FR"/>
              </w:rPr>
            </w:pPr>
          </w:p>
        </w:tc>
        <w:tc>
          <w:tcPr>
            <w:tcW w:w="863" w:type="dxa"/>
            <w:shd w:val="clear" w:color="auto" w:fill="auto"/>
            <w:noWrap/>
            <w:vAlign w:val="center"/>
            <w:hideMark/>
          </w:tcPr>
          <w:p w14:paraId="2A3FFB0D" w14:textId="77777777" w:rsidR="00B023C0" w:rsidRPr="00156EE3" w:rsidRDefault="00B023C0" w:rsidP="00B023C0">
            <w:pPr>
              <w:spacing w:after="0" w:line="240" w:lineRule="auto"/>
              <w:rPr>
                <w:rFonts w:eastAsia="Times New Roman" w:cs="Calibri"/>
                <w:b/>
                <w:color w:val="000000"/>
                <w:lang w:val="en-US" w:eastAsia="fr-FR"/>
              </w:rPr>
            </w:pPr>
          </w:p>
        </w:tc>
      </w:tr>
      <w:tr w:rsidR="00B023C0" w:rsidRPr="00EA5121" w14:paraId="456DF8F3" w14:textId="77777777" w:rsidTr="003E46D8">
        <w:trPr>
          <w:trHeight w:val="300"/>
          <w:jc w:val="center"/>
        </w:trPr>
        <w:tc>
          <w:tcPr>
            <w:tcW w:w="3402" w:type="dxa"/>
            <w:shd w:val="clear" w:color="auto" w:fill="auto"/>
            <w:noWrap/>
            <w:vAlign w:val="center"/>
            <w:hideMark/>
          </w:tcPr>
          <w:p w14:paraId="4A538EAA"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0294E5B4" w14:textId="1752A03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1589 (99.25%)</w:t>
            </w:r>
          </w:p>
        </w:tc>
        <w:tc>
          <w:tcPr>
            <w:tcW w:w="1701" w:type="dxa"/>
            <w:shd w:val="clear" w:color="auto" w:fill="auto"/>
            <w:noWrap/>
            <w:vAlign w:val="center"/>
            <w:hideMark/>
          </w:tcPr>
          <w:p w14:paraId="253CEAFB" w14:textId="44FA645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1509 (99.21%)</w:t>
            </w:r>
          </w:p>
        </w:tc>
        <w:tc>
          <w:tcPr>
            <w:tcW w:w="1701" w:type="dxa"/>
            <w:shd w:val="clear" w:color="auto" w:fill="auto"/>
            <w:noWrap/>
            <w:vAlign w:val="center"/>
            <w:hideMark/>
          </w:tcPr>
          <w:p w14:paraId="2D0F68B1" w14:textId="07FB1BA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80 (100.00%)</w:t>
            </w:r>
          </w:p>
        </w:tc>
        <w:tc>
          <w:tcPr>
            <w:tcW w:w="1701" w:type="dxa"/>
            <w:shd w:val="clear" w:color="auto" w:fill="auto"/>
            <w:noWrap/>
            <w:vAlign w:val="center"/>
            <w:hideMark/>
          </w:tcPr>
          <w:p w14:paraId="4330200C" w14:textId="7964209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284A4CB8" w14:textId="72C6A97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&gt;0.99</w:t>
            </w:r>
          </w:p>
        </w:tc>
      </w:tr>
      <w:tr w:rsidR="00B023C0" w:rsidRPr="00EA5121" w14:paraId="4C490AE9" w14:textId="77777777" w:rsidTr="003E46D8">
        <w:trPr>
          <w:trHeight w:val="300"/>
          <w:jc w:val="center"/>
        </w:trPr>
        <w:tc>
          <w:tcPr>
            <w:tcW w:w="3402" w:type="dxa"/>
            <w:shd w:val="clear" w:color="auto" w:fill="auto"/>
            <w:noWrap/>
            <w:vAlign w:val="center"/>
            <w:hideMark/>
          </w:tcPr>
          <w:p w14:paraId="26F44E68"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0570B43E" w14:textId="6E2F566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 (0.75%)</w:t>
            </w:r>
          </w:p>
        </w:tc>
        <w:tc>
          <w:tcPr>
            <w:tcW w:w="1701" w:type="dxa"/>
            <w:shd w:val="clear" w:color="auto" w:fill="auto"/>
            <w:noWrap/>
            <w:vAlign w:val="center"/>
            <w:hideMark/>
          </w:tcPr>
          <w:p w14:paraId="4FBF5470" w14:textId="71EC3B8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 (0.79%)</w:t>
            </w:r>
          </w:p>
        </w:tc>
        <w:tc>
          <w:tcPr>
            <w:tcW w:w="1701" w:type="dxa"/>
            <w:shd w:val="clear" w:color="auto" w:fill="auto"/>
            <w:noWrap/>
            <w:vAlign w:val="center"/>
            <w:hideMark/>
          </w:tcPr>
          <w:p w14:paraId="7A172314" w14:textId="6F87EEA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 (0.00%)</w:t>
            </w:r>
          </w:p>
        </w:tc>
        <w:tc>
          <w:tcPr>
            <w:tcW w:w="1701" w:type="dxa"/>
            <w:shd w:val="clear" w:color="auto" w:fill="auto"/>
            <w:noWrap/>
            <w:vAlign w:val="center"/>
            <w:hideMark/>
          </w:tcPr>
          <w:p w14:paraId="64A9A0A9" w14:textId="0A8EA9C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w:t>
            </w:r>
          </w:p>
        </w:tc>
        <w:tc>
          <w:tcPr>
            <w:tcW w:w="863" w:type="dxa"/>
            <w:shd w:val="clear" w:color="auto" w:fill="auto"/>
            <w:noWrap/>
            <w:vAlign w:val="center"/>
            <w:hideMark/>
          </w:tcPr>
          <w:p w14:paraId="5A8570E6"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3FA23EED" w14:textId="77777777" w:rsidTr="003E46D8">
        <w:trPr>
          <w:trHeight w:val="300"/>
          <w:jc w:val="center"/>
        </w:trPr>
        <w:tc>
          <w:tcPr>
            <w:tcW w:w="3402" w:type="dxa"/>
            <w:shd w:val="clear" w:color="auto" w:fill="auto"/>
            <w:noWrap/>
            <w:vAlign w:val="center"/>
            <w:hideMark/>
          </w:tcPr>
          <w:p w14:paraId="293460F1" w14:textId="5563D9AA"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eastAsia="fr-FR"/>
              </w:rPr>
              <w:t>Chronic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renal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failure</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5977BE4A"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1CBF453"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868ED04"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C599CA1"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34DA8EBA"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1B0FE6D4" w14:textId="77777777" w:rsidTr="003E46D8">
        <w:trPr>
          <w:trHeight w:val="300"/>
          <w:jc w:val="center"/>
        </w:trPr>
        <w:tc>
          <w:tcPr>
            <w:tcW w:w="3402" w:type="dxa"/>
            <w:shd w:val="clear" w:color="auto" w:fill="auto"/>
            <w:noWrap/>
            <w:vAlign w:val="center"/>
            <w:hideMark/>
          </w:tcPr>
          <w:p w14:paraId="4E54DD44"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28B96B5F" w14:textId="5F0B6A2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1478 (92.26%)</w:t>
            </w:r>
          </w:p>
        </w:tc>
        <w:tc>
          <w:tcPr>
            <w:tcW w:w="1701" w:type="dxa"/>
            <w:shd w:val="clear" w:color="auto" w:fill="auto"/>
            <w:noWrap/>
            <w:vAlign w:val="center"/>
            <w:hideMark/>
          </w:tcPr>
          <w:p w14:paraId="6C58E40A" w14:textId="73C2253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1407 (92.44%)</w:t>
            </w:r>
          </w:p>
        </w:tc>
        <w:tc>
          <w:tcPr>
            <w:tcW w:w="1701" w:type="dxa"/>
            <w:shd w:val="clear" w:color="auto" w:fill="auto"/>
            <w:noWrap/>
            <w:vAlign w:val="center"/>
            <w:hideMark/>
          </w:tcPr>
          <w:p w14:paraId="29314D3E" w14:textId="7670202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71 (88.75%)</w:t>
            </w:r>
          </w:p>
        </w:tc>
        <w:tc>
          <w:tcPr>
            <w:tcW w:w="1701" w:type="dxa"/>
            <w:shd w:val="clear" w:color="auto" w:fill="auto"/>
            <w:noWrap/>
            <w:vAlign w:val="center"/>
            <w:hideMark/>
          </w:tcPr>
          <w:p w14:paraId="636D15DE" w14:textId="47919E7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6AECD763" w14:textId="03F6EDD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0.23</w:t>
            </w:r>
          </w:p>
        </w:tc>
      </w:tr>
      <w:tr w:rsidR="00B023C0" w:rsidRPr="00EA5121" w14:paraId="7ACCC3B2" w14:textId="77777777" w:rsidTr="003E46D8">
        <w:trPr>
          <w:trHeight w:val="300"/>
          <w:jc w:val="center"/>
        </w:trPr>
        <w:tc>
          <w:tcPr>
            <w:tcW w:w="3402" w:type="dxa"/>
            <w:shd w:val="clear" w:color="auto" w:fill="auto"/>
            <w:noWrap/>
            <w:vAlign w:val="center"/>
            <w:hideMark/>
          </w:tcPr>
          <w:p w14:paraId="4C172237"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2E887199" w14:textId="5EFCAE8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124 (7.74%)</w:t>
            </w:r>
          </w:p>
        </w:tc>
        <w:tc>
          <w:tcPr>
            <w:tcW w:w="1701" w:type="dxa"/>
            <w:shd w:val="clear" w:color="auto" w:fill="auto"/>
            <w:noWrap/>
            <w:vAlign w:val="center"/>
            <w:hideMark/>
          </w:tcPr>
          <w:p w14:paraId="437AB759" w14:textId="118F182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115 (7.56%)</w:t>
            </w:r>
          </w:p>
        </w:tc>
        <w:tc>
          <w:tcPr>
            <w:tcW w:w="1701" w:type="dxa"/>
            <w:shd w:val="clear" w:color="auto" w:fill="auto"/>
            <w:noWrap/>
            <w:vAlign w:val="center"/>
            <w:hideMark/>
          </w:tcPr>
          <w:p w14:paraId="55D8B715" w14:textId="2E8981F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9 (11.25%)</w:t>
            </w:r>
          </w:p>
        </w:tc>
        <w:tc>
          <w:tcPr>
            <w:tcW w:w="1701" w:type="dxa"/>
            <w:shd w:val="clear" w:color="auto" w:fill="auto"/>
            <w:noWrap/>
            <w:vAlign w:val="center"/>
            <w:hideMark/>
          </w:tcPr>
          <w:p w14:paraId="75F49417" w14:textId="4937453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1.55 [0.76;3.18]</w:t>
            </w:r>
          </w:p>
        </w:tc>
        <w:tc>
          <w:tcPr>
            <w:tcW w:w="863" w:type="dxa"/>
            <w:shd w:val="clear" w:color="auto" w:fill="auto"/>
            <w:noWrap/>
            <w:vAlign w:val="center"/>
            <w:hideMark/>
          </w:tcPr>
          <w:p w14:paraId="42E23309"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2C00A2DD" w14:textId="77777777" w:rsidTr="003E46D8">
        <w:trPr>
          <w:trHeight w:val="300"/>
          <w:jc w:val="center"/>
        </w:trPr>
        <w:tc>
          <w:tcPr>
            <w:tcW w:w="3402" w:type="dxa"/>
            <w:shd w:val="clear" w:color="auto" w:fill="auto"/>
            <w:noWrap/>
            <w:vAlign w:val="center"/>
            <w:hideMark/>
          </w:tcPr>
          <w:p w14:paraId="1C7C854B" w14:textId="728BE43D"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eastAsia="fr-FR"/>
              </w:rPr>
              <w:t>Chronic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di</w:t>
            </w:r>
            <w:r w:rsidRPr="00EA5121">
              <w:rPr>
                <w:rFonts w:eastAsia="Times New Roman" w:cs="Calibri"/>
                <w:b/>
                <w:color w:val="000000"/>
                <w:lang w:eastAsia="fr-FR"/>
              </w:rPr>
              <w:t>ialys</w:t>
            </w:r>
            <w:r>
              <w:rPr>
                <w:rFonts w:eastAsia="Times New Roman" w:cs="Calibri"/>
                <w:b/>
                <w:color w:val="000000"/>
                <w:lang w:eastAsia="fr-FR"/>
              </w:rPr>
              <w:t>is</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=1602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70124ADC"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8CED81B"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024532CB"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3BA44F4"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0BF408C2"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549CC5E0" w14:textId="77777777" w:rsidTr="003E46D8">
        <w:trPr>
          <w:trHeight w:val="300"/>
          <w:jc w:val="center"/>
        </w:trPr>
        <w:tc>
          <w:tcPr>
            <w:tcW w:w="3402" w:type="dxa"/>
            <w:shd w:val="clear" w:color="auto" w:fill="auto"/>
            <w:noWrap/>
            <w:vAlign w:val="center"/>
            <w:hideMark/>
          </w:tcPr>
          <w:p w14:paraId="2F74CE74"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2F210DA3" w14:textId="62C370F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1587 (99.06%)</w:t>
            </w:r>
          </w:p>
        </w:tc>
        <w:tc>
          <w:tcPr>
            <w:tcW w:w="1701" w:type="dxa"/>
            <w:shd w:val="clear" w:color="auto" w:fill="auto"/>
            <w:noWrap/>
            <w:vAlign w:val="center"/>
            <w:hideMark/>
          </w:tcPr>
          <w:p w14:paraId="2214E35C" w14:textId="5F6F431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1507 (99.01%)</w:t>
            </w:r>
          </w:p>
        </w:tc>
        <w:tc>
          <w:tcPr>
            <w:tcW w:w="1701" w:type="dxa"/>
            <w:shd w:val="clear" w:color="auto" w:fill="auto"/>
            <w:noWrap/>
            <w:vAlign w:val="center"/>
            <w:hideMark/>
          </w:tcPr>
          <w:p w14:paraId="1662FC4B" w14:textId="5102336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80 (100.00%)</w:t>
            </w:r>
          </w:p>
        </w:tc>
        <w:tc>
          <w:tcPr>
            <w:tcW w:w="1701" w:type="dxa"/>
            <w:shd w:val="clear" w:color="auto" w:fill="auto"/>
            <w:noWrap/>
            <w:vAlign w:val="center"/>
            <w:hideMark/>
          </w:tcPr>
          <w:p w14:paraId="6E7581BD" w14:textId="5B3E645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2CFF2E37" w14:textId="26595FB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&gt;0.99</w:t>
            </w:r>
          </w:p>
        </w:tc>
      </w:tr>
      <w:tr w:rsidR="00B023C0" w:rsidRPr="00EA5121" w14:paraId="24D343C9" w14:textId="77777777" w:rsidTr="003E46D8">
        <w:trPr>
          <w:trHeight w:val="300"/>
          <w:jc w:val="center"/>
        </w:trPr>
        <w:tc>
          <w:tcPr>
            <w:tcW w:w="3402" w:type="dxa"/>
            <w:shd w:val="clear" w:color="auto" w:fill="auto"/>
            <w:noWrap/>
            <w:vAlign w:val="center"/>
            <w:hideMark/>
          </w:tcPr>
          <w:p w14:paraId="1D6010AC"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096C585A" w14:textId="302C6057"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 (0.94%)</w:t>
            </w:r>
          </w:p>
        </w:tc>
        <w:tc>
          <w:tcPr>
            <w:tcW w:w="1701" w:type="dxa"/>
            <w:shd w:val="clear" w:color="auto" w:fill="auto"/>
            <w:noWrap/>
            <w:vAlign w:val="center"/>
            <w:hideMark/>
          </w:tcPr>
          <w:p w14:paraId="1C861B36" w14:textId="7AFD2D3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15 (0.99%)</w:t>
            </w:r>
          </w:p>
        </w:tc>
        <w:tc>
          <w:tcPr>
            <w:tcW w:w="1701" w:type="dxa"/>
            <w:shd w:val="clear" w:color="auto" w:fill="auto"/>
            <w:noWrap/>
            <w:vAlign w:val="center"/>
            <w:hideMark/>
          </w:tcPr>
          <w:p w14:paraId="5FCEA807" w14:textId="21D6735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 (0.00%)</w:t>
            </w:r>
          </w:p>
        </w:tc>
        <w:tc>
          <w:tcPr>
            <w:tcW w:w="1701" w:type="dxa"/>
            <w:shd w:val="clear" w:color="auto" w:fill="auto"/>
            <w:noWrap/>
            <w:vAlign w:val="center"/>
            <w:hideMark/>
          </w:tcPr>
          <w:p w14:paraId="16110457" w14:textId="51DC342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w:t>
            </w:r>
          </w:p>
        </w:tc>
        <w:tc>
          <w:tcPr>
            <w:tcW w:w="863" w:type="dxa"/>
            <w:shd w:val="clear" w:color="auto" w:fill="auto"/>
            <w:noWrap/>
            <w:vAlign w:val="center"/>
            <w:hideMark/>
          </w:tcPr>
          <w:p w14:paraId="25E03162"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6633F1D2" w14:textId="77777777" w:rsidTr="003E46D8">
        <w:trPr>
          <w:trHeight w:val="300"/>
          <w:jc w:val="center"/>
        </w:trPr>
        <w:tc>
          <w:tcPr>
            <w:tcW w:w="3402" w:type="dxa"/>
            <w:shd w:val="clear" w:color="auto" w:fill="auto"/>
            <w:noWrap/>
            <w:vAlign w:val="center"/>
            <w:hideMark/>
          </w:tcPr>
          <w:p w14:paraId="57DC3EEC" w14:textId="48ED2F12"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eastAsia="fr-FR"/>
              </w:rPr>
              <w:t>Malignant</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hemopathy</w:t>
            </w:r>
            <w:proofErr w:type="spellEnd"/>
            <w:r>
              <w:rPr>
                <w:rFonts w:eastAsia="Times New Roman" w:cs="Calibri"/>
                <w:b/>
                <w:color w:val="000000"/>
                <w:lang w:eastAsia="fr-FR"/>
              </w:rPr>
              <w:t xml:space="preserve"> / </w:t>
            </w:r>
            <w:r w:rsidRPr="00EA5121">
              <w:rPr>
                <w:rFonts w:eastAsia="Times New Roman" w:cs="Calibri"/>
                <w:b/>
                <w:color w:val="000000"/>
                <w:lang w:eastAsia="fr-FR"/>
              </w:rPr>
              <w:t>Cancer (N=</w:t>
            </w:r>
            <w:r w:rsidR="00744859">
              <w:rPr>
                <w:rFonts w:eastAsia="Times New Roman" w:cs="Calibri"/>
                <w:b/>
                <w:color w:val="000000"/>
                <w:lang w:eastAsia="fr-FR"/>
              </w:rPr>
              <w:t>1600</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3766D9D2"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FBF3151"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4D3DD12"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ED4E3EA"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383862D2"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6E2538D7" w14:textId="77777777" w:rsidTr="003E46D8">
        <w:trPr>
          <w:trHeight w:val="300"/>
          <w:jc w:val="center"/>
        </w:trPr>
        <w:tc>
          <w:tcPr>
            <w:tcW w:w="3402" w:type="dxa"/>
            <w:shd w:val="clear" w:color="auto" w:fill="auto"/>
            <w:noWrap/>
            <w:vAlign w:val="center"/>
            <w:hideMark/>
          </w:tcPr>
          <w:p w14:paraId="71D0F5D4"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7873BF79" w14:textId="7F95CD9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1388 (86.75%)</w:t>
            </w:r>
          </w:p>
        </w:tc>
        <w:tc>
          <w:tcPr>
            <w:tcW w:w="1701" w:type="dxa"/>
            <w:shd w:val="clear" w:color="auto" w:fill="auto"/>
            <w:noWrap/>
            <w:vAlign w:val="center"/>
            <w:hideMark/>
          </w:tcPr>
          <w:p w14:paraId="0B856FBC" w14:textId="43CD0DE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1319 (86.78%)</w:t>
            </w:r>
          </w:p>
        </w:tc>
        <w:tc>
          <w:tcPr>
            <w:tcW w:w="1701" w:type="dxa"/>
            <w:shd w:val="clear" w:color="auto" w:fill="auto"/>
            <w:noWrap/>
            <w:vAlign w:val="center"/>
            <w:hideMark/>
          </w:tcPr>
          <w:p w14:paraId="191C2CA2" w14:textId="767A1CC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69 (86.25%)</w:t>
            </w:r>
          </w:p>
        </w:tc>
        <w:tc>
          <w:tcPr>
            <w:tcW w:w="1701" w:type="dxa"/>
            <w:shd w:val="clear" w:color="auto" w:fill="auto"/>
            <w:noWrap/>
            <w:vAlign w:val="center"/>
            <w:hideMark/>
          </w:tcPr>
          <w:p w14:paraId="68E8F234" w14:textId="6FA689B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4BA0AD4D" w14:textId="6342753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0.89</w:t>
            </w:r>
          </w:p>
        </w:tc>
      </w:tr>
      <w:tr w:rsidR="00B023C0" w:rsidRPr="00EA5121" w14:paraId="56E9D073" w14:textId="77777777" w:rsidTr="003E46D8">
        <w:trPr>
          <w:trHeight w:val="300"/>
          <w:jc w:val="center"/>
        </w:trPr>
        <w:tc>
          <w:tcPr>
            <w:tcW w:w="3402" w:type="dxa"/>
            <w:shd w:val="clear" w:color="auto" w:fill="auto"/>
            <w:noWrap/>
            <w:vAlign w:val="center"/>
            <w:hideMark/>
          </w:tcPr>
          <w:p w14:paraId="25027017"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6992F00E" w14:textId="096A849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212 (13.25%)</w:t>
            </w:r>
          </w:p>
        </w:tc>
        <w:tc>
          <w:tcPr>
            <w:tcW w:w="1701" w:type="dxa"/>
            <w:shd w:val="clear" w:color="auto" w:fill="auto"/>
            <w:noWrap/>
            <w:vAlign w:val="center"/>
            <w:hideMark/>
          </w:tcPr>
          <w:p w14:paraId="451030C9" w14:textId="5149722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201 (13.22%)</w:t>
            </w:r>
          </w:p>
        </w:tc>
        <w:tc>
          <w:tcPr>
            <w:tcW w:w="1701" w:type="dxa"/>
            <w:shd w:val="clear" w:color="auto" w:fill="auto"/>
            <w:noWrap/>
            <w:vAlign w:val="center"/>
            <w:hideMark/>
          </w:tcPr>
          <w:p w14:paraId="192C77D9" w14:textId="5B3BF59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 (13.75%)</w:t>
            </w:r>
          </w:p>
        </w:tc>
        <w:tc>
          <w:tcPr>
            <w:tcW w:w="1701" w:type="dxa"/>
            <w:shd w:val="clear" w:color="auto" w:fill="auto"/>
            <w:noWrap/>
            <w:vAlign w:val="center"/>
            <w:hideMark/>
          </w:tcPr>
          <w:p w14:paraId="59FE77BA" w14:textId="14453EB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1.05 [0.54;2.01]</w:t>
            </w:r>
          </w:p>
        </w:tc>
        <w:tc>
          <w:tcPr>
            <w:tcW w:w="863" w:type="dxa"/>
            <w:shd w:val="clear" w:color="auto" w:fill="auto"/>
            <w:noWrap/>
            <w:vAlign w:val="center"/>
            <w:hideMark/>
          </w:tcPr>
          <w:p w14:paraId="124407BE"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016CFA82" w14:textId="77777777" w:rsidTr="003E46D8">
        <w:trPr>
          <w:trHeight w:val="300"/>
          <w:jc w:val="center"/>
        </w:trPr>
        <w:tc>
          <w:tcPr>
            <w:tcW w:w="3402" w:type="dxa"/>
            <w:shd w:val="clear" w:color="auto" w:fill="auto"/>
            <w:noWrap/>
            <w:vAlign w:val="center"/>
            <w:hideMark/>
          </w:tcPr>
          <w:p w14:paraId="62EEB01B" w14:textId="4D660278"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Stroke</w:t>
            </w:r>
            <w:r w:rsidRPr="00EA5121">
              <w:rPr>
                <w:rFonts w:eastAsia="Times New Roman" w:cs="Calibri"/>
                <w:b/>
                <w:color w:val="000000"/>
                <w:lang w:eastAsia="fr-FR"/>
              </w:rPr>
              <w:t xml:space="preserve"> (N=</w:t>
            </w:r>
            <w:r w:rsidR="00744859">
              <w:rPr>
                <w:rFonts w:eastAsia="Times New Roman" w:cs="Calibri"/>
                <w:b/>
                <w:color w:val="000000"/>
                <w:lang w:eastAsia="fr-FR"/>
              </w:rPr>
              <w:t>1602</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79E6DDF6"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28DE24A0"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D2FC425"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5C84BE38"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6B825111"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2E616ABE" w14:textId="77777777" w:rsidTr="003E46D8">
        <w:trPr>
          <w:trHeight w:val="300"/>
          <w:jc w:val="center"/>
        </w:trPr>
        <w:tc>
          <w:tcPr>
            <w:tcW w:w="3402" w:type="dxa"/>
            <w:shd w:val="clear" w:color="auto" w:fill="auto"/>
            <w:noWrap/>
            <w:vAlign w:val="center"/>
            <w:hideMark/>
          </w:tcPr>
          <w:p w14:paraId="4CD2EDF8"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center"/>
            <w:hideMark/>
          </w:tcPr>
          <w:p w14:paraId="53002B65" w14:textId="2183AAA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1478 (92.26%)</w:t>
            </w:r>
          </w:p>
        </w:tc>
        <w:tc>
          <w:tcPr>
            <w:tcW w:w="1701" w:type="dxa"/>
            <w:shd w:val="clear" w:color="auto" w:fill="auto"/>
            <w:noWrap/>
            <w:vAlign w:val="center"/>
            <w:hideMark/>
          </w:tcPr>
          <w:p w14:paraId="488DA100" w14:textId="5F425B5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1404 (92.25%)</w:t>
            </w:r>
          </w:p>
        </w:tc>
        <w:tc>
          <w:tcPr>
            <w:tcW w:w="1701" w:type="dxa"/>
            <w:shd w:val="clear" w:color="auto" w:fill="auto"/>
            <w:noWrap/>
            <w:vAlign w:val="center"/>
            <w:hideMark/>
          </w:tcPr>
          <w:p w14:paraId="7C6658A2" w14:textId="28130D2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74 (92.50%)</w:t>
            </w:r>
          </w:p>
        </w:tc>
        <w:tc>
          <w:tcPr>
            <w:tcW w:w="1701" w:type="dxa"/>
            <w:shd w:val="clear" w:color="auto" w:fill="auto"/>
            <w:noWrap/>
            <w:vAlign w:val="center"/>
            <w:hideMark/>
          </w:tcPr>
          <w:p w14:paraId="7D6344AC" w14:textId="542A72F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644E640E" w14:textId="43C65B01"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0.93</w:t>
            </w:r>
          </w:p>
        </w:tc>
      </w:tr>
      <w:tr w:rsidR="00B023C0" w:rsidRPr="00EA5121" w14:paraId="2DD96CFC" w14:textId="77777777" w:rsidTr="003E46D8">
        <w:trPr>
          <w:trHeight w:val="300"/>
          <w:jc w:val="center"/>
        </w:trPr>
        <w:tc>
          <w:tcPr>
            <w:tcW w:w="3402" w:type="dxa"/>
            <w:shd w:val="clear" w:color="auto" w:fill="auto"/>
            <w:noWrap/>
            <w:vAlign w:val="center"/>
            <w:hideMark/>
          </w:tcPr>
          <w:p w14:paraId="6A48C5F3" w14:textId="77777777" w:rsidR="00B023C0" w:rsidRPr="00EA5121" w:rsidRDefault="00B023C0" w:rsidP="00B023C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center"/>
            <w:hideMark/>
          </w:tcPr>
          <w:p w14:paraId="04DEEDB2" w14:textId="7F702C5A"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124 (7.74%)</w:t>
            </w:r>
          </w:p>
        </w:tc>
        <w:tc>
          <w:tcPr>
            <w:tcW w:w="1701" w:type="dxa"/>
            <w:shd w:val="clear" w:color="auto" w:fill="auto"/>
            <w:noWrap/>
            <w:vAlign w:val="center"/>
            <w:hideMark/>
          </w:tcPr>
          <w:p w14:paraId="77518726" w14:textId="6980922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118 (7.75%)</w:t>
            </w:r>
          </w:p>
        </w:tc>
        <w:tc>
          <w:tcPr>
            <w:tcW w:w="1701" w:type="dxa"/>
            <w:shd w:val="clear" w:color="auto" w:fill="auto"/>
            <w:noWrap/>
            <w:vAlign w:val="center"/>
            <w:hideMark/>
          </w:tcPr>
          <w:p w14:paraId="0DBAB392" w14:textId="6209E38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 (7.50%)</w:t>
            </w:r>
          </w:p>
        </w:tc>
        <w:tc>
          <w:tcPr>
            <w:tcW w:w="1701" w:type="dxa"/>
            <w:shd w:val="clear" w:color="auto" w:fill="auto"/>
            <w:noWrap/>
            <w:vAlign w:val="center"/>
            <w:hideMark/>
          </w:tcPr>
          <w:p w14:paraId="4E8797C5" w14:textId="3334FE0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0.96 [0.41;2.26]</w:t>
            </w:r>
          </w:p>
        </w:tc>
        <w:tc>
          <w:tcPr>
            <w:tcW w:w="863" w:type="dxa"/>
            <w:shd w:val="clear" w:color="auto" w:fill="auto"/>
            <w:noWrap/>
            <w:vAlign w:val="center"/>
            <w:hideMark/>
          </w:tcPr>
          <w:p w14:paraId="42D62F17"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3F69B45C" w14:textId="77777777" w:rsidTr="003E46D8">
        <w:trPr>
          <w:trHeight w:val="300"/>
          <w:jc w:val="center"/>
        </w:trPr>
        <w:tc>
          <w:tcPr>
            <w:tcW w:w="3402" w:type="dxa"/>
            <w:shd w:val="clear" w:color="auto" w:fill="auto"/>
            <w:noWrap/>
            <w:vAlign w:val="center"/>
            <w:hideMark/>
          </w:tcPr>
          <w:p w14:paraId="0936BB0B" w14:textId="3E016E4D"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 xml:space="preserve">Proton </w:t>
            </w:r>
            <w:proofErr w:type="spellStart"/>
            <w:r>
              <w:rPr>
                <w:rFonts w:eastAsia="Times New Roman" w:cs="Calibri"/>
                <w:b/>
                <w:color w:val="000000"/>
                <w:lang w:eastAsia="fr-FR"/>
              </w:rPr>
              <w:t>pump</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inhibitor</w:t>
            </w:r>
            <w:proofErr w:type="spellEnd"/>
            <w:r w:rsidRPr="00EA5121">
              <w:rPr>
                <w:rFonts w:eastAsia="Times New Roman" w:cs="Calibri"/>
                <w:b/>
                <w:color w:val="000000"/>
                <w:lang w:eastAsia="fr-FR"/>
              </w:rPr>
              <w:t xml:space="preserve"> (N=</w:t>
            </w:r>
            <w:r w:rsidR="00744859">
              <w:rPr>
                <w:rFonts w:eastAsia="Times New Roman" w:cs="Calibri"/>
                <w:b/>
                <w:color w:val="000000"/>
                <w:lang w:eastAsia="fr-FR"/>
              </w:rPr>
              <w:t>1588</w:t>
            </w:r>
            <w:r w:rsidRPr="00EA5121">
              <w:rPr>
                <w:rFonts w:eastAsia="Times New Roman" w:cs="Calibri"/>
                <w:b/>
                <w:color w:val="000000"/>
                <w:lang w:eastAsia="fr-FR"/>
              </w:rPr>
              <w:t xml:space="preserve">) </w:t>
            </w:r>
          </w:p>
        </w:tc>
        <w:tc>
          <w:tcPr>
            <w:tcW w:w="1701" w:type="dxa"/>
            <w:shd w:val="clear" w:color="auto" w:fill="auto"/>
            <w:noWrap/>
            <w:vAlign w:val="center"/>
            <w:hideMark/>
          </w:tcPr>
          <w:p w14:paraId="13B25104"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ADACCE3"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6F2F069"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0FDE514"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074A108D"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73BA1A04" w14:textId="77777777" w:rsidTr="003E46D8">
        <w:trPr>
          <w:trHeight w:val="300"/>
          <w:jc w:val="center"/>
        </w:trPr>
        <w:tc>
          <w:tcPr>
            <w:tcW w:w="3402" w:type="dxa"/>
            <w:shd w:val="clear" w:color="auto" w:fill="auto"/>
            <w:noWrap/>
            <w:vAlign w:val="center"/>
            <w:hideMark/>
          </w:tcPr>
          <w:p w14:paraId="5538FDAB"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Non</w:t>
            </w:r>
            <w:r>
              <w:rPr>
                <w:rFonts w:eastAsia="Times New Roman" w:cs="Calibri"/>
                <w:color w:val="000000"/>
                <w:lang w:eastAsia="fr-FR"/>
              </w:rPr>
              <w:t xml:space="preserve"> </w:t>
            </w:r>
          </w:p>
        </w:tc>
        <w:tc>
          <w:tcPr>
            <w:tcW w:w="1701" w:type="dxa"/>
            <w:shd w:val="clear" w:color="auto" w:fill="auto"/>
            <w:noWrap/>
            <w:vAlign w:val="center"/>
            <w:hideMark/>
          </w:tcPr>
          <w:p w14:paraId="06687792" w14:textId="13945A73"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1249 (78.65%)</w:t>
            </w:r>
          </w:p>
        </w:tc>
        <w:tc>
          <w:tcPr>
            <w:tcW w:w="1701" w:type="dxa"/>
            <w:shd w:val="clear" w:color="auto" w:fill="auto"/>
            <w:noWrap/>
            <w:vAlign w:val="center"/>
            <w:hideMark/>
          </w:tcPr>
          <w:p w14:paraId="70BFC579" w14:textId="455EF63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1190 (78.86%)</w:t>
            </w:r>
          </w:p>
        </w:tc>
        <w:tc>
          <w:tcPr>
            <w:tcW w:w="1701" w:type="dxa"/>
            <w:shd w:val="clear" w:color="auto" w:fill="auto"/>
            <w:noWrap/>
            <w:vAlign w:val="center"/>
            <w:hideMark/>
          </w:tcPr>
          <w:p w14:paraId="08079DF5" w14:textId="2862A78F"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59 (74.68%)</w:t>
            </w:r>
          </w:p>
        </w:tc>
        <w:tc>
          <w:tcPr>
            <w:tcW w:w="1701" w:type="dxa"/>
            <w:shd w:val="clear" w:color="auto" w:fill="auto"/>
            <w:noWrap/>
            <w:vAlign w:val="center"/>
            <w:hideMark/>
          </w:tcPr>
          <w:p w14:paraId="2743822B" w14:textId="3059478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63E56E01" w14:textId="2E401F6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0.38</w:t>
            </w:r>
          </w:p>
        </w:tc>
      </w:tr>
      <w:tr w:rsidR="00B023C0" w:rsidRPr="00EA5121" w14:paraId="50704CEA" w14:textId="77777777" w:rsidTr="003E46D8">
        <w:trPr>
          <w:trHeight w:val="300"/>
          <w:jc w:val="center"/>
        </w:trPr>
        <w:tc>
          <w:tcPr>
            <w:tcW w:w="3402" w:type="dxa"/>
            <w:shd w:val="clear" w:color="auto" w:fill="auto"/>
            <w:noWrap/>
            <w:vAlign w:val="center"/>
            <w:hideMark/>
          </w:tcPr>
          <w:p w14:paraId="4584FCBF"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lastRenderedPageBreak/>
              <w:t>Oui</w:t>
            </w:r>
            <w:r>
              <w:rPr>
                <w:rFonts w:eastAsia="Times New Roman" w:cs="Calibri"/>
                <w:color w:val="000000"/>
                <w:lang w:eastAsia="fr-FR"/>
              </w:rPr>
              <w:t xml:space="preserve"> </w:t>
            </w:r>
          </w:p>
        </w:tc>
        <w:tc>
          <w:tcPr>
            <w:tcW w:w="1701" w:type="dxa"/>
            <w:shd w:val="clear" w:color="auto" w:fill="auto"/>
            <w:noWrap/>
            <w:vAlign w:val="center"/>
            <w:hideMark/>
          </w:tcPr>
          <w:p w14:paraId="19E0F771" w14:textId="71FE308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339 (21.35%)</w:t>
            </w:r>
          </w:p>
        </w:tc>
        <w:tc>
          <w:tcPr>
            <w:tcW w:w="1701" w:type="dxa"/>
            <w:shd w:val="clear" w:color="auto" w:fill="auto"/>
            <w:noWrap/>
            <w:vAlign w:val="center"/>
            <w:hideMark/>
          </w:tcPr>
          <w:p w14:paraId="66816B89" w14:textId="767600B0"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319 (21.14%)</w:t>
            </w:r>
          </w:p>
        </w:tc>
        <w:tc>
          <w:tcPr>
            <w:tcW w:w="1701" w:type="dxa"/>
            <w:shd w:val="clear" w:color="auto" w:fill="auto"/>
            <w:noWrap/>
            <w:vAlign w:val="center"/>
            <w:hideMark/>
          </w:tcPr>
          <w:p w14:paraId="0E075D89" w14:textId="6FCAA7E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20 (25.32%)</w:t>
            </w:r>
          </w:p>
        </w:tc>
        <w:tc>
          <w:tcPr>
            <w:tcW w:w="1701" w:type="dxa"/>
            <w:shd w:val="clear" w:color="auto" w:fill="auto"/>
            <w:noWrap/>
            <w:vAlign w:val="center"/>
            <w:hideMark/>
          </w:tcPr>
          <w:p w14:paraId="4B9C006C" w14:textId="79FD4B6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1.26 [0.75;2.13]</w:t>
            </w:r>
          </w:p>
        </w:tc>
        <w:tc>
          <w:tcPr>
            <w:tcW w:w="863" w:type="dxa"/>
            <w:shd w:val="clear" w:color="auto" w:fill="auto"/>
            <w:noWrap/>
            <w:vAlign w:val="center"/>
            <w:hideMark/>
          </w:tcPr>
          <w:p w14:paraId="3AC91D28"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7BFD1330" w14:textId="77777777" w:rsidTr="003E46D8">
        <w:trPr>
          <w:trHeight w:val="300"/>
          <w:jc w:val="center"/>
        </w:trPr>
        <w:tc>
          <w:tcPr>
            <w:tcW w:w="3402" w:type="dxa"/>
            <w:shd w:val="clear" w:color="auto" w:fill="auto"/>
            <w:noWrap/>
            <w:vAlign w:val="center"/>
            <w:hideMark/>
          </w:tcPr>
          <w:p w14:paraId="7F438E7C" w14:textId="6389AB3E" w:rsidR="00B023C0" w:rsidRPr="00EA5121" w:rsidRDefault="00B023C0" w:rsidP="00B023C0">
            <w:pPr>
              <w:spacing w:after="0" w:line="240" w:lineRule="auto"/>
              <w:rPr>
                <w:rFonts w:eastAsia="Times New Roman" w:cs="Calibri"/>
                <w:b/>
                <w:color w:val="000000"/>
                <w:lang w:eastAsia="fr-FR"/>
              </w:rPr>
            </w:pPr>
            <w:r>
              <w:rPr>
                <w:rFonts w:eastAsia="Times New Roman" w:cs="Calibri"/>
                <w:b/>
                <w:color w:val="000000"/>
                <w:lang w:eastAsia="fr-FR"/>
              </w:rPr>
              <w:t>A</w:t>
            </w:r>
            <w:r w:rsidRPr="00EA5121">
              <w:rPr>
                <w:rFonts w:eastAsia="Times New Roman" w:cs="Calibri"/>
                <w:b/>
                <w:color w:val="000000"/>
                <w:lang w:eastAsia="fr-FR"/>
              </w:rPr>
              <w:t>nticoagulat</w:t>
            </w:r>
            <w:r>
              <w:rPr>
                <w:rFonts w:eastAsia="Times New Roman" w:cs="Calibri"/>
                <w:b/>
                <w:color w:val="000000"/>
                <w:lang w:eastAsia="fr-FR"/>
              </w:rPr>
              <w:t>ion</w:t>
            </w:r>
            <w:r w:rsidRPr="00EA5121">
              <w:rPr>
                <w:rFonts w:eastAsia="Times New Roman" w:cs="Calibri"/>
                <w:b/>
                <w:color w:val="000000"/>
                <w:lang w:eastAsia="fr-FR"/>
              </w:rPr>
              <w:t xml:space="preserve"> (N=</w:t>
            </w:r>
            <w:r w:rsidR="00744859">
              <w:rPr>
                <w:rFonts w:eastAsia="Times New Roman" w:cs="Calibri"/>
                <w:b/>
                <w:color w:val="000000"/>
                <w:lang w:eastAsia="fr-FR"/>
              </w:rPr>
              <w:t>1584</w:t>
            </w:r>
            <w:r w:rsidRPr="00EA5121">
              <w:rPr>
                <w:rFonts w:eastAsia="Times New Roman" w:cs="Calibri"/>
                <w:b/>
                <w:color w:val="000000"/>
                <w:lang w:eastAsia="fr-FR"/>
              </w:rPr>
              <w:t>5)</w:t>
            </w:r>
            <w:r>
              <w:rPr>
                <w:rFonts w:eastAsia="Times New Roman" w:cs="Calibri"/>
                <w:b/>
                <w:color w:val="000000"/>
                <w:lang w:eastAsia="fr-FR"/>
              </w:rPr>
              <w:t xml:space="preserve"> </w:t>
            </w:r>
          </w:p>
        </w:tc>
        <w:tc>
          <w:tcPr>
            <w:tcW w:w="1701" w:type="dxa"/>
            <w:shd w:val="clear" w:color="auto" w:fill="auto"/>
            <w:noWrap/>
            <w:vAlign w:val="center"/>
            <w:hideMark/>
          </w:tcPr>
          <w:p w14:paraId="5DBE3750"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655CD319"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51B5A86"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756C847E"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5F23D05B"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751B3D92" w14:textId="77777777" w:rsidTr="003E46D8">
        <w:trPr>
          <w:trHeight w:val="300"/>
          <w:jc w:val="center"/>
        </w:trPr>
        <w:tc>
          <w:tcPr>
            <w:tcW w:w="3402" w:type="dxa"/>
            <w:shd w:val="clear" w:color="auto" w:fill="auto"/>
            <w:noWrap/>
            <w:vAlign w:val="center"/>
            <w:hideMark/>
          </w:tcPr>
          <w:p w14:paraId="36D61A5D"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Non</w:t>
            </w:r>
            <w:r>
              <w:rPr>
                <w:rFonts w:eastAsia="Times New Roman" w:cs="Calibri"/>
                <w:color w:val="000000"/>
                <w:lang w:eastAsia="fr-FR"/>
              </w:rPr>
              <w:t xml:space="preserve"> </w:t>
            </w:r>
          </w:p>
        </w:tc>
        <w:tc>
          <w:tcPr>
            <w:tcW w:w="1701" w:type="dxa"/>
            <w:shd w:val="clear" w:color="auto" w:fill="auto"/>
            <w:noWrap/>
            <w:vAlign w:val="center"/>
            <w:hideMark/>
          </w:tcPr>
          <w:p w14:paraId="4EBE3A46" w14:textId="7EBDD32D"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1386 (87.50%)</w:t>
            </w:r>
          </w:p>
        </w:tc>
        <w:tc>
          <w:tcPr>
            <w:tcW w:w="1701" w:type="dxa"/>
            <w:shd w:val="clear" w:color="auto" w:fill="auto"/>
            <w:noWrap/>
            <w:vAlign w:val="center"/>
            <w:hideMark/>
          </w:tcPr>
          <w:p w14:paraId="72CE7D1F" w14:textId="0B4EBE0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1318 (87.57%)</w:t>
            </w:r>
          </w:p>
        </w:tc>
        <w:tc>
          <w:tcPr>
            <w:tcW w:w="1701" w:type="dxa"/>
            <w:shd w:val="clear" w:color="auto" w:fill="auto"/>
            <w:noWrap/>
            <w:vAlign w:val="center"/>
            <w:hideMark/>
          </w:tcPr>
          <w:p w14:paraId="76A30B77" w14:textId="680BC2A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68 (86.08%)</w:t>
            </w:r>
          </w:p>
        </w:tc>
        <w:tc>
          <w:tcPr>
            <w:tcW w:w="1701" w:type="dxa"/>
            <w:shd w:val="clear" w:color="auto" w:fill="auto"/>
            <w:noWrap/>
            <w:vAlign w:val="center"/>
            <w:hideMark/>
          </w:tcPr>
          <w:p w14:paraId="67FBC226" w14:textId="45671D4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405417A0" w14:textId="4E5E8FA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0.69</w:t>
            </w:r>
          </w:p>
        </w:tc>
      </w:tr>
      <w:tr w:rsidR="00B023C0" w:rsidRPr="00EA5121" w14:paraId="58803B94" w14:textId="77777777" w:rsidTr="003E46D8">
        <w:trPr>
          <w:trHeight w:val="300"/>
          <w:jc w:val="center"/>
        </w:trPr>
        <w:tc>
          <w:tcPr>
            <w:tcW w:w="3402" w:type="dxa"/>
            <w:shd w:val="clear" w:color="auto" w:fill="auto"/>
            <w:noWrap/>
            <w:vAlign w:val="center"/>
            <w:hideMark/>
          </w:tcPr>
          <w:p w14:paraId="3116122F"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Oui</w:t>
            </w:r>
            <w:r>
              <w:rPr>
                <w:rFonts w:eastAsia="Times New Roman" w:cs="Calibri"/>
                <w:color w:val="000000"/>
                <w:lang w:eastAsia="fr-FR"/>
              </w:rPr>
              <w:t xml:space="preserve"> </w:t>
            </w:r>
          </w:p>
        </w:tc>
        <w:tc>
          <w:tcPr>
            <w:tcW w:w="1701" w:type="dxa"/>
            <w:shd w:val="clear" w:color="auto" w:fill="auto"/>
            <w:noWrap/>
            <w:vAlign w:val="center"/>
            <w:hideMark/>
          </w:tcPr>
          <w:p w14:paraId="36C47090" w14:textId="72625A44"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198 (12.50%)</w:t>
            </w:r>
          </w:p>
        </w:tc>
        <w:tc>
          <w:tcPr>
            <w:tcW w:w="1701" w:type="dxa"/>
            <w:shd w:val="clear" w:color="auto" w:fill="auto"/>
            <w:noWrap/>
            <w:vAlign w:val="center"/>
            <w:hideMark/>
          </w:tcPr>
          <w:p w14:paraId="291F15D6" w14:textId="496B764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187 (12.43%)</w:t>
            </w:r>
          </w:p>
        </w:tc>
        <w:tc>
          <w:tcPr>
            <w:tcW w:w="1701" w:type="dxa"/>
            <w:shd w:val="clear" w:color="auto" w:fill="auto"/>
            <w:noWrap/>
            <w:vAlign w:val="center"/>
            <w:hideMark/>
          </w:tcPr>
          <w:p w14:paraId="28957E32" w14:textId="1312E9F5"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 (13.92%)</w:t>
            </w:r>
          </w:p>
        </w:tc>
        <w:tc>
          <w:tcPr>
            <w:tcW w:w="1701" w:type="dxa"/>
            <w:shd w:val="clear" w:color="auto" w:fill="auto"/>
            <w:noWrap/>
            <w:vAlign w:val="center"/>
            <w:hideMark/>
          </w:tcPr>
          <w:p w14:paraId="0A171AA3" w14:textId="1C4769D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1.14 [0.59;2.20]</w:t>
            </w:r>
          </w:p>
        </w:tc>
        <w:tc>
          <w:tcPr>
            <w:tcW w:w="863" w:type="dxa"/>
            <w:shd w:val="clear" w:color="auto" w:fill="auto"/>
            <w:noWrap/>
            <w:vAlign w:val="center"/>
            <w:hideMark/>
          </w:tcPr>
          <w:p w14:paraId="336583DB" w14:textId="77777777" w:rsidR="00B023C0" w:rsidRPr="00EA5121" w:rsidRDefault="00B023C0" w:rsidP="00B023C0">
            <w:pPr>
              <w:spacing w:after="0" w:line="240" w:lineRule="auto"/>
              <w:jc w:val="center"/>
              <w:rPr>
                <w:rFonts w:eastAsia="Times New Roman" w:cs="Calibri"/>
                <w:color w:val="000000"/>
                <w:lang w:eastAsia="fr-FR"/>
              </w:rPr>
            </w:pPr>
          </w:p>
        </w:tc>
      </w:tr>
      <w:tr w:rsidR="00B023C0" w:rsidRPr="00EA5121" w14:paraId="0B60A1C6" w14:textId="77777777" w:rsidTr="003E46D8">
        <w:trPr>
          <w:trHeight w:val="300"/>
          <w:jc w:val="center"/>
        </w:trPr>
        <w:tc>
          <w:tcPr>
            <w:tcW w:w="3402" w:type="dxa"/>
            <w:shd w:val="clear" w:color="auto" w:fill="auto"/>
            <w:noWrap/>
            <w:vAlign w:val="center"/>
            <w:hideMark/>
          </w:tcPr>
          <w:p w14:paraId="4A7A807F" w14:textId="06B2377F" w:rsidR="00B023C0" w:rsidRPr="00EA5121" w:rsidRDefault="00B023C0" w:rsidP="00B023C0">
            <w:pPr>
              <w:spacing w:after="0" w:line="240" w:lineRule="auto"/>
              <w:rPr>
                <w:rFonts w:eastAsia="Times New Roman" w:cs="Calibri"/>
                <w:b/>
                <w:color w:val="000000"/>
                <w:lang w:eastAsia="fr-FR"/>
              </w:rPr>
            </w:pPr>
            <w:proofErr w:type="spellStart"/>
            <w:r>
              <w:rPr>
                <w:rFonts w:eastAsia="Times New Roman" w:cs="Calibri"/>
                <w:b/>
                <w:color w:val="000000"/>
                <w:lang w:val="en-US" w:eastAsia="fr-FR"/>
              </w:rPr>
              <w:t>A</w:t>
            </w:r>
            <w:r w:rsidRPr="00156EE3">
              <w:rPr>
                <w:rFonts w:eastAsia="Times New Roman" w:cs="Calibri"/>
                <w:b/>
                <w:color w:val="000000"/>
                <w:lang w:val="en-US" w:eastAsia="fr-FR"/>
              </w:rPr>
              <w:t>ntiaggregant</w:t>
            </w:r>
            <w:proofErr w:type="spellEnd"/>
            <w:r w:rsidRPr="00156EE3">
              <w:rPr>
                <w:rFonts w:eastAsia="Times New Roman" w:cs="Calibri"/>
                <w:b/>
                <w:color w:val="000000"/>
                <w:lang w:val="en-US" w:eastAsia="fr-FR"/>
              </w:rPr>
              <w:t xml:space="preserve"> treatment</w:t>
            </w:r>
            <w:r w:rsidRPr="00156EE3">
              <w:rPr>
                <w:rFonts w:eastAsia="Times New Roman" w:cs="Calibri"/>
                <w:b/>
                <w:color w:val="000000"/>
                <w:lang w:eastAsia="fr-FR"/>
              </w:rPr>
              <w:t xml:space="preserve"> </w:t>
            </w:r>
            <w:r w:rsidRPr="00EA5121">
              <w:rPr>
                <w:rFonts w:eastAsia="Times New Roman" w:cs="Calibri"/>
                <w:b/>
                <w:color w:val="000000"/>
                <w:lang w:eastAsia="fr-FR"/>
              </w:rPr>
              <w:t>(N=</w:t>
            </w:r>
            <w:r w:rsidR="00744859">
              <w:rPr>
                <w:rFonts w:eastAsia="Times New Roman" w:cs="Calibri"/>
                <w:b/>
                <w:color w:val="000000"/>
                <w:lang w:eastAsia="fr-FR"/>
              </w:rPr>
              <w:t>1585</w:t>
            </w:r>
            <w:r w:rsidRPr="00EA5121">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center"/>
            <w:hideMark/>
          </w:tcPr>
          <w:p w14:paraId="58A058E9"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1A7FB525"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3054FF65" w14:textId="77777777" w:rsidR="00B023C0" w:rsidRPr="00EA5121" w:rsidRDefault="00B023C0" w:rsidP="00B023C0">
            <w:pPr>
              <w:spacing w:after="0" w:line="240" w:lineRule="auto"/>
              <w:rPr>
                <w:rFonts w:eastAsia="Times New Roman" w:cs="Calibri"/>
                <w:b/>
                <w:color w:val="000000"/>
                <w:lang w:eastAsia="fr-FR"/>
              </w:rPr>
            </w:pPr>
          </w:p>
        </w:tc>
        <w:tc>
          <w:tcPr>
            <w:tcW w:w="1701" w:type="dxa"/>
            <w:shd w:val="clear" w:color="auto" w:fill="auto"/>
            <w:noWrap/>
            <w:vAlign w:val="center"/>
            <w:hideMark/>
          </w:tcPr>
          <w:p w14:paraId="47D68CF3" w14:textId="77777777" w:rsidR="00B023C0" w:rsidRPr="00EA5121" w:rsidRDefault="00B023C0" w:rsidP="00B023C0">
            <w:pPr>
              <w:spacing w:after="0" w:line="240" w:lineRule="auto"/>
              <w:rPr>
                <w:rFonts w:eastAsia="Times New Roman" w:cs="Calibri"/>
                <w:b/>
                <w:color w:val="000000"/>
                <w:lang w:eastAsia="fr-FR"/>
              </w:rPr>
            </w:pPr>
          </w:p>
        </w:tc>
        <w:tc>
          <w:tcPr>
            <w:tcW w:w="863" w:type="dxa"/>
            <w:shd w:val="clear" w:color="auto" w:fill="auto"/>
            <w:noWrap/>
            <w:vAlign w:val="center"/>
            <w:hideMark/>
          </w:tcPr>
          <w:p w14:paraId="0CEA1628" w14:textId="77777777" w:rsidR="00B023C0" w:rsidRPr="00EA5121" w:rsidRDefault="00B023C0" w:rsidP="00B023C0">
            <w:pPr>
              <w:spacing w:after="0" w:line="240" w:lineRule="auto"/>
              <w:rPr>
                <w:rFonts w:eastAsia="Times New Roman" w:cs="Calibri"/>
                <w:b/>
                <w:color w:val="000000"/>
                <w:lang w:eastAsia="fr-FR"/>
              </w:rPr>
            </w:pPr>
          </w:p>
        </w:tc>
      </w:tr>
      <w:tr w:rsidR="00B023C0" w:rsidRPr="00EA5121" w14:paraId="3C8CE42E" w14:textId="77777777" w:rsidTr="003E46D8">
        <w:trPr>
          <w:trHeight w:val="300"/>
          <w:jc w:val="center"/>
        </w:trPr>
        <w:tc>
          <w:tcPr>
            <w:tcW w:w="3402" w:type="dxa"/>
            <w:shd w:val="clear" w:color="auto" w:fill="auto"/>
            <w:noWrap/>
            <w:vAlign w:val="center"/>
            <w:hideMark/>
          </w:tcPr>
          <w:p w14:paraId="152AE6F9"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Non</w:t>
            </w:r>
            <w:r>
              <w:rPr>
                <w:rFonts w:eastAsia="Times New Roman" w:cs="Calibri"/>
                <w:color w:val="000000"/>
                <w:lang w:eastAsia="fr-FR"/>
              </w:rPr>
              <w:t xml:space="preserve"> </w:t>
            </w:r>
          </w:p>
        </w:tc>
        <w:tc>
          <w:tcPr>
            <w:tcW w:w="1701" w:type="dxa"/>
            <w:shd w:val="clear" w:color="auto" w:fill="auto"/>
            <w:noWrap/>
            <w:vAlign w:val="center"/>
            <w:hideMark/>
          </w:tcPr>
          <w:p w14:paraId="29EBA138" w14:textId="72F12C4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1260 (79.50%)</w:t>
            </w:r>
          </w:p>
        </w:tc>
        <w:tc>
          <w:tcPr>
            <w:tcW w:w="1701" w:type="dxa"/>
            <w:shd w:val="clear" w:color="auto" w:fill="auto"/>
            <w:noWrap/>
            <w:vAlign w:val="center"/>
            <w:hideMark/>
          </w:tcPr>
          <w:p w14:paraId="4F94B51D" w14:textId="71953216"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1199 (79.67%)</w:t>
            </w:r>
          </w:p>
        </w:tc>
        <w:tc>
          <w:tcPr>
            <w:tcW w:w="1701" w:type="dxa"/>
            <w:shd w:val="clear" w:color="auto" w:fill="auto"/>
            <w:noWrap/>
            <w:vAlign w:val="center"/>
            <w:hideMark/>
          </w:tcPr>
          <w:p w14:paraId="16F4F639" w14:textId="7E4D62C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61 (76.25%)</w:t>
            </w:r>
          </w:p>
        </w:tc>
        <w:tc>
          <w:tcPr>
            <w:tcW w:w="1701" w:type="dxa"/>
            <w:shd w:val="clear" w:color="auto" w:fill="auto"/>
            <w:noWrap/>
            <w:vAlign w:val="center"/>
            <w:hideMark/>
          </w:tcPr>
          <w:p w14:paraId="4E96B6A2" w14:textId="4A10F5E8"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1.00</w:t>
            </w:r>
          </w:p>
        </w:tc>
        <w:tc>
          <w:tcPr>
            <w:tcW w:w="863" w:type="dxa"/>
            <w:shd w:val="clear" w:color="auto" w:fill="auto"/>
            <w:noWrap/>
            <w:vAlign w:val="center"/>
            <w:hideMark/>
          </w:tcPr>
          <w:p w14:paraId="06E93B19" w14:textId="02934A7E"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0.46</w:t>
            </w:r>
          </w:p>
        </w:tc>
      </w:tr>
      <w:tr w:rsidR="00B023C0" w:rsidRPr="00EA5121" w14:paraId="3CBE7372" w14:textId="77777777" w:rsidTr="003E46D8">
        <w:trPr>
          <w:trHeight w:val="300"/>
          <w:jc w:val="center"/>
        </w:trPr>
        <w:tc>
          <w:tcPr>
            <w:tcW w:w="3402" w:type="dxa"/>
            <w:shd w:val="clear" w:color="auto" w:fill="auto"/>
            <w:noWrap/>
            <w:vAlign w:val="center"/>
            <w:hideMark/>
          </w:tcPr>
          <w:p w14:paraId="041A9819" w14:textId="77777777" w:rsidR="00B023C0" w:rsidRPr="00EA5121" w:rsidRDefault="00B023C0" w:rsidP="00B023C0">
            <w:pPr>
              <w:spacing w:after="0" w:line="240" w:lineRule="auto"/>
              <w:jc w:val="right"/>
              <w:rPr>
                <w:rFonts w:eastAsia="Times New Roman" w:cs="Calibri"/>
                <w:color w:val="000000"/>
                <w:lang w:eastAsia="fr-FR"/>
              </w:rPr>
            </w:pPr>
            <w:r w:rsidRPr="00EA5121">
              <w:rPr>
                <w:rFonts w:eastAsia="Times New Roman" w:cs="Calibri"/>
                <w:color w:val="000000"/>
                <w:lang w:eastAsia="fr-FR"/>
              </w:rPr>
              <w:t>Oui</w:t>
            </w:r>
            <w:r>
              <w:rPr>
                <w:rFonts w:eastAsia="Times New Roman" w:cs="Calibri"/>
                <w:color w:val="000000"/>
                <w:lang w:eastAsia="fr-FR"/>
              </w:rPr>
              <w:t xml:space="preserve"> </w:t>
            </w:r>
          </w:p>
        </w:tc>
        <w:tc>
          <w:tcPr>
            <w:tcW w:w="1701" w:type="dxa"/>
            <w:shd w:val="clear" w:color="auto" w:fill="auto"/>
            <w:noWrap/>
            <w:vAlign w:val="center"/>
            <w:hideMark/>
          </w:tcPr>
          <w:p w14:paraId="0B49B354" w14:textId="0D474DBB"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325 (20.50%)</w:t>
            </w:r>
          </w:p>
        </w:tc>
        <w:tc>
          <w:tcPr>
            <w:tcW w:w="1701" w:type="dxa"/>
            <w:shd w:val="clear" w:color="auto" w:fill="auto"/>
            <w:noWrap/>
            <w:vAlign w:val="center"/>
            <w:hideMark/>
          </w:tcPr>
          <w:p w14:paraId="2571527E" w14:textId="1D737542"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306 (20.33%)</w:t>
            </w:r>
          </w:p>
        </w:tc>
        <w:tc>
          <w:tcPr>
            <w:tcW w:w="1701" w:type="dxa"/>
            <w:shd w:val="clear" w:color="auto" w:fill="auto"/>
            <w:noWrap/>
            <w:vAlign w:val="center"/>
            <w:hideMark/>
          </w:tcPr>
          <w:p w14:paraId="07766F5D" w14:textId="74AB0CF9"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19 (23.75%)</w:t>
            </w:r>
          </w:p>
        </w:tc>
        <w:tc>
          <w:tcPr>
            <w:tcW w:w="1701" w:type="dxa"/>
            <w:shd w:val="clear" w:color="auto" w:fill="auto"/>
            <w:noWrap/>
            <w:vAlign w:val="center"/>
            <w:hideMark/>
          </w:tcPr>
          <w:p w14:paraId="659AF01D" w14:textId="4A3663FC" w:rsidR="00B023C0" w:rsidRPr="00EA5121" w:rsidRDefault="00B023C0" w:rsidP="00B023C0">
            <w:pPr>
              <w:spacing w:after="0" w:line="240" w:lineRule="auto"/>
              <w:jc w:val="center"/>
              <w:rPr>
                <w:rFonts w:eastAsia="Times New Roman" w:cs="Calibri"/>
                <w:color w:val="000000"/>
                <w:lang w:eastAsia="fr-FR"/>
              </w:rPr>
            </w:pPr>
            <w:r w:rsidRPr="001C70F5">
              <w:rPr>
                <w:rFonts w:eastAsia="Times New Roman" w:cs="Calibri"/>
                <w:color w:val="000000"/>
                <w:lang w:eastAsia="fr-FR"/>
              </w:rPr>
              <w:t>1.22 [0.72;2.07]</w:t>
            </w:r>
          </w:p>
        </w:tc>
        <w:tc>
          <w:tcPr>
            <w:tcW w:w="863" w:type="dxa"/>
            <w:shd w:val="clear" w:color="auto" w:fill="auto"/>
            <w:noWrap/>
            <w:vAlign w:val="center"/>
            <w:hideMark/>
          </w:tcPr>
          <w:p w14:paraId="03FA849F" w14:textId="77777777" w:rsidR="00B023C0" w:rsidRPr="00EA5121" w:rsidRDefault="00B023C0" w:rsidP="00B023C0">
            <w:pPr>
              <w:spacing w:after="0" w:line="240" w:lineRule="auto"/>
              <w:jc w:val="center"/>
              <w:rPr>
                <w:rFonts w:eastAsia="Times New Roman" w:cs="Calibri"/>
                <w:color w:val="000000"/>
                <w:lang w:eastAsia="fr-FR"/>
              </w:rPr>
            </w:pPr>
          </w:p>
        </w:tc>
      </w:tr>
    </w:tbl>
    <w:p w14:paraId="715FB247" w14:textId="77777777" w:rsidR="0049627F" w:rsidRDefault="00F621F3" w:rsidP="00297964">
      <w:pPr>
        <w:rPr>
          <w:lang w:val="en-US"/>
        </w:rPr>
      </w:pPr>
      <w:proofErr w:type="gramStart"/>
      <w:r>
        <w:rPr>
          <w:lang w:val="en-US"/>
        </w:rPr>
        <w:t>BMI :</w:t>
      </w:r>
      <w:proofErr w:type="gramEnd"/>
      <w:r>
        <w:rPr>
          <w:lang w:val="en-US"/>
        </w:rPr>
        <w:t xml:space="preserve"> Body mass index; COPD: chronic obstructive pulmonary diseases; SAS: sleep </w:t>
      </w:r>
      <w:proofErr w:type="spellStart"/>
      <w:r>
        <w:rPr>
          <w:lang w:val="en-US"/>
        </w:rPr>
        <w:t>apnoea</w:t>
      </w:r>
      <w:proofErr w:type="spellEnd"/>
      <w:r>
        <w:rPr>
          <w:lang w:val="en-US"/>
        </w:rPr>
        <w:t xml:space="preserve"> syndrome</w:t>
      </w:r>
    </w:p>
    <w:p w14:paraId="7F475423" w14:textId="77777777" w:rsidR="00AE265D" w:rsidRDefault="00AE265D" w:rsidP="00AD17C6">
      <w:pPr>
        <w:rPr>
          <w:lang w:val="en-US"/>
        </w:rPr>
      </w:pPr>
    </w:p>
    <w:p w14:paraId="6E73B6C7" w14:textId="77777777" w:rsidR="00AE265D" w:rsidRDefault="00AE265D">
      <w:pPr>
        <w:rPr>
          <w:lang w:val="en-US"/>
        </w:rPr>
      </w:pPr>
      <w:r>
        <w:rPr>
          <w:lang w:val="en-US"/>
        </w:rPr>
        <w:br w:type="page"/>
      </w:r>
    </w:p>
    <w:p w14:paraId="6837D811" w14:textId="77777777" w:rsidR="00AE265D" w:rsidRPr="00AA73FA" w:rsidRDefault="00AE265D" w:rsidP="00AE265D">
      <w:pPr>
        <w:rPr>
          <w:lang w:val="en-US"/>
        </w:rPr>
      </w:pPr>
      <w:r w:rsidRPr="00624973">
        <w:rPr>
          <w:u w:val="single"/>
          <w:lang w:val="en-US"/>
        </w:rPr>
        <w:lastRenderedPageBreak/>
        <w:t xml:space="preserve">Supplementary table </w:t>
      </w:r>
      <w:r>
        <w:rPr>
          <w:u w:val="single"/>
          <w:lang w:val="en-US"/>
        </w:rPr>
        <w:t>2</w:t>
      </w:r>
      <w:r>
        <w:rPr>
          <w:lang w:val="en-US"/>
        </w:rPr>
        <w:t xml:space="preserve">: ICU requirement (“ICU group”): </w:t>
      </w:r>
      <w:proofErr w:type="spellStart"/>
      <w:r w:rsidRPr="00AA73FA">
        <w:rPr>
          <w:lang w:val="en-US"/>
        </w:rPr>
        <w:t>Tocilizumab</w:t>
      </w:r>
      <w:proofErr w:type="spellEnd"/>
      <w:r w:rsidRPr="00AA73FA">
        <w:rPr>
          <w:lang w:val="en-US"/>
        </w:rPr>
        <w:t xml:space="preserve"> versus absence of </w:t>
      </w:r>
      <w:proofErr w:type="spellStart"/>
      <w:r w:rsidRPr="00AA73FA">
        <w:rPr>
          <w:lang w:val="en-US"/>
        </w:rPr>
        <w:t>Tocilizumab</w:t>
      </w:r>
      <w:proofErr w:type="spellEnd"/>
    </w:p>
    <w:tbl>
      <w:tblPr>
        <w:tblW w:w="1106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863"/>
      </w:tblGrid>
      <w:tr w:rsidR="00AE265D" w:rsidRPr="001E5E77" w14:paraId="16EF69AF" w14:textId="77777777" w:rsidTr="00E37E60">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4168F40B" w14:textId="77777777" w:rsidR="00AE265D" w:rsidRPr="00AA73FA" w:rsidRDefault="00AE265D" w:rsidP="00E37E60">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72672B1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Total (N=984)</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AED6DDE" w14:textId="77777777" w:rsidR="00AE265D" w:rsidRPr="001E5E77" w:rsidRDefault="00AE265D" w:rsidP="00E37E60">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Pr="001E5E77">
              <w:rPr>
                <w:rFonts w:eastAsia="Times New Roman" w:cs="Calibri"/>
                <w:color w:val="000000"/>
                <w:lang w:eastAsia="fr-FR"/>
              </w:rPr>
              <w:t>ocilizumab</w:t>
            </w:r>
            <w:proofErr w:type="spellEnd"/>
            <w:r w:rsidRPr="001E5E77">
              <w:rPr>
                <w:rFonts w:eastAsia="Times New Roman" w:cs="Calibri"/>
                <w:color w:val="000000"/>
                <w:lang w:eastAsia="fr-FR"/>
              </w:rPr>
              <w:t xml:space="preserve"> (N=872)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019CCD5F" w14:textId="77777777" w:rsidR="00AE265D" w:rsidRPr="001E5E77" w:rsidRDefault="00AE265D" w:rsidP="00E37E60">
            <w:pPr>
              <w:spacing w:after="0" w:line="240" w:lineRule="auto"/>
              <w:jc w:val="center"/>
              <w:rPr>
                <w:rFonts w:eastAsia="Times New Roman" w:cs="Calibri"/>
                <w:color w:val="000000"/>
                <w:lang w:eastAsia="fr-FR"/>
              </w:rPr>
            </w:pPr>
            <w:proofErr w:type="spellStart"/>
            <w:r w:rsidRPr="001E5E77">
              <w:rPr>
                <w:rFonts w:eastAsia="Times New Roman" w:cs="Calibri"/>
                <w:color w:val="000000"/>
                <w:lang w:eastAsia="fr-FR"/>
              </w:rPr>
              <w:t>Tocilizumab</w:t>
            </w:r>
            <w:proofErr w:type="spellEnd"/>
            <w:r w:rsidRPr="001E5E77">
              <w:rPr>
                <w:rFonts w:eastAsia="Times New Roman" w:cs="Calibri"/>
                <w:color w:val="000000"/>
                <w:lang w:eastAsia="fr-FR"/>
              </w:rPr>
              <w:t xml:space="preserve"> (N=112)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77F626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OR [IC95%]</w:t>
            </w:r>
          </w:p>
        </w:tc>
        <w:tc>
          <w:tcPr>
            <w:tcW w:w="863" w:type="dxa"/>
            <w:tcBorders>
              <w:top w:val="single" w:sz="4" w:space="0" w:color="auto"/>
              <w:bottom w:val="single" w:sz="4" w:space="0" w:color="auto"/>
            </w:tcBorders>
            <w:shd w:val="clear" w:color="auto" w:fill="D9D9D9" w:themeFill="background1" w:themeFillShade="D9"/>
            <w:noWrap/>
            <w:vAlign w:val="bottom"/>
            <w:hideMark/>
          </w:tcPr>
          <w:p w14:paraId="6CEE8EF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p</w:t>
            </w:r>
          </w:p>
        </w:tc>
      </w:tr>
      <w:tr w:rsidR="00AE265D" w:rsidRPr="001C70F5" w14:paraId="123E4CB1" w14:textId="77777777" w:rsidTr="00E37E60">
        <w:trPr>
          <w:trHeight w:val="300"/>
          <w:jc w:val="center"/>
        </w:trPr>
        <w:tc>
          <w:tcPr>
            <w:tcW w:w="3402" w:type="dxa"/>
            <w:tcBorders>
              <w:top w:val="single" w:sz="4" w:space="0" w:color="auto"/>
            </w:tcBorders>
            <w:shd w:val="clear" w:color="auto" w:fill="auto"/>
            <w:noWrap/>
            <w:vAlign w:val="center"/>
            <w:hideMark/>
          </w:tcPr>
          <w:p w14:paraId="79B60ADB"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Center of inclusion</w:t>
            </w:r>
            <w:r w:rsidRPr="001C70F5">
              <w:rPr>
                <w:rFonts w:eastAsia="Times New Roman" w:cs="Calibri"/>
                <w:b/>
                <w:color w:val="000000"/>
                <w:lang w:eastAsia="fr-FR"/>
              </w:rPr>
              <w:t xml:space="preserve"> (N=979)</w:t>
            </w:r>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57CB5ACF" w14:textId="77777777" w:rsidR="00AE265D" w:rsidRPr="001C70F5" w:rsidRDefault="00AE265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2F679C94" w14:textId="77777777" w:rsidR="00AE265D" w:rsidRPr="001C70F5" w:rsidRDefault="00AE265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34EEAA64" w14:textId="77777777" w:rsidR="00AE265D" w:rsidRPr="001C70F5" w:rsidRDefault="00AE265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430B82E3" w14:textId="77777777" w:rsidR="00AE265D" w:rsidRPr="001C70F5" w:rsidRDefault="00AE265D" w:rsidP="00E37E60">
            <w:pPr>
              <w:spacing w:after="0" w:line="240" w:lineRule="auto"/>
              <w:rPr>
                <w:rFonts w:eastAsia="Times New Roman" w:cs="Calibri"/>
                <w:b/>
                <w:color w:val="000000"/>
                <w:lang w:eastAsia="fr-FR"/>
              </w:rPr>
            </w:pPr>
          </w:p>
        </w:tc>
        <w:tc>
          <w:tcPr>
            <w:tcW w:w="863" w:type="dxa"/>
            <w:tcBorders>
              <w:top w:val="single" w:sz="4" w:space="0" w:color="auto"/>
            </w:tcBorders>
            <w:shd w:val="clear" w:color="auto" w:fill="auto"/>
            <w:noWrap/>
            <w:vAlign w:val="bottom"/>
            <w:hideMark/>
          </w:tcPr>
          <w:p w14:paraId="2BA92006"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490709E5" w14:textId="77777777" w:rsidTr="00E37E60">
        <w:trPr>
          <w:trHeight w:val="300"/>
          <w:jc w:val="center"/>
        </w:trPr>
        <w:tc>
          <w:tcPr>
            <w:tcW w:w="3402" w:type="dxa"/>
            <w:shd w:val="clear" w:color="auto" w:fill="auto"/>
            <w:noWrap/>
            <w:vAlign w:val="center"/>
            <w:hideMark/>
          </w:tcPr>
          <w:p w14:paraId="7B10D2DA" w14:textId="77777777" w:rsidR="00AE265D" w:rsidRPr="001E5E77" w:rsidRDefault="00AE265D" w:rsidP="00E37E60">
            <w:pPr>
              <w:spacing w:after="0" w:line="240" w:lineRule="auto"/>
              <w:jc w:val="right"/>
              <w:rPr>
                <w:rFonts w:eastAsia="Times New Roman" w:cs="Calibri"/>
                <w:color w:val="000000"/>
                <w:lang w:eastAsia="fr-FR"/>
              </w:rPr>
            </w:pPr>
            <w:r>
              <w:rPr>
                <w:rFonts w:eastAsia="Times New Roman" w:cs="Calibri"/>
                <w:color w:val="000000"/>
                <w:lang w:eastAsia="fr-FR"/>
              </w:rPr>
              <w:t xml:space="preserve">Center 1 </w:t>
            </w:r>
          </w:p>
        </w:tc>
        <w:tc>
          <w:tcPr>
            <w:tcW w:w="1701" w:type="dxa"/>
            <w:shd w:val="clear" w:color="auto" w:fill="auto"/>
            <w:noWrap/>
            <w:vAlign w:val="bottom"/>
            <w:hideMark/>
          </w:tcPr>
          <w:p w14:paraId="4F75EA0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434 (44.33%)</w:t>
            </w:r>
          </w:p>
        </w:tc>
        <w:tc>
          <w:tcPr>
            <w:tcW w:w="1701" w:type="dxa"/>
            <w:shd w:val="clear" w:color="auto" w:fill="auto"/>
            <w:noWrap/>
            <w:vAlign w:val="bottom"/>
            <w:hideMark/>
          </w:tcPr>
          <w:p w14:paraId="799F2F7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376 (43.37%)</w:t>
            </w:r>
          </w:p>
        </w:tc>
        <w:tc>
          <w:tcPr>
            <w:tcW w:w="1701" w:type="dxa"/>
            <w:shd w:val="clear" w:color="auto" w:fill="auto"/>
            <w:noWrap/>
            <w:vAlign w:val="bottom"/>
            <w:hideMark/>
          </w:tcPr>
          <w:p w14:paraId="6AEC887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58 (51.79%)</w:t>
            </w:r>
          </w:p>
        </w:tc>
        <w:tc>
          <w:tcPr>
            <w:tcW w:w="1701" w:type="dxa"/>
            <w:shd w:val="clear" w:color="auto" w:fill="auto"/>
            <w:noWrap/>
            <w:vAlign w:val="bottom"/>
            <w:hideMark/>
          </w:tcPr>
          <w:p w14:paraId="0F3B81A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78EA212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&lt;0.0001</w:t>
            </w:r>
          </w:p>
        </w:tc>
      </w:tr>
      <w:tr w:rsidR="00AE265D" w:rsidRPr="001E5E77" w14:paraId="63C4824B" w14:textId="77777777" w:rsidTr="00E37E60">
        <w:trPr>
          <w:trHeight w:val="300"/>
          <w:jc w:val="center"/>
        </w:trPr>
        <w:tc>
          <w:tcPr>
            <w:tcW w:w="3402" w:type="dxa"/>
            <w:shd w:val="clear" w:color="auto" w:fill="auto"/>
            <w:noWrap/>
            <w:vAlign w:val="center"/>
            <w:hideMark/>
          </w:tcPr>
          <w:p w14:paraId="2E137487" w14:textId="77777777" w:rsidR="00AE265D" w:rsidRPr="001E5E77" w:rsidRDefault="00AE265D" w:rsidP="00E37E60">
            <w:pPr>
              <w:spacing w:after="0" w:line="240" w:lineRule="auto"/>
              <w:jc w:val="right"/>
              <w:rPr>
                <w:rFonts w:eastAsia="Times New Roman" w:cs="Calibri"/>
                <w:color w:val="000000"/>
                <w:lang w:eastAsia="fr-FR"/>
              </w:rPr>
            </w:pPr>
            <w:r>
              <w:rPr>
                <w:rFonts w:eastAsia="Times New Roman" w:cs="Calibri"/>
                <w:color w:val="000000"/>
                <w:lang w:eastAsia="fr-FR"/>
              </w:rPr>
              <w:t xml:space="preserve">Center 2 </w:t>
            </w:r>
          </w:p>
        </w:tc>
        <w:tc>
          <w:tcPr>
            <w:tcW w:w="1701" w:type="dxa"/>
            <w:shd w:val="clear" w:color="auto" w:fill="auto"/>
            <w:noWrap/>
            <w:vAlign w:val="bottom"/>
            <w:hideMark/>
          </w:tcPr>
          <w:p w14:paraId="3B6A2CD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289 (29.52%)</w:t>
            </w:r>
          </w:p>
        </w:tc>
        <w:tc>
          <w:tcPr>
            <w:tcW w:w="1701" w:type="dxa"/>
            <w:shd w:val="clear" w:color="auto" w:fill="auto"/>
            <w:noWrap/>
            <w:vAlign w:val="bottom"/>
            <w:hideMark/>
          </w:tcPr>
          <w:p w14:paraId="73463C9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242 (27.91%)</w:t>
            </w:r>
          </w:p>
        </w:tc>
        <w:tc>
          <w:tcPr>
            <w:tcW w:w="1701" w:type="dxa"/>
            <w:shd w:val="clear" w:color="auto" w:fill="auto"/>
            <w:noWrap/>
            <w:vAlign w:val="bottom"/>
            <w:hideMark/>
          </w:tcPr>
          <w:p w14:paraId="688F77E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47 (41.96%)</w:t>
            </w:r>
          </w:p>
        </w:tc>
        <w:tc>
          <w:tcPr>
            <w:tcW w:w="1701" w:type="dxa"/>
            <w:shd w:val="clear" w:color="auto" w:fill="auto"/>
            <w:noWrap/>
            <w:vAlign w:val="bottom"/>
            <w:hideMark/>
          </w:tcPr>
          <w:p w14:paraId="62F8775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1.26 [0.83;1.91]</w:t>
            </w:r>
          </w:p>
        </w:tc>
        <w:tc>
          <w:tcPr>
            <w:tcW w:w="863" w:type="dxa"/>
            <w:shd w:val="clear" w:color="auto" w:fill="auto"/>
            <w:noWrap/>
            <w:vAlign w:val="bottom"/>
            <w:hideMark/>
          </w:tcPr>
          <w:p w14:paraId="71083ACB"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E5E77" w14:paraId="105ABD3D" w14:textId="77777777" w:rsidTr="00E37E60">
        <w:trPr>
          <w:trHeight w:val="300"/>
          <w:jc w:val="center"/>
        </w:trPr>
        <w:tc>
          <w:tcPr>
            <w:tcW w:w="3402" w:type="dxa"/>
            <w:shd w:val="clear" w:color="auto" w:fill="auto"/>
            <w:noWrap/>
            <w:vAlign w:val="center"/>
            <w:hideMark/>
          </w:tcPr>
          <w:p w14:paraId="04C75D87" w14:textId="77777777" w:rsidR="00AE265D" w:rsidRPr="001E5E77" w:rsidRDefault="00AE265D" w:rsidP="00E37E60">
            <w:pPr>
              <w:spacing w:after="0" w:line="240" w:lineRule="auto"/>
              <w:jc w:val="right"/>
              <w:rPr>
                <w:rFonts w:eastAsia="Times New Roman" w:cs="Calibri"/>
                <w:color w:val="000000"/>
                <w:lang w:eastAsia="fr-FR"/>
              </w:rPr>
            </w:pPr>
            <w:r>
              <w:rPr>
                <w:rFonts w:eastAsia="Times New Roman" w:cs="Calibri"/>
                <w:color w:val="000000"/>
                <w:lang w:eastAsia="fr-FR"/>
              </w:rPr>
              <w:t xml:space="preserve">Center 3 </w:t>
            </w:r>
          </w:p>
        </w:tc>
        <w:tc>
          <w:tcPr>
            <w:tcW w:w="1701" w:type="dxa"/>
            <w:shd w:val="clear" w:color="auto" w:fill="auto"/>
            <w:noWrap/>
            <w:vAlign w:val="bottom"/>
            <w:hideMark/>
          </w:tcPr>
          <w:p w14:paraId="6F5BB53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256 (26.15%)</w:t>
            </w:r>
          </w:p>
        </w:tc>
        <w:tc>
          <w:tcPr>
            <w:tcW w:w="1701" w:type="dxa"/>
            <w:shd w:val="clear" w:color="auto" w:fill="auto"/>
            <w:noWrap/>
            <w:vAlign w:val="bottom"/>
            <w:hideMark/>
          </w:tcPr>
          <w:p w14:paraId="2C431F0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249 (28.72%)</w:t>
            </w:r>
          </w:p>
        </w:tc>
        <w:tc>
          <w:tcPr>
            <w:tcW w:w="1701" w:type="dxa"/>
            <w:shd w:val="clear" w:color="auto" w:fill="auto"/>
            <w:noWrap/>
            <w:vAlign w:val="bottom"/>
            <w:hideMark/>
          </w:tcPr>
          <w:p w14:paraId="260902C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 (6.25%)</w:t>
            </w:r>
          </w:p>
        </w:tc>
        <w:tc>
          <w:tcPr>
            <w:tcW w:w="1701" w:type="dxa"/>
            <w:shd w:val="clear" w:color="auto" w:fill="auto"/>
            <w:noWrap/>
            <w:vAlign w:val="bottom"/>
            <w:hideMark/>
          </w:tcPr>
          <w:p w14:paraId="42BBE2C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0.18 [0.08;0.41]</w:t>
            </w:r>
          </w:p>
        </w:tc>
        <w:tc>
          <w:tcPr>
            <w:tcW w:w="863" w:type="dxa"/>
            <w:shd w:val="clear" w:color="auto" w:fill="auto"/>
            <w:noWrap/>
            <w:vAlign w:val="bottom"/>
            <w:hideMark/>
          </w:tcPr>
          <w:p w14:paraId="3CF7FABB"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239B35E3" w14:textId="77777777" w:rsidTr="00E37E60">
        <w:trPr>
          <w:trHeight w:val="300"/>
          <w:jc w:val="center"/>
        </w:trPr>
        <w:tc>
          <w:tcPr>
            <w:tcW w:w="3402" w:type="dxa"/>
            <w:shd w:val="clear" w:color="auto" w:fill="auto"/>
            <w:noWrap/>
            <w:vAlign w:val="center"/>
            <w:hideMark/>
          </w:tcPr>
          <w:p w14:paraId="041A96D2" w14:textId="73BBC3CA" w:rsidR="00AE265D" w:rsidRPr="001C70F5" w:rsidRDefault="00AE265D" w:rsidP="00E37E60">
            <w:pPr>
              <w:spacing w:after="0" w:line="240" w:lineRule="auto"/>
              <w:rPr>
                <w:rFonts w:eastAsia="Times New Roman" w:cs="Calibri"/>
                <w:b/>
                <w:color w:val="000000"/>
                <w:lang w:eastAsia="fr-FR"/>
              </w:rPr>
            </w:pPr>
            <w:r w:rsidRPr="001C70F5">
              <w:rPr>
                <w:rFonts w:eastAsia="Times New Roman" w:cs="Calibri"/>
                <w:b/>
                <w:color w:val="000000"/>
                <w:lang w:eastAsia="fr-FR"/>
              </w:rPr>
              <w:t>Age (</w:t>
            </w:r>
            <w:proofErr w:type="spellStart"/>
            <w:r>
              <w:rPr>
                <w:rFonts w:eastAsia="Times New Roman" w:cs="Calibri"/>
                <w:b/>
                <w:color w:val="000000"/>
                <w:lang w:eastAsia="fr-FR"/>
              </w:rPr>
              <w:t>year</w:t>
            </w:r>
            <w:r w:rsidRPr="001C70F5">
              <w:rPr>
                <w:rFonts w:eastAsia="Times New Roman" w:cs="Calibri"/>
                <w:b/>
                <w:color w:val="000000"/>
                <w:lang w:eastAsia="fr-FR"/>
              </w:rPr>
              <w:t>s</w:t>
            </w:r>
            <w:proofErr w:type="spellEnd"/>
            <w:r w:rsidRPr="001C70F5">
              <w:rPr>
                <w:rFonts w:eastAsia="Times New Roman" w:cs="Calibri"/>
                <w:b/>
                <w:color w:val="000000"/>
                <w:lang w:eastAsia="fr-FR"/>
              </w:rPr>
              <w:t>)</w:t>
            </w:r>
            <w:r>
              <w:rPr>
                <w:rFonts w:eastAsia="Times New Roman" w:cs="Calibri"/>
                <w:b/>
                <w:color w:val="000000"/>
                <w:lang w:eastAsia="fr-FR"/>
              </w:rPr>
              <w:t xml:space="preserve"> </w:t>
            </w:r>
          </w:p>
        </w:tc>
        <w:tc>
          <w:tcPr>
            <w:tcW w:w="1701" w:type="dxa"/>
            <w:shd w:val="clear" w:color="auto" w:fill="auto"/>
            <w:noWrap/>
            <w:vAlign w:val="bottom"/>
            <w:hideMark/>
          </w:tcPr>
          <w:p w14:paraId="0B18989C"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9A3537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9C6D2C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B91EDFE"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28641C37"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660652F1" w14:textId="77777777" w:rsidTr="00E37E60">
        <w:trPr>
          <w:trHeight w:val="300"/>
          <w:jc w:val="center"/>
        </w:trPr>
        <w:tc>
          <w:tcPr>
            <w:tcW w:w="3402" w:type="dxa"/>
            <w:shd w:val="clear" w:color="auto" w:fill="auto"/>
            <w:noWrap/>
            <w:vAlign w:val="center"/>
            <w:hideMark/>
          </w:tcPr>
          <w:p w14:paraId="146EF905" w14:textId="77777777" w:rsidR="00AE265D" w:rsidRPr="001E5E77" w:rsidRDefault="00AE265D" w:rsidP="00E37E60">
            <w:pPr>
              <w:spacing w:after="0" w:line="240" w:lineRule="auto"/>
              <w:jc w:val="right"/>
              <w:rPr>
                <w:rFonts w:eastAsia="Times New Roman" w:cs="Calibri"/>
                <w:color w:val="000000"/>
                <w:lang w:eastAsia="fr-FR"/>
              </w:rPr>
            </w:pPr>
            <w:proofErr w:type="spellStart"/>
            <w:r w:rsidRPr="001E5E77">
              <w:rPr>
                <w:rFonts w:eastAsia="Times New Roman" w:cs="Calibri"/>
                <w:color w:val="000000"/>
                <w:lang w:eastAsia="fr-FR"/>
              </w:rPr>
              <w:t>Mean</w:t>
            </w:r>
            <w:proofErr w:type="spellEnd"/>
            <w:r w:rsidRPr="001E5E77">
              <w:rPr>
                <w:rFonts w:eastAsia="Times New Roman" w:cs="Calibri"/>
                <w:color w:val="000000"/>
                <w:lang w:eastAsia="fr-FR"/>
              </w:rPr>
              <w:t xml:space="preserve"> (SD)</w:t>
            </w:r>
            <w:r>
              <w:rPr>
                <w:rFonts w:eastAsia="Times New Roman" w:cs="Calibri"/>
                <w:color w:val="000000"/>
                <w:lang w:eastAsia="fr-FR"/>
              </w:rPr>
              <w:t xml:space="preserve"> </w:t>
            </w:r>
          </w:p>
        </w:tc>
        <w:tc>
          <w:tcPr>
            <w:tcW w:w="1701" w:type="dxa"/>
            <w:shd w:val="clear" w:color="auto" w:fill="auto"/>
            <w:noWrap/>
            <w:vAlign w:val="bottom"/>
            <w:hideMark/>
          </w:tcPr>
          <w:p w14:paraId="0053E71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61.33 (13.15)</w:t>
            </w:r>
          </w:p>
        </w:tc>
        <w:tc>
          <w:tcPr>
            <w:tcW w:w="1701" w:type="dxa"/>
            <w:shd w:val="clear" w:color="auto" w:fill="auto"/>
            <w:noWrap/>
            <w:vAlign w:val="bottom"/>
            <w:hideMark/>
          </w:tcPr>
          <w:p w14:paraId="2DD558F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61.35 (13.15)</w:t>
            </w:r>
          </w:p>
        </w:tc>
        <w:tc>
          <w:tcPr>
            <w:tcW w:w="1701" w:type="dxa"/>
            <w:shd w:val="clear" w:color="auto" w:fill="auto"/>
            <w:noWrap/>
            <w:vAlign w:val="bottom"/>
            <w:hideMark/>
          </w:tcPr>
          <w:p w14:paraId="6CC3B08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61.18 (13.14)</w:t>
            </w:r>
          </w:p>
        </w:tc>
        <w:tc>
          <w:tcPr>
            <w:tcW w:w="1701" w:type="dxa"/>
            <w:shd w:val="clear" w:color="auto" w:fill="auto"/>
            <w:noWrap/>
            <w:vAlign w:val="bottom"/>
            <w:hideMark/>
          </w:tcPr>
          <w:p w14:paraId="2A576835" w14:textId="77777777" w:rsidR="00AE265D" w:rsidRPr="001E5E77" w:rsidRDefault="00AE265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7645923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0.86</w:t>
            </w:r>
          </w:p>
        </w:tc>
      </w:tr>
      <w:tr w:rsidR="00AE265D" w:rsidRPr="001C70F5" w14:paraId="6AE5C0F1" w14:textId="77777777" w:rsidTr="00E37E60">
        <w:trPr>
          <w:trHeight w:val="300"/>
          <w:jc w:val="center"/>
        </w:trPr>
        <w:tc>
          <w:tcPr>
            <w:tcW w:w="3402" w:type="dxa"/>
            <w:shd w:val="clear" w:color="auto" w:fill="auto"/>
            <w:noWrap/>
            <w:vAlign w:val="center"/>
            <w:hideMark/>
          </w:tcPr>
          <w:p w14:paraId="1BA8CC08" w14:textId="77777777" w:rsidR="00AE265D" w:rsidRPr="001C70F5" w:rsidRDefault="00AE265D" w:rsidP="00E37E60">
            <w:pPr>
              <w:spacing w:after="0" w:line="240" w:lineRule="auto"/>
              <w:rPr>
                <w:rFonts w:eastAsia="Times New Roman" w:cs="Calibri"/>
                <w:b/>
                <w:color w:val="000000"/>
                <w:lang w:eastAsia="fr-FR"/>
              </w:rPr>
            </w:pPr>
            <w:proofErr w:type="spellStart"/>
            <w:r w:rsidRPr="001C70F5">
              <w:rPr>
                <w:rFonts w:eastAsia="Times New Roman" w:cs="Calibri"/>
                <w:b/>
                <w:color w:val="000000"/>
                <w:lang w:eastAsia="fr-FR"/>
              </w:rPr>
              <w:t>Sex</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35A818A3"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CC5F4D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14F9F59"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6A0E3BD"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654D8B4C"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401CA73A" w14:textId="77777777" w:rsidTr="00E37E60">
        <w:trPr>
          <w:trHeight w:val="300"/>
          <w:jc w:val="center"/>
        </w:trPr>
        <w:tc>
          <w:tcPr>
            <w:tcW w:w="3402" w:type="dxa"/>
            <w:shd w:val="clear" w:color="auto" w:fill="auto"/>
            <w:noWrap/>
            <w:vAlign w:val="center"/>
            <w:hideMark/>
          </w:tcPr>
          <w:p w14:paraId="0B27D1B1" w14:textId="77777777" w:rsidR="00AE265D" w:rsidRPr="001E5E77" w:rsidRDefault="00AE265D" w:rsidP="00E37E60">
            <w:pPr>
              <w:spacing w:after="0" w:line="240" w:lineRule="auto"/>
              <w:jc w:val="right"/>
              <w:rPr>
                <w:rFonts w:eastAsia="Times New Roman" w:cs="Calibri"/>
                <w:color w:val="000000"/>
                <w:lang w:eastAsia="fr-FR"/>
              </w:rPr>
            </w:pPr>
            <w:proofErr w:type="spellStart"/>
            <w:r w:rsidRPr="001E5E77">
              <w:rPr>
                <w:rFonts w:eastAsia="Times New Roman" w:cs="Calibri"/>
                <w:color w:val="000000"/>
                <w:lang w:eastAsia="fr-FR"/>
              </w:rPr>
              <w:t>F</w:t>
            </w:r>
            <w:r>
              <w:rPr>
                <w:rFonts w:eastAsia="Times New Roman" w:cs="Calibri"/>
                <w:color w:val="000000"/>
                <w:lang w:eastAsia="fr-FR"/>
              </w:rPr>
              <w:t>emale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1A43B9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306 (31.13%)</w:t>
            </w:r>
          </w:p>
        </w:tc>
        <w:tc>
          <w:tcPr>
            <w:tcW w:w="1701" w:type="dxa"/>
            <w:shd w:val="clear" w:color="auto" w:fill="auto"/>
            <w:noWrap/>
            <w:vAlign w:val="bottom"/>
            <w:hideMark/>
          </w:tcPr>
          <w:p w14:paraId="648F8E0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261 (29.97%)</w:t>
            </w:r>
          </w:p>
        </w:tc>
        <w:tc>
          <w:tcPr>
            <w:tcW w:w="1701" w:type="dxa"/>
            <w:shd w:val="clear" w:color="auto" w:fill="auto"/>
            <w:noWrap/>
            <w:vAlign w:val="bottom"/>
            <w:hideMark/>
          </w:tcPr>
          <w:p w14:paraId="7247E7B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45 (40.18%)</w:t>
            </w:r>
          </w:p>
        </w:tc>
        <w:tc>
          <w:tcPr>
            <w:tcW w:w="1701" w:type="dxa"/>
            <w:shd w:val="clear" w:color="auto" w:fill="auto"/>
            <w:noWrap/>
            <w:vAlign w:val="bottom"/>
            <w:hideMark/>
          </w:tcPr>
          <w:p w14:paraId="4B918DD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29FBE8BF"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0.0280</w:t>
            </w:r>
          </w:p>
        </w:tc>
      </w:tr>
      <w:tr w:rsidR="00AE265D" w:rsidRPr="001E5E77" w14:paraId="24AD88D9" w14:textId="77777777" w:rsidTr="00E37E60">
        <w:trPr>
          <w:trHeight w:val="300"/>
          <w:jc w:val="center"/>
        </w:trPr>
        <w:tc>
          <w:tcPr>
            <w:tcW w:w="3402" w:type="dxa"/>
            <w:shd w:val="clear" w:color="auto" w:fill="auto"/>
            <w:noWrap/>
            <w:vAlign w:val="center"/>
            <w:hideMark/>
          </w:tcPr>
          <w:p w14:paraId="26482C9F"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Ma</w:t>
            </w:r>
            <w:r>
              <w:rPr>
                <w:rFonts w:eastAsia="Times New Roman" w:cs="Calibri"/>
                <w:color w:val="000000"/>
                <w:lang w:eastAsia="fr-FR"/>
              </w:rPr>
              <w:t xml:space="preserve">le </w:t>
            </w:r>
          </w:p>
        </w:tc>
        <w:tc>
          <w:tcPr>
            <w:tcW w:w="1701" w:type="dxa"/>
            <w:shd w:val="clear" w:color="auto" w:fill="auto"/>
            <w:noWrap/>
            <w:vAlign w:val="bottom"/>
            <w:hideMark/>
          </w:tcPr>
          <w:p w14:paraId="39E48D5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677 (68.87%)</w:t>
            </w:r>
          </w:p>
        </w:tc>
        <w:tc>
          <w:tcPr>
            <w:tcW w:w="1701" w:type="dxa"/>
            <w:shd w:val="clear" w:color="auto" w:fill="auto"/>
            <w:noWrap/>
            <w:vAlign w:val="bottom"/>
            <w:hideMark/>
          </w:tcPr>
          <w:p w14:paraId="100F9B6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610 (70.03%)</w:t>
            </w:r>
          </w:p>
        </w:tc>
        <w:tc>
          <w:tcPr>
            <w:tcW w:w="1701" w:type="dxa"/>
            <w:shd w:val="clear" w:color="auto" w:fill="auto"/>
            <w:noWrap/>
            <w:vAlign w:val="bottom"/>
            <w:hideMark/>
          </w:tcPr>
          <w:p w14:paraId="41C8780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67 (59.82%)</w:t>
            </w:r>
          </w:p>
        </w:tc>
        <w:tc>
          <w:tcPr>
            <w:tcW w:w="1701" w:type="dxa"/>
            <w:shd w:val="clear" w:color="auto" w:fill="auto"/>
            <w:noWrap/>
            <w:vAlign w:val="bottom"/>
            <w:hideMark/>
          </w:tcPr>
          <w:p w14:paraId="42B0BF2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0.64 [0.43;0.95]</w:t>
            </w:r>
          </w:p>
        </w:tc>
        <w:tc>
          <w:tcPr>
            <w:tcW w:w="863" w:type="dxa"/>
            <w:shd w:val="clear" w:color="auto" w:fill="auto"/>
            <w:noWrap/>
            <w:vAlign w:val="bottom"/>
            <w:hideMark/>
          </w:tcPr>
          <w:p w14:paraId="11A29151"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37DD5594" w14:textId="77777777" w:rsidTr="00E37E60">
        <w:trPr>
          <w:trHeight w:val="300"/>
          <w:jc w:val="center"/>
        </w:trPr>
        <w:tc>
          <w:tcPr>
            <w:tcW w:w="3402" w:type="dxa"/>
            <w:shd w:val="clear" w:color="auto" w:fill="auto"/>
            <w:noWrap/>
            <w:vAlign w:val="center"/>
            <w:hideMark/>
          </w:tcPr>
          <w:p w14:paraId="3067BE0E"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BMI</w:t>
            </w:r>
            <w:r w:rsidRPr="001C70F5">
              <w:rPr>
                <w:rFonts w:eastAsia="Times New Roman" w:cs="Calibri"/>
                <w:b/>
                <w:color w:val="000000"/>
                <w:lang w:eastAsia="fr-FR"/>
              </w:rPr>
              <w:t xml:space="preserve"> (kg/m</w:t>
            </w:r>
            <w:r w:rsidRPr="00405F2E">
              <w:rPr>
                <w:rFonts w:eastAsia="Times New Roman" w:cs="Calibri"/>
                <w:b/>
                <w:color w:val="000000"/>
                <w:vertAlign w:val="superscript"/>
                <w:lang w:eastAsia="fr-FR"/>
              </w:rPr>
              <w:t>2</w:t>
            </w:r>
            <w:r w:rsidRPr="001C70F5">
              <w:rPr>
                <w:rFonts w:eastAsia="Times New Roman" w:cs="Calibri"/>
                <w:b/>
                <w:color w:val="000000"/>
                <w:lang w:eastAsia="fr-FR"/>
              </w:rPr>
              <w:t>) (N=937)</w:t>
            </w:r>
            <w:r>
              <w:rPr>
                <w:rFonts w:eastAsia="Times New Roman" w:cs="Calibri"/>
                <w:b/>
                <w:color w:val="000000"/>
                <w:lang w:eastAsia="fr-FR"/>
              </w:rPr>
              <w:t xml:space="preserve"> </w:t>
            </w:r>
          </w:p>
        </w:tc>
        <w:tc>
          <w:tcPr>
            <w:tcW w:w="1701" w:type="dxa"/>
            <w:shd w:val="clear" w:color="auto" w:fill="auto"/>
            <w:noWrap/>
            <w:vAlign w:val="bottom"/>
            <w:hideMark/>
          </w:tcPr>
          <w:p w14:paraId="16F2F508"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1AEF480"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FE675A5"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73BF5B0"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124D3B01"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6B7A54F8" w14:textId="77777777" w:rsidTr="00E37E60">
        <w:trPr>
          <w:trHeight w:val="300"/>
          <w:jc w:val="center"/>
        </w:trPr>
        <w:tc>
          <w:tcPr>
            <w:tcW w:w="3402" w:type="dxa"/>
            <w:shd w:val="clear" w:color="auto" w:fill="auto"/>
            <w:noWrap/>
            <w:vAlign w:val="center"/>
            <w:hideMark/>
          </w:tcPr>
          <w:p w14:paraId="4128DBCB" w14:textId="77777777" w:rsidR="00AE265D" w:rsidRPr="001E5E77" w:rsidRDefault="00AE265D" w:rsidP="00E37E60">
            <w:pPr>
              <w:spacing w:after="0" w:line="240" w:lineRule="auto"/>
              <w:jc w:val="right"/>
              <w:rPr>
                <w:rFonts w:eastAsia="Times New Roman" w:cs="Calibri"/>
                <w:color w:val="000000"/>
                <w:lang w:eastAsia="fr-FR"/>
              </w:rPr>
            </w:pPr>
            <w:proofErr w:type="spellStart"/>
            <w:r w:rsidRPr="001E5E77">
              <w:rPr>
                <w:rFonts w:eastAsia="Times New Roman" w:cs="Calibri"/>
                <w:color w:val="000000"/>
                <w:lang w:eastAsia="fr-FR"/>
              </w:rPr>
              <w:t>Median</w:t>
            </w:r>
            <w:proofErr w:type="spellEnd"/>
            <w:r w:rsidRPr="001E5E77">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5784CA1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28.28 [24.98;32.28]</w:t>
            </w:r>
          </w:p>
        </w:tc>
        <w:tc>
          <w:tcPr>
            <w:tcW w:w="1701" w:type="dxa"/>
            <w:shd w:val="clear" w:color="auto" w:fill="auto"/>
            <w:noWrap/>
            <w:vAlign w:val="bottom"/>
            <w:hideMark/>
          </w:tcPr>
          <w:p w14:paraId="1C49E24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28.08 [24.91;31.85]</w:t>
            </w:r>
          </w:p>
        </w:tc>
        <w:tc>
          <w:tcPr>
            <w:tcW w:w="1701" w:type="dxa"/>
            <w:shd w:val="clear" w:color="auto" w:fill="auto"/>
            <w:noWrap/>
            <w:vAlign w:val="bottom"/>
            <w:hideMark/>
          </w:tcPr>
          <w:p w14:paraId="597A4BF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29.80 [25.37;34.65]</w:t>
            </w:r>
          </w:p>
        </w:tc>
        <w:tc>
          <w:tcPr>
            <w:tcW w:w="1701" w:type="dxa"/>
            <w:shd w:val="clear" w:color="auto" w:fill="auto"/>
            <w:noWrap/>
            <w:vAlign w:val="bottom"/>
            <w:hideMark/>
          </w:tcPr>
          <w:p w14:paraId="43C0B625" w14:textId="77777777" w:rsidR="00AE265D" w:rsidRPr="001E5E77" w:rsidRDefault="00AE265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53186F8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0.0179</w:t>
            </w:r>
          </w:p>
        </w:tc>
      </w:tr>
      <w:tr w:rsidR="00AE265D" w:rsidRPr="001C70F5" w14:paraId="63DB5CFC" w14:textId="77777777" w:rsidTr="00E37E60">
        <w:trPr>
          <w:trHeight w:val="300"/>
          <w:jc w:val="center"/>
        </w:trPr>
        <w:tc>
          <w:tcPr>
            <w:tcW w:w="3402" w:type="dxa"/>
            <w:shd w:val="clear" w:color="auto" w:fill="auto"/>
            <w:noWrap/>
            <w:vAlign w:val="center"/>
            <w:hideMark/>
          </w:tcPr>
          <w:p w14:paraId="4F1A9545"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BMI</w:t>
            </w:r>
            <w:r w:rsidRPr="001C70F5">
              <w:rPr>
                <w:rFonts w:eastAsia="Times New Roman" w:cs="Calibri"/>
                <w:b/>
                <w:color w:val="000000"/>
                <w:lang w:eastAsia="fr-FR"/>
              </w:rPr>
              <w:t xml:space="preserve"> (kg/m</w:t>
            </w:r>
            <w:r w:rsidRPr="00405F2E">
              <w:rPr>
                <w:rFonts w:eastAsia="Times New Roman" w:cs="Calibri"/>
                <w:b/>
                <w:color w:val="000000"/>
                <w:vertAlign w:val="superscript"/>
                <w:lang w:eastAsia="fr-FR"/>
              </w:rPr>
              <w:t>2</w:t>
            </w:r>
            <w:r w:rsidRPr="001C70F5">
              <w:rPr>
                <w:rFonts w:eastAsia="Times New Roman" w:cs="Calibri"/>
                <w:b/>
                <w:color w:val="000000"/>
                <w:lang w:eastAsia="fr-FR"/>
              </w:rPr>
              <w:t>) (N=937)</w:t>
            </w:r>
            <w:r>
              <w:rPr>
                <w:rFonts w:eastAsia="Times New Roman" w:cs="Calibri"/>
                <w:b/>
                <w:color w:val="000000"/>
                <w:lang w:eastAsia="fr-FR"/>
              </w:rPr>
              <w:t xml:space="preserve"> </w:t>
            </w:r>
          </w:p>
        </w:tc>
        <w:tc>
          <w:tcPr>
            <w:tcW w:w="1701" w:type="dxa"/>
            <w:shd w:val="clear" w:color="auto" w:fill="auto"/>
            <w:noWrap/>
            <w:vAlign w:val="bottom"/>
            <w:hideMark/>
          </w:tcPr>
          <w:p w14:paraId="49DD568D"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B4E3AEF"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337C94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E3081B4"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05ECADFC"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6E83C3CC" w14:textId="77777777" w:rsidTr="00E37E60">
        <w:trPr>
          <w:trHeight w:val="300"/>
          <w:jc w:val="center"/>
        </w:trPr>
        <w:tc>
          <w:tcPr>
            <w:tcW w:w="3402" w:type="dxa"/>
            <w:shd w:val="clear" w:color="auto" w:fill="auto"/>
            <w:noWrap/>
            <w:vAlign w:val="center"/>
            <w:hideMark/>
          </w:tcPr>
          <w:p w14:paraId="718B117A"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&lt;=25</w:t>
            </w:r>
            <w:r>
              <w:rPr>
                <w:rFonts w:eastAsia="Times New Roman" w:cs="Calibri"/>
                <w:color w:val="000000"/>
                <w:lang w:eastAsia="fr-FR"/>
              </w:rPr>
              <w:t xml:space="preserve"> </w:t>
            </w:r>
          </w:p>
        </w:tc>
        <w:tc>
          <w:tcPr>
            <w:tcW w:w="1701" w:type="dxa"/>
            <w:shd w:val="clear" w:color="auto" w:fill="auto"/>
            <w:noWrap/>
            <w:vAlign w:val="bottom"/>
            <w:hideMark/>
          </w:tcPr>
          <w:p w14:paraId="7F2A5EA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240 (25.61%)</w:t>
            </w:r>
          </w:p>
        </w:tc>
        <w:tc>
          <w:tcPr>
            <w:tcW w:w="1701" w:type="dxa"/>
            <w:shd w:val="clear" w:color="auto" w:fill="auto"/>
            <w:noWrap/>
            <w:vAlign w:val="bottom"/>
            <w:hideMark/>
          </w:tcPr>
          <w:p w14:paraId="177EAEC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216 (26.18%)</w:t>
            </w:r>
          </w:p>
        </w:tc>
        <w:tc>
          <w:tcPr>
            <w:tcW w:w="1701" w:type="dxa"/>
            <w:shd w:val="clear" w:color="auto" w:fill="auto"/>
            <w:noWrap/>
            <w:vAlign w:val="bottom"/>
            <w:hideMark/>
          </w:tcPr>
          <w:p w14:paraId="7204988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24 (21.43%)</w:t>
            </w:r>
          </w:p>
        </w:tc>
        <w:tc>
          <w:tcPr>
            <w:tcW w:w="1701" w:type="dxa"/>
            <w:shd w:val="clear" w:color="auto" w:fill="auto"/>
            <w:noWrap/>
            <w:vAlign w:val="bottom"/>
            <w:hideMark/>
          </w:tcPr>
          <w:p w14:paraId="355B893F"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13ACFD7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0.12</w:t>
            </w:r>
          </w:p>
        </w:tc>
      </w:tr>
      <w:tr w:rsidR="00AE265D" w:rsidRPr="001E5E77" w14:paraId="60ABD4A3" w14:textId="77777777" w:rsidTr="00E37E60">
        <w:trPr>
          <w:trHeight w:val="300"/>
          <w:jc w:val="center"/>
        </w:trPr>
        <w:tc>
          <w:tcPr>
            <w:tcW w:w="3402" w:type="dxa"/>
            <w:shd w:val="clear" w:color="auto" w:fill="auto"/>
            <w:noWrap/>
            <w:vAlign w:val="center"/>
            <w:hideMark/>
          </w:tcPr>
          <w:p w14:paraId="4FFB4A97"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]25 - 30]</w:t>
            </w:r>
            <w:r>
              <w:rPr>
                <w:rFonts w:eastAsia="Times New Roman" w:cs="Calibri"/>
                <w:color w:val="000000"/>
                <w:lang w:eastAsia="fr-FR"/>
              </w:rPr>
              <w:t xml:space="preserve"> </w:t>
            </w:r>
          </w:p>
        </w:tc>
        <w:tc>
          <w:tcPr>
            <w:tcW w:w="1701" w:type="dxa"/>
            <w:shd w:val="clear" w:color="auto" w:fill="auto"/>
            <w:noWrap/>
            <w:vAlign w:val="bottom"/>
            <w:hideMark/>
          </w:tcPr>
          <w:p w14:paraId="766968D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336 (35.86%)</w:t>
            </w:r>
          </w:p>
        </w:tc>
        <w:tc>
          <w:tcPr>
            <w:tcW w:w="1701" w:type="dxa"/>
            <w:shd w:val="clear" w:color="auto" w:fill="auto"/>
            <w:noWrap/>
            <w:vAlign w:val="bottom"/>
            <w:hideMark/>
          </w:tcPr>
          <w:p w14:paraId="44E7956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301 (36.48%)</w:t>
            </w:r>
          </w:p>
        </w:tc>
        <w:tc>
          <w:tcPr>
            <w:tcW w:w="1701" w:type="dxa"/>
            <w:shd w:val="clear" w:color="auto" w:fill="auto"/>
            <w:noWrap/>
            <w:vAlign w:val="bottom"/>
            <w:hideMark/>
          </w:tcPr>
          <w:p w14:paraId="035AC0E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35 (31.25%)</w:t>
            </w:r>
          </w:p>
        </w:tc>
        <w:tc>
          <w:tcPr>
            <w:tcW w:w="1701" w:type="dxa"/>
            <w:shd w:val="clear" w:color="auto" w:fill="auto"/>
            <w:noWrap/>
            <w:vAlign w:val="bottom"/>
            <w:hideMark/>
          </w:tcPr>
          <w:p w14:paraId="4BA7DBE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1.05 [0.60;1.81]</w:t>
            </w:r>
          </w:p>
        </w:tc>
        <w:tc>
          <w:tcPr>
            <w:tcW w:w="863" w:type="dxa"/>
            <w:shd w:val="clear" w:color="auto" w:fill="auto"/>
            <w:noWrap/>
            <w:vAlign w:val="bottom"/>
            <w:hideMark/>
          </w:tcPr>
          <w:p w14:paraId="01ACE3CD"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E5E77" w14:paraId="0CF5789B" w14:textId="77777777" w:rsidTr="00E37E60">
        <w:trPr>
          <w:trHeight w:val="300"/>
          <w:jc w:val="center"/>
        </w:trPr>
        <w:tc>
          <w:tcPr>
            <w:tcW w:w="3402" w:type="dxa"/>
            <w:shd w:val="clear" w:color="auto" w:fill="auto"/>
            <w:noWrap/>
            <w:vAlign w:val="center"/>
            <w:hideMark/>
          </w:tcPr>
          <w:p w14:paraId="3B094EA7"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&gt;30</w:t>
            </w:r>
            <w:r>
              <w:rPr>
                <w:rFonts w:eastAsia="Times New Roman" w:cs="Calibri"/>
                <w:color w:val="000000"/>
                <w:lang w:eastAsia="fr-FR"/>
              </w:rPr>
              <w:t xml:space="preserve"> </w:t>
            </w:r>
          </w:p>
        </w:tc>
        <w:tc>
          <w:tcPr>
            <w:tcW w:w="1701" w:type="dxa"/>
            <w:shd w:val="clear" w:color="auto" w:fill="auto"/>
            <w:noWrap/>
            <w:vAlign w:val="bottom"/>
            <w:hideMark/>
          </w:tcPr>
          <w:p w14:paraId="6F1B3A8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361 (38.53%)</w:t>
            </w:r>
          </w:p>
        </w:tc>
        <w:tc>
          <w:tcPr>
            <w:tcW w:w="1701" w:type="dxa"/>
            <w:shd w:val="clear" w:color="auto" w:fill="auto"/>
            <w:noWrap/>
            <w:vAlign w:val="bottom"/>
            <w:hideMark/>
          </w:tcPr>
          <w:p w14:paraId="02A223E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308 (37.33%)</w:t>
            </w:r>
          </w:p>
        </w:tc>
        <w:tc>
          <w:tcPr>
            <w:tcW w:w="1701" w:type="dxa"/>
            <w:shd w:val="clear" w:color="auto" w:fill="auto"/>
            <w:noWrap/>
            <w:vAlign w:val="bottom"/>
            <w:hideMark/>
          </w:tcPr>
          <w:p w14:paraId="2148A90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53 (47.32%)</w:t>
            </w:r>
          </w:p>
        </w:tc>
        <w:tc>
          <w:tcPr>
            <w:tcW w:w="1701" w:type="dxa"/>
            <w:shd w:val="clear" w:color="auto" w:fill="auto"/>
            <w:noWrap/>
            <w:vAlign w:val="bottom"/>
            <w:hideMark/>
          </w:tcPr>
          <w:p w14:paraId="7B89C71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1.55 [0.93;2.59]</w:t>
            </w:r>
          </w:p>
        </w:tc>
        <w:tc>
          <w:tcPr>
            <w:tcW w:w="863" w:type="dxa"/>
            <w:shd w:val="clear" w:color="auto" w:fill="auto"/>
            <w:noWrap/>
            <w:vAlign w:val="bottom"/>
            <w:hideMark/>
          </w:tcPr>
          <w:p w14:paraId="6FA7A1C2"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12A45C85" w14:textId="77777777" w:rsidTr="00E37E60">
        <w:trPr>
          <w:trHeight w:val="300"/>
          <w:jc w:val="center"/>
        </w:trPr>
        <w:tc>
          <w:tcPr>
            <w:tcW w:w="3402" w:type="dxa"/>
            <w:shd w:val="clear" w:color="auto" w:fill="auto"/>
            <w:noWrap/>
            <w:vAlign w:val="center"/>
            <w:hideMark/>
          </w:tcPr>
          <w:p w14:paraId="40207FCA"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Smoking habits</w:t>
            </w:r>
          </w:p>
        </w:tc>
        <w:tc>
          <w:tcPr>
            <w:tcW w:w="1701" w:type="dxa"/>
            <w:shd w:val="clear" w:color="auto" w:fill="auto"/>
            <w:noWrap/>
            <w:vAlign w:val="bottom"/>
            <w:hideMark/>
          </w:tcPr>
          <w:p w14:paraId="39D34C0A"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A18E56F"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826D04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4121946"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75608392"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31424F4D" w14:textId="77777777" w:rsidTr="00E37E60">
        <w:trPr>
          <w:trHeight w:val="300"/>
          <w:jc w:val="center"/>
        </w:trPr>
        <w:tc>
          <w:tcPr>
            <w:tcW w:w="3402" w:type="dxa"/>
            <w:shd w:val="clear" w:color="auto" w:fill="auto"/>
            <w:noWrap/>
            <w:vAlign w:val="center"/>
            <w:hideMark/>
          </w:tcPr>
          <w:p w14:paraId="467E241F"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ND</w:t>
            </w:r>
            <w:r>
              <w:rPr>
                <w:rFonts w:eastAsia="Times New Roman" w:cs="Calibri"/>
                <w:color w:val="000000"/>
                <w:lang w:eastAsia="fr-FR"/>
              </w:rPr>
              <w:t xml:space="preserve"> </w:t>
            </w:r>
          </w:p>
        </w:tc>
        <w:tc>
          <w:tcPr>
            <w:tcW w:w="1701" w:type="dxa"/>
            <w:shd w:val="clear" w:color="auto" w:fill="auto"/>
            <w:noWrap/>
            <w:vAlign w:val="bottom"/>
            <w:hideMark/>
          </w:tcPr>
          <w:p w14:paraId="703C8FE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99 (10.06%)</w:t>
            </w:r>
          </w:p>
        </w:tc>
        <w:tc>
          <w:tcPr>
            <w:tcW w:w="1701" w:type="dxa"/>
            <w:shd w:val="clear" w:color="auto" w:fill="auto"/>
            <w:noWrap/>
            <w:vAlign w:val="bottom"/>
            <w:hideMark/>
          </w:tcPr>
          <w:p w14:paraId="5E6883A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95 (10.89%)</w:t>
            </w:r>
          </w:p>
        </w:tc>
        <w:tc>
          <w:tcPr>
            <w:tcW w:w="1701" w:type="dxa"/>
            <w:shd w:val="clear" w:color="auto" w:fill="auto"/>
            <w:noWrap/>
            <w:vAlign w:val="bottom"/>
            <w:hideMark/>
          </w:tcPr>
          <w:p w14:paraId="6A90751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 (3.57%)</w:t>
            </w:r>
          </w:p>
        </w:tc>
        <w:tc>
          <w:tcPr>
            <w:tcW w:w="1701" w:type="dxa"/>
            <w:shd w:val="clear" w:color="auto" w:fill="auto"/>
            <w:noWrap/>
            <w:vAlign w:val="bottom"/>
            <w:hideMark/>
          </w:tcPr>
          <w:p w14:paraId="42E7D24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527A19F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0.0064</w:t>
            </w:r>
          </w:p>
        </w:tc>
      </w:tr>
      <w:tr w:rsidR="00AE265D" w:rsidRPr="001E5E77" w14:paraId="51DC41F1" w14:textId="77777777" w:rsidTr="00E37E60">
        <w:trPr>
          <w:trHeight w:val="300"/>
          <w:jc w:val="center"/>
        </w:trPr>
        <w:tc>
          <w:tcPr>
            <w:tcW w:w="3402" w:type="dxa"/>
            <w:shd w:val="clear" w:color="auto" w:fill="auto"/>
            <w:noWrap/>
            <w:vAlign w:val="center"/>
            <w:hideMark/>
          </w:tcPr>
          <w:p w14:paraId="57E91683"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4117BC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697 (70.83%)</w:t>
            </w:r>
          </w:p>
        </w:tc>
        <w:tc>
          <w:tcPr>
            <w:tcW w:w="1701" w:type="dxa"/>
            <w:shd w:val="clear" w:color="auto" w:fill="auto"/>
            <w:noWrap/>
            <w:vAlign w:val="bottom"/>
            <w:hideMark/>
          </w:tcPr>
          <w:p w14:paraId="4DC55EA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604 (69.27%)</w:t>
            </w:r>
          </w:p>
        </w:tc>
        <w:tc>
          <w:tcPr>
            <w:tcW w:w="1701" w:type="dxa"/>
            <w:shd w:val="clear" w:color="auto" w:fill="auto"/>
            <w:noWrap/>
            <w:vAlign w:val="bottom"/>
            <w:hideMark/>
          </w:tcPr>
          <w:p w14:paraId="27CBECD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93 (83.04%)</w:t>
            </w:r>
          </w:p>
        </w:tc>
        <w:tc>
          <w:tcPr>
            <w:tcW w:w="1701" w:type="dxa"/>
            <w:shd w:val="clear" w:color="auto" w:fill="auto"/>
            <w:noWrap/>
            <w:vAlign w:val="bottom"/>
            <w:hideMark/>
          </w:tcPr>
          <w:p w14:paraId="554A410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3.66 [1.31;10.18]</w:t>
            </w:r>
          </w:p>
        </w:tc>
        <w:tc>
          <w:tcPr>
            <w:tcW w:w="863" w:type="dxa"/>
            <w:shd w:val="clear" w:color="auto" w:fill="auto"/>
            <w:noWrap/>
            <w:vAlign w:val="bottom"/>
            <w:hideMark/>
          </w:tcPr>
          <w:p w14:paraId="1CADC7F2"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E5E77" w14:paraId="7D206E11" w14:textId="77777777" w:rsidTr="00E37E60">
        <w:trPr>
          <w:trHeight w:val="300"/>
          <w:jc w:val="center"/>
        </w:trPr>
        <w:tc>
          <w:tcPr>
            <w:tcW w:w="3402" w:type="dxa"/>
            <w:shd w:val="clear" w:color="auto" w:fill="auto"/>
            <w:noWrap/>
            <w:vAlign w:val="center"/>
            <w:hideMark/>
          </w:tcPr>
          <w:p w14:paraId="09DA88C8"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FBE060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188 (19.11%)</w:t>
            </w:r>
          </w:p>
        </w:tc>
        <w:tc>
          <w:tcPr>
            <w:tcW w:w="1701" w:type="dxa"/>
            <w:shd w:val="clear" w:color="auto" w:fill="auto"/>
            <w:noWrap/>
            <w:vAlign w:val="bottom"/>
            <w:hideMark/>
          </w:tcPr>
          <w:p w14:paraId="57FAC65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173 (19.84%)</w:t>
            </w:r>
          </w:p>
        </w:tc>
        <w:tc>
          <w:tcPr>
            <w:tcW w:w="1701" w:type="dxa"/>
            <w:shd w:val="clear" w:color="auto" w:fill="auto"/>
            <w:noWrap/>
            <w:vAlign w:val="bottom"/>
            <w:hideMark/>
          </w:tcPr>
          <w:p w14:paraId="4A97B22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15 (13.39%)</w:t>
            </w:r>
          </w:p>
        </w:tc>
        <w:tc>
          <w:tcPr>
            <w:tcW w:w="1701" w:type="dxa"/>
            <w:shd w:val="clear" w:color="auto" w:fill="auto"/>
            <w:noWrap/>
            <w:vAlign w:val="bottom"/>
            <w:hideMark/>
          </w:tcPr>
          <w:p w14:paraId="38994A2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2.06 [0.66;6.38]</w:t>
            </w:r>
          </w:p>
        </w:tc>
        <w:tc>
          <w:tcPr>
            <w:tcW w:w="863" w:type="dxa"/>
            <w:shd w:val="clear" w:color="auto" w:fill="auto"/>
            <w:noWrap/>
            <w:vAlign w:val="bottom"/>
            <w:hideMark/>
          </w:tcPr>
          <w:p w14:paraId="6BBE4315"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777F580C" w14:textId="77777777" w:rsidTr="00E37E60">
        <w:trPr>
          <w:trHeight w:val="300"/>
          <w:jc w:val="center"/>
        </w:trPr>
        <w:tc>
          <w:tcPr>
            <w:tcW w:w="3402" w:type="dxa"/>
            <w:shd w:val="clear" w:color="auto" w:fill="auto"/>
            <w:noWrap/>
            <w:vAlign w:val="center"/>
            <w:hideMark/>
          </w:tcPr>
          <w:p w14:paraId="602B8287" w14:textId="77777777" w:rsidR="00AE265D" w:rsidRPr="001C70F5" w:rsidRDefault="00AE265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Alcohol</w:t>
            </w:r>
            <w:proofErr w:type="spellEnd"/>
            <w:r>
              <w:rPr>
                <w:rFonts w:eastAsia="Times New Roman" w:cs="Calibri"/>
                <w:b/>
                <w:color w:val="000000"/>
                <w:lang w:eastAsia="fr-FR"/>
              </w:rPr>
              <w:t xml:space="preserve"> habits</w:t>
            </w:r>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003B54BB"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F2E3BAF"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BB499CB"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A7CD424"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31E3494A"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649A4666" w14:textId="77777777" w:rsidTr="00E37E60">
        <w:trPr>
          <w:trHeight w:val="300"/>
          <w:jc w:val="center"/>
        </w:trPr>
        <w:tc>
          <w:tcPr>
            <w:tcW w:w="3402" w:type="dxa"/>
            <w:shd w:val="clear" w:color="auto" w:fill="auto"/>
            <w:noWrap/>
            <w:vAlign w:val="center"/>
            <w:hideMark/>
          </w:tcPr>
          <w:p w14:paraId="6B61BF17"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ND</w:t>
            </w:r>
            <w:r>
              <w:rPr>
                <w:rFonts w:eastAsia="Times New Roman" w:cs="Calibri"/>
                <w:color w:val="000000"/>
                <w:lang w:eastAsia="fr-FR"/>
              </w:rPr>
              <w:t xml:space="preserve"> </w:t>
            </w:r>
          </w:p>
        </w:tc>
        <w:tc>
          <w:tcPr>
            <w:tcW w:w="1701" w:type="dxa"/>
            <w:shd w:val="clear" w:color="auto" w:fill="auto"/>
            <w:noWrap/>
            <w:vAlign w:val="bottom"/>
            <w:hideMark/>
          </w:tcPr>
          <w:p w14:paraId="1FECC36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130 (13.22%)</w:t>
            </w:r>
          </w:p>
        </w:tc>
        <w:tc>
          <w:tcPr>
            <w:tcW w:w="1701" w:type="dxa"/>
            <w:shd w:val="clear" w:color="auto" w:fill="auto"/>
            <w:noWrap/>
            <w:vAlign w:val="bottom"/>
            <w:hideMark/>
          </w:tcPr>
          <w:p w14:paraId="5911FFF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125 (14.35%)</w:t>
            </w:r>
          </w:p>
        </w:tc>
        <w:tc>
          <w:tcPr>
            <w:tcW w:w="1701" w:type="dxa"/>
            <w:shd w:val="clear" w:color="auto" w:fill="auto"/>
            <w:noWrap/>
            <w:vAlign w:val="bottom"/>
            <w:hideMark/>
          </w:tcPr>
          <w:p w14:paraId="2296937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 (4.46%)</w:t>
            </w:r>
          </w:p>
        </w:tc>
        <w:tc>
          <w:tcPr>
            <w:tcW w:w="1701" w:type="dxa"/>
            <w:shd w:val="clear" w:color="auto" w:fill="auto"/>
            <w:noWrap/>
            <w:vAlign w:val="bottom"/>
            <w:hideMark/>
          </w:tcPr>
          <w:p w14:paraId="05A4B83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1B3BEA5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0.0075</w:t>
            </w:r>
          </w:p>
        </w:tc>
      </w:tr>
      <w:tr w:rsidR="00AE265D" w:rsidRPr="001E5E77" w14:paraId="7C9A4040" w14:textId="77777777" w:rsidTr="00E37E60">
        <w:trPr>
          <w:trHeight w:val="300"/>
          <w:jc w:val="center"/>
        </w:trPr>
        <w:tc>
          <w:tcPr>
            <w:tcW w:w="3402" w:type="dxa"/>
            <w:shd w:val="clear" w:color="auto" w:fill="auto"/>
            <w:noWrap/>
            <w:vAlign w:val="center"/>
            <w:hideMark/>
          </w:tcPr>
          <w:p w14:paraId="0D8BB0BE"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3081BE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791 (80.47%)</w:t>
            </w:r>
          </w:p>
        </w:tc>
        <w:tc>
          <w:tcPr>
            <w:tcW w:w="1701" w:type="dxa"/>
            <w:shd w:val="clear" w:color="auto" w:fill="auto"/>
            <w:noWrap/>
            <w:vAlign w:val="bottom"/>
            <w:hideMark/>
          </w:tcPr>
          <w:p w14:paraId="29232D3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689 (79.10%)</w:t>
            </w:r>
          </w:p>
        </w:tc>
        <w:tc>
          <w:tcPr>
            <w:tcW w:w="1701" w:type="dxa"/>
            <w:shd w:val="clear" w:color="auto" w:fill="auto"/>
            <w:noWrap/>
            <w:vAlign w:val="bottom"/>
            <w:hideMark/>
          </w:tcPr>
          <w:p w14:paraId="458A1E4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102 (91.07%)</w:t>
            </w:r>
          </w:p>
        </w:tc>
        <w:tc>
          <w:tcPr>
            <w:tcW w:w="1701" w:type="dxa"/>
            <w:shd w:val="clear" w:color="auto" w:fill="auto"/>
            <w:noWrap/>
            <w:vAlign w:val="bottom"/>
            <w:hideMark/>
          </w:tcPr>
          <w:p w14:paraId="5EB7487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3.70 [1.48;9.27]</w:t>
            </w:r>
          </w:p>
        </w:tc>
        <w:tc>
          <w:tcPr>
            <w:tcW w:w="863" w:type="dxa"/>
            <w:shd w:val="clear" w:color="auto" w:fill="auto"/>
            <w:noWrap/>
            <w:vAlign w:val="bottom"/>
            <w:hideMark/>
          </w:tcPr>
          <w:p w14:paraId="3864583F"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E5E77" w14:paraId="6F90051B" w14:textId="77777777" w:rsidTr="00E37E60">
        <w:trPr>
          <w:trHeight w:val="300"/>
          <w:jc w:val="center"/>
        </w:trPr>
        <w:tc>
          <w:tcPr>
            <w:tcW w:w="3402" w:type="dxa"/>
            <w:shd w:val="clear" w:color="auto" w:fill="auto"/>
            <w:noWrap/>
            <w:vAlign w:val="center"/>
            <w:hideMark/>
          </w:tcPr>
          <w:p w14:paraId="449FCF83"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1E89C9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62 (6.31%)</w:t>
            </w:r>
          </w:p>
        </w:tc>
        <w:tc>
          <w:tcPr>
            <w:tcW w:w="1701" w:type="dxa"/>
            <w:shd w:val="clear" w:color="auto" w:fill="auto"/>
            <w:noWrap/>
            <w:vAlign w:val="bottom"/>
            <w:hideMark/>
          </w:tcPr>
          <w:p w14:paraId="13CC626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57 (6.54%)</w:t>
            </w:r>
          </w:p>
        </w:tc>
        <w:tc>
          <w:tcPr>
            <w:tcW w:w="1701" w:type="dxa"/>
            <w:shd w:val="clear" w:color="auto" w:fill="auto"/>
            <w:noWrap/>
            <w:vAlign w:val="bottom"/>
            <w:hideMark/>
          </w:tcPr>
          <w:p w14:paraId="22E8454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 (4.46%)</w:t>
            </w:r>
          </w:p>
        </w:tc>
        <w:tc>
          <w:tcPr>
            <w:tcW w:w="1701" w:type="dxa"/>
            <w:shd w:val="clear" w:color="auto" w:fill="auto"/>
            <w:noWrap/>
            <w:vAlign w:val="bottom"/>
            <w:hideMark/>
          </w:tcPr>
          <w:p w14:paraId="43B6037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2.19 [0.61;7.88]</w:t>
            </w:r>
          </w:p>
        </w:tc>
        <w:tc>
          <w:tcPr>
            <w:tcW w:w="863" w:type="dxa"/>
            <w:shd w:val="clear" w:color="auto" w:fill="auto"/>
            <w:noWrap/>
            <w:vAlign w:val="bottom"/>
            <w:hideMark/>
          </w:tcPr>
          <w:p w14:paraId="38B0BEAF"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6EEF3BF7" w14:textId="77777777" w:rsidTr="00E37E60">
        <w:trPr>
          <w:trHeight w:val="300"/>
          <w:jc w:val="center"/>
        </w:trPr>
        <w:tc>
          <w:tcPr>
            <w:tcW w:w="3402" w:type="dxa"/>
            <w:shd w:val="clear" w:color="auto" w:fill="auto"/>
            <w:noWrap/>
            <w:vAlign w:val="center"/>
            <w:hideMark/>
          </w:tcPr>
          <w:p w14:paraId="0320CC3B"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Hypertension</w:t>
            </w:r>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1C47AACF"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4708399"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B75382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AF748FF"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4BB80D9E"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446CDF11" w14:textId="77777777" w:rsidTr="00E37E60">
        <w:trPr>
          <w:trHeight w:val="300"/>
          <w:jc w:val="center"/>
        </w:trPr>
        <w:tc>
          <w:tcPr>
            <w:tcW w:w="3402" w:type="dxa"/>
            <w:shd w:val="clear" w:color="auto" w:fill="auto"/>
            <w:noWrap/>
            <w:vAlign w:val="center"/>
            <w:hideMark/>
          </w:tcPr>
          <w:p w14:paraId="6ADC5D34"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2F0721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478 (48.63%)</w:t>
            </w:r>
          </w:p>
        </w:tc>
        <w:tc>
          <w:tcPr>
            <w:tcW w:w="1701" w:type="dxa"/>
            <w:shd w:val="clear" w:color="auto" w:fill="auto"/>
            <w:noWrap/>
            <w:vAlign w:val="bottom"/>
            <w:hideMark/>
          </w:tcPr>
          <w:p w14:paraId="7D55292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414 (47.53%)</w:t>
            </w:r>
          </w:p>
        </w:tc>
        <w:tc>
          <w:tcPr>
            <w:tcW w:w="1701" w:type="dxa"/>
            <w:shd w:val="clear" w:color="auto" w:fill="auto"/>
            <w:noWrap/>
            <w:vAlign w:val="bottom"/>
            <w:hideMark/>
          </w:tcPr>
          <w:p w14:paraId="4719A13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64 (57.14%)</w:t>
            </w:r>
          </w:p>
        </w:tc>
        <w:tc>
          <w:tcPr>
            <w:tcW w:w="1701" w:type="dxa"/>
            <w:shd w:val="clear" w:color="auto" w:fill="auto"/>
            <w:noWrap/>
            <w:vAlign w:val="bottom"/>
            <w:hideMark/>
          </w:tcPr>
          <w:p w14:paraId="3D4B0DE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03613CF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0.06</w:t>
            </w:r>
          </w:p>
        </w:tc>
      </w:tr>
      <w:tr w:rsidR="00AE265D" w:rsidRPr="001E5E77" w14:paraId="03E66F7B" w14:textId="77777777" w:rsidTr="00E37E60">
        <w:trPr>
          <w:trHeight w:val="300"/>
          <w:jc w:val="center"/>
        </w:trPr>
        <w:tc>
          <w:tcPr>
            <w:tcW w:w="3402" w:type="dxa"/>
            <w:shd w:val="clear" w:color="auto" w:fill="auto"/>
            <w:noWrap/>
            <w:vAlign w:val="center"/>
            <w:hideMark/>
          </w:tcPr>
          <w:p w14:paraId="1FB67B60"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6A7D07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505 (51.37%)</w:t>
            </w:r>
          </w:p>
        </w:tc>
        <w:tc>
          <w:tcPr>
            <w:tcW w:w="1701" w:type="dxa"/>
            <w:shd w:val="clear" w:color="auto" w:fill="auto"/>
            <w:noWrap/>
            <w:vAlign w:val="bottom"/>
            <w:hideMark/>
          </w:tcPr>
          <w:p w14:paraId="5EF44C3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457 (52.47%)</w:t>
            </w:r>
          </w:p>
        </w:tc>
        <w:tc>
          <w:tcPr>
            <w:tcW w:w="1701" w:type="dxa"/>
            <w:shd w:val="clear" w:color="auto" w:fill="auto"/>
            <w:noWrap/>
            <w:vAlign w:val="bottom"/>
            <w:hideMark/>
          </w:tcPr>
          <w:p w14:paraId="5D1D2A5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48 (42.86%)</w:t>
            </w:r>
          </w:p>
        </w:tc>
        <w:tc>
          <w:tcPr>
            <w:tcW w:w="1701" w:type="dxa"/>
            <w:shd w:val="clear" w:color="auto" w:fill="auto"/>
            <w:noWrap/>
            <w:vAlign w:val="bottom"/>
            <w:hideMark/>
          </w:tcPr>
          <w:p w14:paraId="42EEC45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0.68 [0.46;1.01]</w:t>
            </w:r>
          </w:p>
        </w:tc>
        <w:tc>
          <w:tcPr>
            <w:tcW w:w="863" w:type="dxa"/>
            <w:shd w:val="clear" w:color="auto" w:fill="auto"/>
            <w:noWrap/>
            <w:vAlign w:val="bottom"/>
            <w:hideMark/>
          </w:tcPr>
          <w:p w14:paraId="5CF025C9"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6E1969AF" w14:textId="77777777" w:rsidTr="00E37E60">
        <w:trPr>
          <w:trHeight w:val="300"/>
          <w:jc w:val="center"/>
        </w:trPr>
        <w:tc>
          <w:tcPr>
            <w:tcW w:w="3402" w:type="dxa"/>
            <w:shd w:val="clear" w:color="auto" w:fill="auto"/>
            <w:noWrap/>
            <w:vAlign w:val="center"/>
            <w:hideMark/>
          </w:tcPr>
          <w:p w14:paraId="3A4F84E5" w14:textId="77777777" w:rsidR="00AE265D" w:rsidRPr="001C70F5" w:rsidRDefault="00AE265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Ischemic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cardiopathy</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17AA1C69"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410AC1A"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EA757FB"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4E71FA9"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21B66A51"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54AB1021" w14:textId="77777777" w:rsidTr="00E37E60">
        <w:trPr>
          <w:trHeight w:val="300"/>
          <w:jc w:val="center"/>
        </w:trPr>
        <w:tc>
          <w:tcPr>
            <w:tcW w:w="3402" w:type="dxa"/>
            <w:shd w:val="clear" w:color="auto" w:fill="auto"/>
            <w:noWrap/>
            <w:vAlign w:val="center"/>
            <w:hideMark/>
          </w:tcPr>
          <w:p w14:paraId="5FF84A9F"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53538CC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897 (91.25%)</w:t>
            </w:r>
          </w:p>
        </w:tc>
        <w:tc>
          <w:tcPr>
            <w:tcW w:w="1701" w:type="dxa"/>
            <w:shd w:val="clear" w:color="auto" w:fill="auto"/>
            <w:noWrap/>
            <w:vAlign w:val="bottom"/>
            <w:hideMark/>
          </w:tcPr>
          <w:p w14:paraId="474B9D8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792 (90.93%)</w:t>
            </w:r>
          </w:p>
        </w:tc>
        <w:tc>
          <w:tcPr>
            <w:tcW w:w="1701" w:type="dxa"/>
            <w:shd w:val="clear" w:color="auto" w:fill="auto"/>
            <w:noWrap/>
            <w:vAlign w:val="bottom"/>
            <w:hideMark/>
          </w:tcPr>
          <w:p w14:paraId="3AE746F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105 (93.75%)</w:t>
            </w:r>
          </w:p>
        </w:tc>
        <w:tc>
          <w:tcPr>
            <w:tcW w:w="1701" w:type="dxa"/>
            <w:shd w:val="clear" w:color="auto" w:fill="auto"/>
            <w:noWrap/>
            <w:vAlign w:val="bottom"/>
            <w:hideMark/>
          </w:tcPr>
          <w:p w14:paraId="559971E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7AB3896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0.32</w:t>
            </w:r>
          </w:p>
        </w:tc>
      </w:tr>
      <w:tr w:rsidR="00AE265D" w:rsidRPr="001E5E77" w14:paraId="1CE699E6" w14:textId="77777777" w:rsidTr="00E37E60">
        <w:trPr>
          <w:trHeight w:val="300"/>
          <w:jc w:val="center"/>
        </w:trPr>
        <w:tc>
          <w:tcPr>
            <w:tcW w:w="3402" w:type="dxa"/>
            <w:shd w:val="clear" w:color="auto" w:fill="auto"/>
            <w:noWrap/>
            <w:vAlign w:val="center"/>
            <w:hideMark/>
          </w:tcPr>
          <w:p w14:paraId="4196A86A"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BC7CFF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86 (8.75%)</w:t>
            </w:r>
          </w:p>
        </w:tc>
        <w:tc>
          <w:tcPr>
            <w:tcW w:w="1701" w:type="dxa"/>
            <w:shd w:val="clear" w:color="auto" w:fill="auto"/>
            <w:noWrap/>
            <w:vAlign w:val="bottom"/>
            <w:hideMark/>
          </w:tcPr>
          <w:p w14:paraId="4B81E7F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79 (9.07%)</w:t>
            </w:r>
          </w:p>
        </w:tc>
        <w:tc>
          <w:tcPr>
            <w:tcW w:w="1701" w:type="dxa"/>
            <w:shd w:val="clear" w:color="auto" w:fill="auto"/>
            <w:noWrap/>
            <w:vAlign w:val="bottom"/>
            <w:hideMark/>
          </w:tcPr>
          <w:p w14:paraId="51AC88C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 (6.25%)</w:t>
            </w:r>
          </w:p>
        </w:tc>
        <w:tc>
          <w:tcPr>
            <w:tcW w:w="1701" w:type="dxa"/>
            <w:shd w:val="clear" w:color="auto" w:fill="auto"/>
            <w:noWrap/>
            <w:vAlign w:val="bottom"/>
            <w:hideMark/>
          </w:tcPr>
          <w:p w14:paraId="630928C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0.67 [0.30;1.49]</w:t>
            </w:r>
          </w:p>
        </w:tc>
        <w:tc>
          <w:tcPr>
            <w:tcW w:w="863" w:type="dxa"/>
            <w:shd w:val="clear" w:color="auto" w:fill="auto"/>
            <w:noWrap/>
            <w:vAlign w:val="bottom"/>
            <w:hideMark/>
          </w:tcPr>
          <w:p w14:paraId="716DD08D"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7EF804A5" w14:textId="77777777" w:rsidTr="00E37E60">
        <w:trPr>
          <w:trHeight w:val="300"/>
          <w:jc w:val="center"/>
        </w:trPr>
        <w:tc>
          <w:tcPr>
            <w:tcW w:w="3402" w:type="dxa"/>
            <w:shd w:val="clear" w:color="auto" w:fill="auto"/>
            <w:noWrap/>
            <w:vAlign w:val="center"/>
            <w:hideMark/>
          </w:tcPr>
          <w:p w14:paraId="55AADCF4" w14:textId="77777777" w:rsidR="00AE265D" w:rsidRPr="001C70F5" w:rsidRDefault="00AE265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Chronic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heart</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failure</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16EB52A9"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CCEE4F3"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8322A07"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78309AA"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49167E4C"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22D3C19C" w14:textId="77777777" w:rsidTr="00E37E60">
        <w:trPr>
          <w:trHeight w:val="300"/>
          <w:jc w:val="center"/>
        </w:trPr>
        <w:tc>
          <w:tcPr>
            <w:tcW w:w="3402" w:type="dxa"/>
            <w:shd w:val="clear" w:color="auto" w:fill="auto"/>
            <w:noWrap/>
            <w:vAlign w:val="center"/>
            <w:hideMark/>
          </w:tcPr>
          <w:p w14:paraId="0BD72262"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574EC76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966 (98.27%)</w:t>
            </w:r>
          </w:p>
        </w:tc>
        <w:tc>
          <w:tcPr>
            <w:tcW w:w="1701" w:type="dxa"/>
            <w:shd w:val="clear" w:color="auto" w:fill="auto"/>
            <w:noWrap/>
            <w:vAlign w:val="bottom"/>
            <w:hideMark/>
          </w:tcPr>
          <w:p w14:paraId="0445281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857 (98.39%)</w:t>
            </w:r>
          </w:p>
        </w:tc>
        <w:tc>
          <w:tcPr>
            <w:tcW w:w="1701" w:type="dxa"/>
            <w:shd w:val="clear" w:color="auto" w:fill="auto"/>
            <w:noWrap/>
            <w:vAlign w:val="bottom"/>
            <w:hideMark/>
          </w:tcPr>
          <w:p w14:paraId="6C1FDA7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109 (97.32%)</w:t>
            </w:r>
          </w:p>
        </w:tc>
        <w:tc>
          <w:tcPr>
            <w:tcW w:w="1701" w:type="dxa"/>
            <w:shd w:val="clear" w:color="auto" w:fill="auto"/>
            <w:noWrap/>
            <w:vAlign w:val="bottom"/>
            <w:hideMark/>
          </w:tcPr>
          <w:p w14:paraId="1D0DC8F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34E3D0F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0.43</w:t>
            </w:r>
          </w:p>
        </w:tc>
      </w:tr>
      <w:tr w:rsidR="00AE265D" w:rsidRPr="001E5E77" w14:paraId="04A5FDDD" w14:textId="77777777" w:rsidTr="00E37E60">
        <w:trPr>
          <w:trHeight w:val="300"/>
          <w:jc w:val="center"/>
        </w:trPr>
        <w:tc>
          <w:tcPr>
            <w:tcW w:w="3402" w:type="dxa"/>
            <w:shd w:val="clear" w:color="auto" w:fill="auto"/>
            <w:noWrap/>
            <w:vAlign w:val="center"/>
            <w:hideMark/>
          </w:tcPr>
          <w:p w14:paraId="30B75484"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432137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17 (1.73%)</w:t>
            </w:r>
          </w:p>
        </w:tc>
        <w:tc>
          <w:tcPr>
            <w:tcW w:w="1701" w:type="dxa"/>
            <w:shd w:val="clear" w:color="auto" w:fill="auto"/>
            <w:noWrap/>
            <w:vAlign w:val="bottom"/>
            <w:hideMark/>
          </w:tcPr>
          <w:p w14:paraId="10206E1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14 (1.61%)</w:t>
            </w:r>
          </w:p>
        </w:tc>
        <w:tc>
          <w:tcPr>
            <w:tcW w:w="1701" w:type="dxa"/>
            <w:shd w:val="clear" w:color="auto" w:fill="auto"/>
            <w:noWrap/>
            <w:vAlign w:val="bottom"/>
            <w:hideMark/>
          </w:tcPr>
          <w:p w14:paraId="472CC10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 (2.68%)</w:t>
            </w:r>
          </w:p>
        </w:tc>
        <w:tc>
          <w:tcPr>
            <w:tcW w:w="1701" w:type="dxa"/>
            <w:shd w:val="clear" w:color="auto" w:fill="auto"/>
            <w:noWrap/>
            <w:vAlign w:val="bottom"/>
            <w:hideMark/>
          </w:tcPr>
          <w:p w14:paraId="1AF6CEE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1.68 [0.48;5.96]</w:t>
            </w:r>
          </w:p>
        </w:tc>
        <w:tc>
          <w:tcPr>
            <w:tcW w:w="863" w:type="dxa"/>
            <w:shd w:val="clear" w:color="auto" w:fill="auto"/>
            <w:noWrap/>
            <w:vAlign w:val="bottom"/>
            <w:hideMark/>
          </w:tcPr>
          <w:p w14:paraId="096BB907"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61845E1C" w14:textId="77777777" w:rsidTr="00E37E60">
        <w:trPr>
          <w:trHeight w:val="300"/>
          <w:jc w:val="center"/>
        </w:trPr>
        <w:tc>
          <w:tcPr>
            <w:tcW w:w="3402" w:type="dxa"/>
            <w:shd w:val="clear" w:color="auto" w:fill="auto"/>
            <w:noWrap/>
            <w:vAlign w:val="center"/>
            <w:hideMark/>
          </w:tcPr>
          <w:p w14:paraId="6F08C33A" w14:textId="77777777" w:rsidR="00AE265D" w:rsidRPr="001C70F5" w:rsidRDefault="00AE265D" w:rsidP="00E37E60">
            <w:pPr>
              <w:spacing w:after="0" w:line="240" w:lineRule="auto"/>
              <w:rPr>
                <w:rFonts w:eastAsia="Times New Roman" w:cs="Calibri"/>
                <w:b/>
                <w:color w:val="000000"/>
                <w:lang w:eastAsia="fr-FR"/>
              </w:rPr>
            </w:pPr>
            <w:proofErr w:type="spellStart"/>
            <w:r w:rsidRPr="001C70F5">
              <w:rPr>
                <w:rFonts w:eastAsia="Times New Roman" w:cs="Calibri"/>
                <w:b/>
                <w:color w:val="000000"/>
                <w:lang w:eastAsia="fr-FR"/>
              </w:rPr>
              <w:t>Diab</w:t>
            </w:r>
            <w:r>
              <w:rPr>
                <w:rFonts w:eastAsia="Times New Roman" w:cs="Calibri"/>
                <w:b/>
                <w:color w:val="000000"/>
                <w:lang w:eastAsia="fr-FR"/>
              </w:rPr>
              <w:t>e</w:t>
            </w:r>
            <w:r w:rsidRPr="001C70F5">
              <w:rPr>
                <w:rFonts w:eastAsia="Times New Roman" w:cs="Calibri"/>
                <w:b/>
                <w:color w:val="000000"/>
                <w:lang w:eastAsia="fr-FR"/>
              </w:rPr>
              <w:t>te</w:t>
            </w:r>
            <w:r>
              <w:rPr>
                <w:rFonts w:eastAsia="Times New Roman" w:cs="Calibri"/>
                <w:b/>
                <w:color w:val="000000"/>
                <w:lang w:eastAsia="fr-FR"/>
              </w:rPr>
              <w:t>s</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mellitus</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3E366DE6"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922E4B3"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AAC803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6BEB77C"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7D91E829"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1BCD7EFE" w14:textId="77777777" w:rsidTr="00E37E60">
        <w:trPr>
          <w:trHeight w:val="300"/>
          <w:jc w:val="center"/>
        </w:trPr>
        <w:tc>
          <w:tcPr>
            <w:tcW w:w="3402" w:type="dxa"/>
            <w:shd w:val="clear" w:color="auto" w:fill="auto"/>
            <w:noWrap/>
            <w:vAlign w:val="center"/>
            <w:hideMark/>
          </w:tcPr>
          <w:p w14:paraId="2E1B43B2"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6700D03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689 (70.09%)</w:t>
            </w:r>
          </w:p>
        </w:tc>
        <w:tc>
          <w:tcPr>
            <w:tcW w:w="1701" w:type="dxa"/>
            <w:shd w:val="clear" w:color="auto" w:fill="auto"/>
            <w:noWrap/>
            <w:vAlign w:val="bottom"/>
            <w:hideMark/>
          </w:tcPr>
          <w:p w14:paraId="2541A66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605 (69.46%)</w:t>
            </w:r>
          </w:p>
        </w:tc>
        <w:tc>
          <w:tcPr>
            <w:tcW w:w="1701" w:type="dxa"/>
            <w:shd w:val="clear" w:color="auto" w:fill="auto"/>
            <w:noWrap/>
            <w:vAlign w:val="bottom"/>
            <w:hideMark/>
          </w:tcPr>
          <w:p w14:paraId="629A7D8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84 (75.00%)</w:t>
            </w:r>
          </w:p>
        </w:tc>
        <w:tc>
          <w:tcPr>
            <w:tcW w:w="1701" w:type="dxa"/>
            <w:shd w:val="clear" w:color="auto" w:fill="auto"/>
            <w:noWrap/>
            <w:vAlign w:val="bottom"/>
            <w:hideMark/>
          </w:tcPr>
          <w:p w14:paraId="5BCDE33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049323B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0.23</w:t>
            </w:r>
          </w:p>
        </w:tc>
      </w:tr>
      <w:tr w:rsidR="00AE265D" w:rsidRPr="001E5E77" w14:paraId="24C566C8" w14:textId="77777777" w:rsidTr="00E37E60">
        <w:trPr>
          <w:trHeight w:val="300"/>
          <w:jc w:val="center"/>
        </w:trPr>
        <w:tc>
          <w:tcPr>
            <w:tcW w:w="3402" w:type="dxa"/>
            <w:shd w:val="clear" w:color="auto" w:fill="auto"/>
            <w:noWrap/>
            <w:vAlign w:val="center"/>
            <w:hideMark/>
          </w:tcPr>
          <w:p w14:paraId="358D9E81"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506989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294 (29.91%)</w:t>
            </w:r>
          </w:p>
        </w:tc>
        <w:tc>
          <w:tcPr>
            <w:tcW w:w="1701" w:type="dxa"/>
            <w:shd w:val="clear" w:color="auto" w:fill="auto"/>
            <w:noWrap/>
            <w:vAlign w:val="bottom"/>
            <w:hideMark/>
          </w:tcPr>
          <w:p w14:paraId="3919085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266 (30.54%)</w:t>
            </w:r>
          </w:p>
        </w:tc>
        <w:tc>
          <w:tcPr>
            <w:tcW w:w="1701" w:type="dxa"/>
            <w:shd w:val="clear" w:color="auto" w:fill="auto"/>
            <w:noWrap/>
            <w:vAlign w:val="bottom"/>
            <w:hideMark/>
          </w:tcPr>
          <w:p w14:paraId="1061B48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28 (25.00%)</w:t>
            </w:r>
          </w:p>
        </w:tc>
        <w:tc>
          <w:tcPr>
            <w:tcW w:w="1701" w:type="dxa"/>
            <w:shd w:val="clear" w:color="auto" w:fill="auto"/>
            <w:noWrap/>
            <w:vAlign w:val="bottom"/>
            <w:hideMark/>
          </w:tcPr>
          <w:p w14:paraId="0F570DA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0.76 [0.48;1.19]</w:t>
            </w:r>
          </w:p>
        </w:tc>
        <w:tc>
          <w:tcPr>
            <w:tcW w:w="863" w:type="dxa"/>
            <w:shd w:val="clear" w:color="auto" w:fill="auto"/>
            <w:noWrap/>
            <w:vAlign w:val="bottom"/>
            <w:hideMark/>
          </w:tcPr>
          <w:p w14:paraId="19B3E0D7"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572C8EB7" w14:textId="77777777" w:rsidTr="00E37E60">
        <w:trPr>
          <w:trHeight w:val="300"/>
          <w:jc w:val="center"/>
        </w:trPr>
        <w:tc>
          <w:tcPr>
            <w:tcW w:w="3402" w:type="dxa"/>
            <w:shd w:val="clear" w:color="auto" w:fill="auto"/>
            <w:noWrap/>
            <w:vAlign w:val="center"/>
            <w:hideMark/>
          </w:tcPr>
          <w:p w14:paraId="4404D5DB" w14:textId="77777777" w:rsidR="00AE265D" w:rsidRPr="001C70F5" w:rsidRDefault="00AE265D" w:rsidP="00E37E60">
            <w:pPr>
              <w:spacing w:after="0" w:line="240" w:lineRule="auto"/>
              <w:rPr>
                <w:rFonts w:eastAsia="Times New Roman" w:cs="Calibri"/>
                <w:b/>
                <w:color w:val="000000"/>
                <w:lang w:eastAsia="fr-FR"/>
              </w:rPr>
            </w:pPr>
            <w:r w:rsidRPr="00EA5121">
              <w:rPr>
                <w:rFonts w:eastAsia="Times New Roman" w:cs="Calibri"/>
                <w:b/>
                <w:color w:val="000000"/>
                <w:lang w:eastAsia="fr-FR"/>
              </w:rPr>
              <w:t>Immuno</w:t>
            </w:r>
            <w:r>
              <w:rPr>
                <w:rFonts w:eastAsia="Times New Roman" w:cs="Calibri"/>
                <w:b/>
                <w:color w:val="000000"/>
                <w:lang w:eastAsia="fr-FR"/>
              </w:rPr>
              <w:t xml:space="preserve">suppressive </w:t>
            </w:r>
            <w:proofErr w:type="spellStart"/>
            <w:r>
              <w:rPr>
                <w:rFonts w:eastAsia="Times New Roman" w:cs="Calibri"/>
                <w:b/>
                <w:color w:val="000000"/>
                <w:lang w:eastAsia="fr-FR"/>
              </w:rPr>
              <w:t>treatment</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088D0C2D"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618D71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201594A"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8CB38FC"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1755F1DE"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75826F2F" w14:textId="77777777" w:rsidTr="00E37E60">
        <w:trPr>
          <w:trHeight w:val="300"/>
          <w:jc w:val="center"/>
        </w:trPr>
        <w:tc>
          <w:tcPr>
            <w:tcW w:w="3402" w:type="dxa"/>
            <w:shd w:val="clear" w:color="auto" w:fill="auto"/>
            <w:noWrap/>
            <w:vAlign w:val="center"/>
            <w:hideMark/>
          </w:tcPr>
          <w:p w14:paraId="636BDDBE"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C26A50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924 (94.00%)</w:t>
            </w:r>
          </w:p>
        </w:tc>
        <w:tc>
          <w:tcPr>
            <w:tcW w:w="1701" w:type="dxa"/>
            <w:shd w:val="clear" w:color="auto" w:fill="auto"/>
            <w:noWrap/>
            <w:vAlign w:val="bottom"/>
            <w:hideMark/>
          </w:tcPr>
          <w:p w14:paraId="3194EF2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816 (93.69%)</w:t>
            </w:r>
          </w:p>
        </w:tc>
        <w:tc>
          <w:tcPr>
            <w:tcW w:w="1701" w:type="dxa"/>
            <w:shd w:val="clear" w:color="auto" w:fill="auto"/>
            <w:noWrap/>
            <w:vAlign w:val="bottom"/>
            <w:hideMark/>
          </w:tcPr>
          <w:p w14:paraId="39A88D0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108 (96.43%)</w:t>
            </w:r>
          </w:p>
        </w:tc>
        <w:tc>
          <w:tcPr>
            <w:tcW w:w="1701" w:type="dxa"/>
            <w:shd w:val="clear" w:color="auto" w:fill="auto"/>
            <w:noWrap/>
            <w:vAlign w:val="bottom"/>
            <w:hideMark/>
          </w:tcPr>
          <w:p w14:paraId="123827A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0F561C2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0.25</w:t>
            </w:r>
          </w:p>
        </w:tc>
      </w:tr>
      <w:tr w:rsidR="00AE265D" w:rsidRPr="001E5E77" w14:paraId="54053B35" w14:textId="77777777" w:rsidTr="00E37E60">
        <w:trPr>
          <w:trHeight w:val="300"/>
          <w:jc w:val="center"/>
        </w:trPr>
        <w:tc>
          <w:tcPr>
            <w:tcW w:w="3402" w:type="dxa"/>
            <w:shd w:val="clear" w:color="auto" w:fill="auto"/>
            <w:noWrap/>
            <w:vAlign w:val="center"/>
            <w:hideMark/>
          </w:tcPr>
          <w:p w14:paraId="27F063AC"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C2C923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59 (6.00%)</w:t>
            </w:r>
          </w:p>
        </w:tc>
        <w:tc>
          <w:tcPr>
            <w:tcW w:w="1701" w:type="dxa"/>
            <w:shd w:val="clear" w:color="auto" w:fill="auto"/>
            <w:noWrap/>
            <w:vAlign w:val="bottom"/>
            <w:hideMark/>
          </w:tcPr>
          <w:p w14:paraId="64F2A59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55 (6.31%)</w:t>
            </w:r>
          </w:p>
        </w:tc>
        <w:tc>
          <w:tcPr>
            <w:tcW w:w="1701" w:type="dxa"/>
            <w:shd w:val="clear" w:color="auto" w:fill="auto"/>
            <w:noWrap/>
            <w:vAlign w:val="bottom"/>
            <w:hideMark/>
          </w:tcPr>
          <w:p w14:paraId="4BC8837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 (3.57%)</w:t>
            </w:r>
          </w:p>
        </w:tc>
        <w:tc>
          <w:tcPr>
            <w:tcW w:w="1701" w:type="dxa"/>
            <w:shd w:val="clear" w:color="auto" w:fill="auto"/>
            <w:noWrap/>
            <w:vAlign w:val="bottom"/>
            <w:hideMark/>
          </w:tcPr>
          <w:p w14:paraId="6668BA6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0.55 [0.20;1.55]</w:t>
            </w:r>
          </w:p>
        </w:tc>
        <w:tc>
          <w:tcPr>
            <w:tcW w:w="863" w:type="dxa"/>
            <w:shd w:val="clear" w:color="auto" w:fill="auto"/>
            <w:noWrap/>
            <w:vAlign w:val="bottom"/>
            <w:hideMark/>
          </w:tcPr>
          <w:p w14:paraId="5AC5095E"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334CA9C7" w14:textId="77777777" w:rsidTr="00E37E60">
        <w:trPr>
          <w:trHeight w:val="300"/>
          <w:jc w:val="center"/>
        </w:trPr>
        <w:tc>
          <w:tcPr>
            <w:tcW w:w="3402" w:type="dxa"/>
            <w:shd w:val="clear" w:color="auto" w:fill="auto"/>
            <w:noWrap/>
            <w:vAlign w:val="center"/>
            <w:hideMark/>
          </w:tcPr>
          <w:p w14:paraId="67BD34D9"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 xml:space="preserve">Infection </w:t>
            </w:r>
            <w:proofErr w:type="spellStart"/>
            <w:r>
              <w:rPr>
                <w:rFonts w:eastAsia="Times New Roman" w:cs="Calibri"/>
                <w:b/>
                <w:color w:val="000000"/>
                <w:lang w:eastAsia="fr-FR"/>
              </w:rPr>
              <w:t>immunodepression</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60A1457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5F1ED60"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D2C2FE0"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3358077"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268E11C6"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7A8C93CA" w14:textId="77777777" w:rsidTr="00E37E60">
        <w:trPr>
          <w:trHeight w:val="300"/>
          <w:jc w:val="center"/>
        </w:trPr>
        <w:tc>
          <w:tcPr>
            <w:tcW w:w="3402" w:type="dxa"/>
            <w:shd w:val="clear" w:color="auto" w:fill="auto"/>
            <w:noWrap/>
            <w:vAlign w:val="center"/>
            <w:hideMark/>
          </w:tcPr>
          <w:p w14:paraId="1F1A10C2"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601B7A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970 (98.68%)</w:t>
            </w:r>
          </w:p>
        </w:tc>
        <w:tc>
          <w:tcPr>
            <w:tcW w:w="1701" w:type="dxa"/>
            <w:shd w:val="clear" w:color="auto" w:fill="auto"/>
            <w:noWrap/>
            <w:vAlign w:val="bottom"/>
            <w:hideMark/>
          </w:tcPr>
          <w:p w14:paraId="4AF0091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860 (98.74%)</w:t>
            </w:r>
          </w:p>
        </w:tc>
        <w:tc>
          <w:tcPr>
            <w:tcW w:w="1701" w:type="dxa"/>
            <w:shd w:val="clear" w:color="auto" w:fill="auto"/>
            <w:noWrap/>
            <w:vAlign w:val="bottom"/>
            <w:hideMark/>
          </w:tcPr>
          <w:p w14:paraId="759A903F"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110 (98.21%)</w:t>
            </w:r>
          </w:p>
        </w:tc>
        <w:tc>
          <w:tcPr>
            <w:tcW w:w="1701" w:type="dxa"/>
            <w:shd w:val="clear" w:color="auto" w:fill="auto"/>
            <w:noWrap/>
            <w:vAlign w:val="bottom"/>
            <w:hideMark/>
          </w:tcPr>
          <w:p w14:paraId="459CC49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2A2F7AF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0.65</w:t>
            </w:r>
          </w:p>
        </w:tc>
      </w:tr>
      <w:tr w:rsidR="00AE265D" w:rsidRPr="001E5E77" w14:paraId="5EECF4FD" w14:textId="77777777" w:rsidTr="00E37E60">
        <w:trPr>
          <w:trHeight w:val="300"/>
          <w:jc w:val="center"/>
        </w:trPr>
        <w:tc>
          <w:tcPr>
            <w:tcW w:w="3402" w:type="dxa"/>
            <w:shd w:val="clear" w:color="auto" w:fill="auto"/>
            <w:noWrap/>
            <w:vAlign w:val="center"/>
            <w:hideMark/>
          </w:tcPr>
          <w:p w14:paraId="7E0EB293"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lastRenderedPageBreak/>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4E5BDE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13 (1.32%)</w:t>
            </w:r>
          </w:p>
        </w:tc>
        <w:tc>
          <w:tcPr>
            <w:tcW w:w="1701" w:type="dxa"/>
            <w:shd w:val="clear" w:color="auto" w:fill="auto"/>
            <w:noWrap/>
            <w:vAlign w:val="bottom"/>
            <w:hideMark/>
          </w:tcPr>
          <w:p w14:paraId="4CB2C3D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11 (1.26%)</w:t>
            </w:r>
          </w:p>
        </w:tc>
        <w:tc>
          <w:tcPr>
            <w:tcW w:w="1701" w:type="dxa"/>
            <w:shd w:val="clear" w:color="auto" w:fill="auto"/>
            <w:noWrap/>
            <w:vAlign w:val="bottom"/>
            <w:hideMark/>
          </w:tcPr>
          <w:p w14:paraId="0110248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 (1.79%)</w:t>
            </w:r>
          </w:p>
        </w:tc>
        <w:tc>
          <w:tcPr>
            <w:tcW w:w="1701" w:type="dxa"/>
            <w:shd w:val="clear" w:color="auto" w:fill="auto"/>
            <w:noWrap/>
            <w:vAlign w:val="bottom"/>
            <w:hideMark/>
          </w:tcPr>
          <w:p w14:paraId="635596C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1.42 [0.31;6.50]</w:t>
            </w:r>
          </w:p>
        </w:tc>
        <w:tc>
          <w:tcPr>
            <w:tcW w:w="863" w:type="dxa"/>
            <w:shd w:val="clear" w:color="auto" w:fill="auto"/>
            <w:noWrap/>
            <w:vAlign w:val="bottom"/>
            <w:hideMark/>
          </w:tcPr>
          <w:p w14:paraId="6585F3F5"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09503D" w14:paraId="4CCB4D36" w14:textId="77777777" w:rsidTr="00E37E60">
        <w:trPr>
          <w:trHeight w:val="300"/>
          <w:jc w:val="center"/>
        </w:trPr>
        <w:tc>
          <w:tcPr>
            <w:tcW w:w="3402" w:type="dxa"/>
            <w:shd w:val="clear" w:color="auto" w:fill="auto"/>
            <w:noWrap/>
            <w:vAlign w:val="center"/>
            <w:hideMark/>
          </w:tcPr>
          <w:p w14:paraId="437F78D5" w14:textId="23C0D856" w:rsidR="00AE265D" w:rsidRPr="00417336" w:rsidRDefault="00013731" w:rsidP="00E37E60">
            <w:pPr>
              <w:spacing w:after="0" w:line="240" w:lineRule="auto"/>
              <w:rPr>
                <w:rFonts w:eastAsia="Times New Roman" w:cs="Calibri"/>
                <w:b/>
                <w:color w:val="000000"/>
                <w:lang w:val="en-US" w:eastAsia="fr-FR"/>
              </w:rPr>
            </w:pPr>
            <w:r w:rsidRPr="00C72B82">
              <w:rPr>
                <w:rFonts w:eastAsia="Times New Roman" w:cs="Calibri"/>
                <w:b/>
                <w:color w:val="000000"/>
                <w:lang w:val="en-US" w:eastAsia="fr-FR"/>
              </w:rPr>
              <w:t xml:space="preserve">Gastric or duodenal </w:t>
            </w:r>
            <w:r>
              <w:rPr>
                <w:rFonts w:eastAsia="Times New Roman" w:cs="Calibri"/>
                <w:b/>
                <w:color w:val="000000"/>
                <w:lang w:val="en-US" w:eastAsia="fr-FR"/>
              </w:rPr>
              <w:t xml:space="preserve">peptic </w:t>
            </w:r>
            <w:proofErr w:type="spellStart"/>
            <w:r w:rsidRPr="00C72B82">
              <w:rPr>
                <w:rFonts w:eastAsia="Times New Roman" w:cs="Calibri"/>
                <w:b/>
                <w:color w:val="000000"/>
                <w:lang w:val="en-US" w:eastAsia="fr-FR"/>
              </w:rPr>
              <w:t>ucler</w:t>
            </w:r>
            <w:proofErr w:type="spellEnd"/>
            <w:r w:rsidRPr="00C72B82">
              <w:rPr>
                <w:rFonts w:eastAsia="Times New Roman" w:cs="Calibri"/>
                <w:b/>
                <w:color w:val="000000"/>
                <w:lang w:val="en-US" w:eastAsia="fr-FR"/>
              </w:rPr>
              <w:t xml:space="preserve"> </w:t>
            </w:r>
            <w:r w:rsidR="00AE265D" w:rsidRPr="00417336">
              <w:rPr>
                <w:rFonts w:eastAsia="Times New Roman" w:cs="Calibri"/>
                <w:b/>
                <w:color w:val="000000"/>
                <w:lang w:val="en-US" w:eastAsia="fr-FR"/>
              </w:rPr>
              <w:t xml:space="preserve">(N=983) </w:t>
            </w:r>
          </w:p>
        </w:tc>
        <w:tc>
          <w:tcPr>
            <w:tcW w:w="1701" w:type="dxa"/>
            <w:shd w:val="clear" w:color="auto" w:fill="auto"/>
            <w:noWrap/>
            <w:vAlign w:val="bottom"/>
            <w:hideMark/>
          </w:tcPr>
          <w:p w14:paraId="0C4B64F0" w14:textId="77777777" w:rsidR="00AE265D" w:rsidRPr="00417336" w:rsidRDefault="00AE265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36C11B2" w14:textId="77777777" w:rsidR="00AE265D" w:rsidRPr="00417336" w:rsidRDefault="00AE265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3EFB095" w14:textId="77777777" w:rsidR="00AE265D" w:rsidRPr="00417336" w:rsidRDefault="00AE265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D561294" w14:textId="77777777" w:rsidR="00AE265D" w:rsidRPr="00417336" w:rsidRDefault="00AE265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2A13986D" w14:textId="77777777" w:rsidR="00AE265D" w:rsidRPr="00417336" w:rsidRDefault="00AE265D" w:rsidP="00E37E60">
            <w:pPr>
              <w:spacing w:after="0" w:line="240" w:lineRule="auto"/>
              <w:rPr>
                <w:rFonts w:eastAsia="Times New Roman" w:cs="Calibri"/>
                <w:b/>
                <w:color w:val="000000"/>
                <w:lang w:val="en-US" w:eastAsia="fr-FR"/>
              </w:rPr>
            </w:pPr>
          </w:p>
        </w:tc>
      </w:tr>
      <w:tr w:rsidR="00AE265D" w:rsidRPr="001E5E77" w14:paraId="741CCE81" w14:textId="77777777" w:rsidTr="00E37E60">
        <w:trPr>
          <w:trHeight w:val="300"/>
          <w:jc w:val="center"/>
        </w:trPr>
        <w:tc>
          <w:tcPr>
            <w:tcW w:w="3402" w:type="dxa"/>
            <w:shd w:val="clear" w:color="auto" w:fill="auto"/>
            <w:noWrap/>
            <w:vAlign w:val="center"/>
            <w:hideMark/>
          </w:tcPr>
          <w:p w14:paraId="2E5DF2A0"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6531AE1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968 (98.47%)</w:t>
            </w:r>
          </w:p>
        </w:tc>
        <w:tc>
          <w:tcPr>
            <w:tcW w:w="1701" w:type="dxa"/>
            <w:shd w:val="clear" w:color="auto" w:fill="auto"/>
            <w:noWrap/>
            <w:vAlign w:val="bottom"/>
            <w:hideMark/>
          </w:tcPr>
          <w:p w14:paraId="3DF019D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856 (98.28%)</w:t>
            </w:r>
          </w:p>
        </w:tc>
        <w:tc>
          <w:tcPr>
            <w:tcW w:w="1701" w:type="dxa"/>
            <w:shd w:val="clear" w:color="auto" w:fill="auto"/>
            <w:noWrap/>
            <w:vAlign w:val="bottom"/>
            <w:hideMark/>
          </w:tcPr>
          <w:p w14:paraId="3F1B5DF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112 (100.00%)</w:t>
            </w:r>
          </w:p>
        </w:tc>
        <w:tc>
          <w:tcPr>
            <w:tcW w:w="1701" w:type="dxa"/>
            <w:shd w:val="clear" w:color="auto" w:fill="auto"/>
            <w:noWrap/>
            <w:vAlign w:val="bottom"/>
            <w:hideMark/>
          </w:tcPr>
          <w:p w14:paraId="17F17E7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268C6C2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0.40</w:t>
            </w:r>
          </w:p>
        </w:tc>
      </w:tr>
      <w:tr w:rsidR="00AE265D" w:rsidRPr="001E5E77" w14:paraId="2E4AC29B" w14:textId="77777777" w:rsidTr="00E37E60">
        <w:trPr>
          <w:trHeight w:val="300"/>
          <w:jc w:val="center"/>
        </w:trPr>
        <w:tc>
          <w:tcPr>
            <w:tcW w:w="3402" w:type="dxa"/>
            <w:shd w:val="clear" w:color="auto" w:fill="auto"/>
            <w:noWrap/>
            <w:vAlign w:val="center"/>
            <w:hideMark/>
          </w:tcPr>
          <w:p w14:paraId="102B24A0"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6228C80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15 (1.53%)</w:t>
            </w:r>
          </w:p>
        </w:tc>
        <w:tc>
          <w:tcPr>
            <w:tcW w:w="1701" w:type="dxa"/>
            <w:shd w:val="clear" w:color="auto" w:fill="auto"/>
            <w:noWrap/>
            <w:vAlign w:val="bottom"/>
            <w:hideMark/>
          </w:tcPr>
          <w:p w14:paraId="518F377F"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15 (1.72%)</w:t>
            </w:r>
          </w:p>
        </w:tc>
        <w:tc>
          <w:tcPr>
            <w:tcW w:w="1701" w:type="dxa"/>
            <w:shd w:val="clear" w:color="auto" w:fill="auto"/>
            <w:noWrap/>
            <w:vAlign w:val="bottom"/>
            <w:hideMark/>
          </w:tcPr>
          <w:p w14:paraId="7E50D36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 (0.00%)</w:t>
            </w:r>
          </w:p>
        </w:tc>
        <w:tc>
          <w:tcPr>
            <w:tcW w:w="1701" w:type="dxa"/>
            <w:shd w:val="clear" w:color="auto" w:fill="auto"/>
            <w:noWrap/>
            <w:vAlign w:val="bottom"/>
            <w:hideMark/>
          </w:tcPr>
          <w:p w14:paraId="7DCA450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w:t>
            </w:r>
          </w:p>
        </w:tc>
        <w:tc>
          <w:tcPr>
            <w:tcW w:w="863" w:type="dxa"/>
            <w:shd w:val="clear" w:color="auto" w:fill="auto"/>
            <w:noWrap/>
            <w:vAlign w:val="bottom"/>
            <w:hideMark/>
          </w:tcPr>
          <w:p w14:paraId="53C7AD28"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09626784" w14:textId="77777777" w:rsidTr="00E37E60">
        <w:trPr>
          <w:trHeight w:val="300"/>
          <w:jc w:val="center"/>
        </w:trPr>
        <w:tc>
          <w:tcPr>
            <w:tcW w:w="3402" w:type="dxa"/>
            <w:shd w:val="clear" w:color="auto" w:fill="auto"/>
            <w:noWrap/>
            <w:vAlign w:val="center"/>
            <w:hideMark/>
          </w:tcPr>
          <w:p w14:paraId="05187D71"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COPD</w:t>
            </w:r>
            <w:r w:rsidRPr="001C70F5">
              <w:rPr>
                <w:rFonts w:eastAsia="Times New Roman" w:cs="Calibri"/>
                <w:b/>
                <w:color w:val="000000"/>
                <w:lang w:eastAsia="fr-FR"/>
              </w:rPr>
              <w:t>/SAS/</w:t>
            </w:r>
            <w:proofErr w:type="spellStart"/>
            <w:r w:rsidRPr="001C70F5">
              <w:rPr>
                <w:rFonts w:eastAsia="Times New Roman" w:cs="Calibri"/>
                <w:b/>
                <w:color w:val="000000"/>
                <w:lang w:eastAsia="fr-FR"/>
              </w:rPr>
              <w:t>Asthm</w:t>
            </w:r>
            <w:r>
              <w:rPr>
                <w:rFonts w:eastAsia="Times New Roman" w:cs="Calibri"/>
                <w:b/>
                <w:color w:val="000000"/>
                <w:lang w:eastAsia="fr-FR"/>
              </w:rPr>
              <w:t>a</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17911652"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411F918"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08DD520"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C360A6F"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503B2E0C"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043479FB" w14:textId="77777777" w:rsidTr="00E37E60">
        <w:trPr>
          <w:trHeight w:val="300"/>
          <w:jc w:val="center"/>
        </w:trPr>
        <w:tc>
          <w:tcPr>
            <w:tcW w:w="3402" w:type="dxa"/>
            <w:shd w:val="clear" w:color="auto" w:fill="auto"/>
            <w:noWrap/>
            <w:vAlign w:val="center"/>
            <w:hideMark/>
          </w:tcPr>
          <w:p w14:paraId="1F29EEAC"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6B60D6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809 (82.30%)</w:t>
            </w:r>
          </w:p>
        </w:tc>
        <w:tc>
          <w:tcPr>
            <w:tcW w:w="1701" w:type="dxa"/>
            <w:shd w:val="clear" w:color="auto" w:fill="auto"/>
            <w:noWrap/>
            <w:vAlign w:val="bottom"/>
            <w:hideMark/>
          </w:tcPr>
          <w:p w14:paraId="312D2F3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717 (82.32%)</w:t>
            </w:r>
          </w:p>
        </w:tc>
        <w:tc>
          <w:tcPr>
            <w:tcW w:w="1701" w:type="dxa"/>
            <w:shd w:val="clear" w:color="auto" w:fill="auto"/>
            <w:noWrap/>
            <w:vAlign w:val="bottom"/>
            <w:hideMark/>
          </w:tcPr>
          <w:p w14:paraId="2D79220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92 (82.14%)</w:t>
            </w:r>
          </w:p>
        </w:tc>
        <w:tc>
          <w:tcPr>
            <w:tcW w:w="1701" w:type="dxa"/>
            <w:shd w:val="clear" w:color="auto" w:fill="auto"/>
            <w:noWrap/>
            <w:vAlign w:val="bottom"/>
            <w:hideMark/>
          </w:tcPr>
          <w:p w14:paraId="1B1C3B1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2513D08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0.96</w:t>
            </w:r>
          </w:p>
        </w:tc>
      </w:tr>
      <w:tr w:rsidR="00AE265D" w:rsidRPr="001E5E77" w14:paraId="2DD45A9F" w14:textId="77777777" w:rsidTr="00E37E60">
        <w:trPr>
          <w:trHeight w:val="300"/>
          <w:jc w:val="center"/>
        </w:trPr>
        <w:tc>
          <w:tcPr>
            <w:tcW w:w="3402" w:type="dxa"/>
            <w:shd w:val="clear" w:color="auto" w:fill="auto"/>
            <w:noWrap/>
            <w:vAlign w:val="center"/>
            <w:hideMark/>
          </w:tcPr>
          <w:p w14:paraId="6C3853F8"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7FA3D5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174 (17.70%)</w:t>
            </w:r>
          </w:p>
        </w:tc>
        <w:tc>
          <w:tcPr>
            <w:tcW w:w="1701" w:type="dxa"/>
            <w:shd w:val="clear" w:color="auto" w:fill="auto"/>
            <w:noWrap/>
            <w:vAlign w:val="bottom"/>
            <w:hideMark/>
          </w:tcPr>
          <w:p w14:paraId="661104C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154 (17.68%)</w:t>
            </w:r>
          </w:p>
        </w:tc>
        <w:tc>
          <w:tcPr>
            <w:tcW w:w="1701" w:type="dxa"/>
            <w:shd w:val="clear" w:color="auto" w:fill="auto"/>
            <w:noWrap/>
            <w:vAlign w:val="bottom"/>
            <w:hideMark/>
          </w:tcPr>
          <w:p w14:paraId="35F0568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20 (17.86%)</w:t>
            </w:r>
          </w:p>
        </w:tc>
        <w:tc>
          <w:tcPr>
            <w:tcW w:w="1701" w:type="dxa"/>
            <w:shd w:val="clear" w:color="auto" w:fill="auto"/>
            <w:noWrap/>
            <w:vAlign w:val="bottom"/>
            <w:hideMark/>
          </w:tcPr>
          <w:p w14:paraId="6033460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1.01 [0.61;1.69]</w:t>
            </w:r>
          </w:p>
        </w:tc>
        <w:tc>
          <w:tcPr>
            <w:tcW w:w="863" w:type="dxa"/>
            <w:shd w:val="clear" w:color="auto" w:fill="auto"/>
            <w:noWrap/>
            <w:vAlign w:val="bottom"/>
            <w:hideMark/>
          </w:tcPr>
          <w:p w14:paraId="2A12C9CC"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09503D" w14:paraId="2F792355" w14:textId="77777777" w:rsidTr="00E37E60">
        <w:trPr>
          <w:trHeight w:val="300"/>
          <w:jc w:val="center"/>
        </w:trPr>
        <w:tc>
          <w:tcPr>
            <w:tcW w:w="3402" w:type="dxa"/>
            <w:shd w:val="clear" w:color="auto" w:fill="auto"/>
            <w:noWrap/>
            <w:vAlign w:val="center"/>
            <w:hideMark/>
          </w:tcPr>
          <w:p w14:paraId="46A5527D" w14:textId="77777777" w:rsidR="00AE265D" w:rsidRPr="00417336" w:rsidRDefault="00AE265D" w:rsidP="00E37E60">
            <w:pPr>
              <w:spacing w:after="0" w:line="240" w:lineRule="auto"/>
              <w:rPr>
                <w:rFonts w:eastAsia="Times New Roman" w:cs="Calibri"/>
                <w:b/>
                <w:color w:val="000000"/>
                <w:lang w:val="en-US" w:eastAsia="fr-FR"/>
              </w:rPr>
            </w:pPr>
            <w:r w:rsidRPr="00417336">
              <w:rPr>
                <w:rFonts w:eastAsia="Times New Roman" w:cs="Calibri"/>
                <w:b/>
                <w:color w:val="000000"/>
                <w:lang w:val="en-US" w:eastAsia="fr-FR"/>
              </w:rPr>
              <w:t xml:space="preserve">Long-term oxygen therapy (N=982) </w:t>
            </w:r>
          </w:p>
        </w:tc>
        <w:tc>
          <w:tcPr>
            <w:tcW w:w="1701" w:type="dxa"/>
            <w:shd w:val="clear" w:color="auto" w:fill="auto"/>
            <w:noWrap/>
            <w:vAlign w:val="bottom"/>
            <w:hideMark/>
          </w:tcPr>
          <w:p w14:paraId="4F5A5F40" w14:textId="77777777" w:rsidR="00AE265D" w:rsidRPr="00417336" w:rsidRDefault="00AE265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904EBEC" w14:textId="77777777" w:rsidR="00AE265D" w:rsidRPr="00417336" w:rsidRDefault="00AE265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CDB9620" w14:textId="77777777" w:rsidR="00AE265D" w:rsidRPr="00417336" w:rsidRDefault="00AE265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F1B17D9" w14:textId="77777777" w:rsidR="00AE265D" w:rsidRPr="00417336" w:rsidRDefault="00AE265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4D6ED1F3" w14:textId="77777777" w:rsidR="00AE265D" w:rsidRPr="00417336" w:rsidRDefault="00AE265D" w:rsidP="00E37E60">
            <w:pPr>
              <w:spacing w:after="0" w:line="240" w:lineRule="auto"/>
              <w:rPr>
                <w:rFonts w:eastAsia="Times New Roman" w:cs="Calibri"/>
                <w:b/>
                <w:color w:val="000000"/>
                <w:lang w:val="en-US" w:eastAsia="fr-FR"/>
              </w:rPr>
            </w:pPr>
          </w:p>
        </w:tc>
      </w:tr>
      <w:tr w:rsidR="00AE265D" w:rsidRPr="001E5E77" w14:paraId="7D0B96E7" w14:textId="77777777" w:rsidTr="00E37E60">
        <w:trPr>
          <w:trHeight w:val="300"/>
          <w:jc w:val="center"/>
        </w:trPr>
        <w:tc>
          <w:tcPr>
            <w:tcW w:w="3402" w:type="dxa"/>
            <w:shd w:val="clear" w:color="auto" w:fill="auto"/>
            <w:noWrap/>
            <w:vAlign w:val="center"/>
            <w:hideMark/>
          </w:tcPr>
          <w:p w14:paraId="554D355E"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0E05278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978 (99.59%)</w:t>
            </w:r>
          </w:p>
        </w:tc>
        <w:tc>
          <w:tcPr>
            <w:tcW w:w="1701" w:type="dxa"/>
            <w:shd w:val="clear" w:color="auto" w:fill="auto"/>
            <w:noWrap/>
            <w:vAlign w:val="bottom"/>
            <w:hideMark/>
          </w:tcPr>
          <w:p w14:paraId="76CAFBE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867 (99.54%)</w:t>
            </w:r>
          </w:p>
        </w:tc>
        <w:tc>
          <w:tcPr>
            <w:tcW w:w="1701" w:type="dxa"/>
            <w:shd w:val="clear" w:color="auto" w:fill="auto"/>
            <w:noWrap/>
            <w:vAlign w:val="bottom"/>
            <w:hideMark/>
          </w:tcPr>
          <w:p w14:paraId="642DAE4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111 (100.00%)</w:t>
            </w:r>
          </w:p>
        </w:tc>
        <w:tc>
          <w:tcPr>
            <w:tcW w:w="1701" w:type="dxa"/>
            <w:shd w:val="clear" w:color="auto" w:fill="auto"/>
            <w:noWrap/>
            <w:vAlign w:val="bottom"/>
            <w:hideMark/>
          </w:tcPr>
          <w:p w14:paraId="47845F1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3C3FF7A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&gt;0.99</w:t>
            </w:r>
          </w:p>
        </w:tc>
      </w:tr>
      <w:tr w:rsidR="00AE265D" w:rsidRPr="001E5E77" w14:paraId="4BFEBA97" w14:textId="77777777" w:rsidTr="00E37E60">
        <w:trPr>
          <w:trHeight w:val="300"/>
          <w:jc w:val="center"/>
        </w:trPr>
        <w:tc>
          <w:tcPr>
            <w:tcW w:w="3402" w:type="dxa"/>
            <w:shd w:val="clear" w:color="auto" w:fill="auto"/>
            <w:noWrap/>
            <w:vAlign w:val="center"/>
            <w:hideMark/>
          </w:tcPr>
          <w:p w14:paraId="40A91DB2"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2E5003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 (0.41%)</w:t>
            </w:r>
          </w:p>
        </w:tc>
        <w:tc>
          <w:tcPr>
            <w:tcW w:w="1701" w:type="dxa"/>
            <w:shd w:val="clear" w:color="auto" w:fill="auto"/>
            <w:noWrap/>
            <w:vAlign w:val="bottom"/>
            <w:hideMark/>
          </w:tcPr>
          <w:p w14:paraId="164633E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 (0.46%)</w:t>
            </w:r>
          </w:p>
        </w:tc>
        <w:tc>
          <w:tcPr>
            <w:tcW w:w="1701" w:type="dxa"/>
            <w:shd w:val="clear" w:color="auto" w:fill="auto"/>
            <w:noWrap/>
            <w:vAlign w:val="bottom"/>
            <w:hideMark/>
          </w:tcPr>
          <w:p w14:paraId="1E42947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 (0.00%)</w:t>
            </w:r>
          </w:p>
        </w:tc>
        <w:tc>
          <w:tcPr>
            <w:tcW w:w="1701" w:type="dxa"/>
            <w:shd w:val="clear" w:color="auto" w:fill="auto"/>
            <w:noWrap/>
            <w:vAlign w:val="bottom"/>
            <w:hideMark/>
          </w:tcPr>
          <w:p w14:paraId="7B4667C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w:t>
            </w:r>
          </w:p>
        </w:tc>
        <w:tc>
          <w:tcPr>
            <w:tcW w:w="863" w:type="dxa"/>
            <w:shd w:val="clear" w:color="auto" w:fill="auto"/>
            <w:noWrap/>
            <w:vAlign w:val="bottom"/>
            <w:hideMark/>
          </w:tcPr>
          <w:p w14:paraId="57073EBD"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1987511B" w14:textId="77777777" w:rsidTr="00E37E60">
        <w:trPr>
          <w:trHeight w:val="300"/>
          <w:jc w:val="center"/>
        </w:trPr>
        <w:tc>
          <w:tcPr>
            <w:tcW w:w="3402" w:type="dxa"/>
            <w:shd w:val="clear" w:color="auto" w:fill="auto"/>
            <w:noWrap/>
            <w:vAlign w:val="center"/>
            <w:hideMark/>
          </w:tcPr>
          <w:p w14:paraId="06491C35" w14:textId="77777777" w:rsidR="00AE265D" w:rsidRPr="001C70F5" w:rsidRDefault="00AE265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Chronic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renal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failure</w:t>
            </w:r>
            <w:proofErr w:type="spellEnd"/>
            <w:r w:rsidRPr="001C70F5">
              <w:rPr>
                <w:rFonts w:eastAsia="Times New Roman" w:cs="Calibri"/>
                <w:b/>
                <w:color w:val="000000"/>
                <w:lang w:eastAsia="fr-FR"/>
              </w:rPr>
              <w:t xml:space="preserve"> (N=982)</w:t>
            </w:r>
            <w:r>
              <w:rPr>
                <w:rFonts w:eastAsia="Times New Roman" w:cs="Calibri"/>
                <w:b/>
                <w:color w:val="000000"/>
                <w:lang w:eastAsia="fr-FR"/>
              </w:rPr>
              <w:t xml:space="preserve"> </w:t>
            </w:r>
          </w:p>
        </w:tc>
        <w:tc>
          <w:tcPr>
            <w:tcW w:w="1701" w:type="dxa"/>
            <w:shd w:val="clear" w:color="auto" w:fill="auto"/>
            <w:noWrap/>
            <w:vAlign w:val="bottom"/>
            <w:hideMark/>
          </w:tcPr>
          <w:p w14:paraId="3DCBDF9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14C8E00"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0F0650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1616F67"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31FB876E"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4A66C984" w14:textId="77777777" w:rsidTr="00E37E60">
        <w:trPr>
          <w:trHeight w:val="300"/>
          <w:jc w:val="center"/>
        </w:trPr>
        <w:tc>
          <w:tcPr>
            <w:tcW w:w="3402" w:type="dxa"/>
            <w:shd w:val="clear" w:color="auto" w:fill="auto"/>
            <w:noWrap/>
            <w:vAlign w:val="center"/>
            <w:hideMark/>
          </w:tcPr>
          <w:p w14:paraId="773F353C"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EEA3EB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895 (91.14%)</w:t>
            </w:r>
          </w:p>
        </w:tc>
        <w:tc>
          <w:tcPr>
            <w:tcW w:w="1701" w:type="dxa"/>
            <w:shd w:val="clear" w:color="auto" w:fill="auto"/>
            <w:noWrap/>
            <w:vAlign w:val="bottom"/>
            <w:hideMark/>
          </w:tcPr>
          <w:p w14:paraId="0B75A52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787 (90.46%)</w:t>
            </w:r>
          </w:p>
        </w:tc>
        <w:tc>
          <w:tcPr>
            <w:tcW w:w="1701" w:type="dxa"/>
            <w:shd w:val="clear" w:color="auto" w:fill="auto"/>
            <w:noWrap/>
            <w:vAlign w:val="bottom"/>
            <w:hideMark/>
          </w:tcPr>
          <w:p w14:paraId="3B4E013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108 (96.43%)</w:t>
            </w:r>
          </w:p>
        </w:tc>
        <w:tc>
          <w:tcPr>
            <w:tcW w:w="1701" w:type="dxa"/>
            <w:shd w:val="clear" w:color="auto" w:fill="auto"/>
            <w:noWrap/>
            <w:vAlign w:val="bottom"/>
            <w:hideMark/>
          </w:tcPr>
          <w:p w14:paraId="3A9092D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575DF40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0.0364</w:t>
            </w:r>
          </w:p>
        </w:tc>
      </w:tr>
      <w:tr w:rsidR="00AE265D" w:rsidRPr="001E5E77" w14:paraId="13861561" w14:textId="77777777" w:rsidTr="00E37E60">
        <w:trPr>
          <w:trHeight w:val="300"/>
          <w:jc w:val="center"/>
        </w:trPr>
        <w:tc>
          <w:tcPr>
            <w:tcW w:w="3402" w:type="dxa"/>
            <w:shd w:val="clear" w:color="auto" w:fill="auto"/>
            <w:noWrap/>
            <w:vAlign w:val="center"/>
            <w:hideMark/>
          </w:tcPr>
          <w:p w14:paraId="644DB028"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36BDB4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87 (8.86%)</w:t>
            </w:r>
          </w:p>
        </w:tc>
        <w:tc>
          <w:tcPr>
            <w:tcW w:w="1701" w:type="dxa"/>
            <w:shd w:val="clear" w:color="auto" w:fill="auto"/>
            <w:noWrap/>
            <w:vAlign w:val="bottom"/>
            <w:hideMark/>
          </w:tcPr>
          <w:p w14:paraId="2BC7159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83 (9.54%)</w:t>
            </w:r>
          </w:p>
        </w:tc>
        <w:tc>
          <w:tcPr>
            <w:tcW w:w="1701" w:type="dxa"/>
            <w:shd w:val="clear" w:color="auto" w:fill="auto"/>
            <w:noWrap/>
            <w:vAlign w:val="bottom"/>
            <w:hideMark/>
          </w:tcPr>
          <w:p w14:paraId="0F943EE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 (3.57%)</w:t>
            </w:r>
          </w:p>
        </w:tc>
        <w:tc>
          <w:tcPr>
            <w:tcW w:w="1701" w:type="dxa"/>
            <w:shd w:val="clear" w:color="auto" w:fill="auto"/>
            <w:noWrap/>
            <w:vAlign w:val="bottom"/>
            <w:hideMark/>
          </w:tcPr>
          <w:p w14:paraId="453E508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0.35 [0.13;0.98]</w:t>
            </w:r>
          </w:p>
        </w:tc>
        <w:tc>
          <w:tcPr>
            <w:tcW w:w="863" w:type="dxa"/>
            <w:shd w:val="clear" w:color="auto" w:fill="auto"/>
            <w:noWrap/>
            <w:vAlign w:val="bottom"/>
            <w:hideMark/>
          </w:tcPr>
          <w:p w14:paraId="02A51E3F"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51444202" w14:textId="77777777" w:rsidTr="00E37E60">
        <w:trPr>
          <w:trHeight w:val="300"/>
          <w:jc w:val="center"/>
        </w:trPr>
        <w:tc>
          <w:tcPr>
            <w:tcW w:w="3402" w:type="dxa"/>
            <w:shd w:val="clear" w:color="auto" w:fill="auto"/>
            <w:noWrap/>
            <w:vAlign w:val="center"/>
            <w:hideMark/>
          </w:tcPr>
          <w:p w14:paraId="19EEF073" w14:textId="77777777" w:rsidR="00AE265D" w:rsidRPr="001C70F5" w:rsidRDefault="00AE265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Chronic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di</w:t>
            </w:r>
            <w:r w:rsidRPr="001C70F5">
              <w:rPr>
                <w:rFonts w:eastAsia="Times New Roman" w:cs="Calibri"/>
                <w:b/>
                <w:color w:val="000000"/>
                <w:lang w:eastAsia="fr-FR"/>
              </w:rPr>
              <w:t>alys</w:t>
            </w:r>
            <w:r>
              <w:rPr>
                <w:rFonts w:eastAsia="Times New Roman" w:cs="Calibri"/>
                <w:b/>
                <w:color w:val="000000"/>
                <w:lang w:eastAsia="fr-FR"/>
              </w:rPr>
              <w:t>is</w:t>
            </w:r>
            <w:proofErr w:type="spellEnd"/>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7E8B3DD2"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ECF9D85"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DDAD74D"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F82729A"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1A733851"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46216E9E" w14:textId="77777777" w:rsidTr="00E37E60">
        <w:trPr>
          <w:trHeight w:val="300"/>
          <w:jc w:val="center"/>
        </w:trPr>
        <w:tc>
          <w:tcPr>
            <w:tcW w:w="3402" w:type="dxa"/>
            <w:shd w:val="clear" w:color="auto" w:fill="auto"/>
            <w:noWrap/>
            <w:vAlign w:val="center"/>
            <w:hideMark/>
          </w:tcPr>
          <w:p w14:paraId="42A5249D"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547A655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951 (96.74%)</w:t>
            </w:r>
          </w:p>
        </w:tc>
        <w:tc>
          <w:tcPr>
            <w:tcW w:w="1701" w:type="dxa"/>
            <w:shd w:val="clear" w:color="auto" w:fill="auto"/>
            <w:noWrap/>
            <w:vAlign w:val="bottom"/>
            <w:hideMark/>
          </w:tcPr>
          <w:p w14:paraId="768F81D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841 (96.56%)</w:t>
            </w:r>
          </w:p>
        </w:tc>
        <w:tc>
          <w:tcPr>
            <w:tcW w:w="1701" w:type="dxa"/>
            <w:shd w:val="clear" w:color="auto" w:fill="auto"/>
            <w:noWrap/>
            <w:vAlign w:val="bottom"/>
            <w:hideMark/>
          </w:tcPr>
          <w:p w14:paraId="7A74116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110 (98.21%)</w:t>
            </w:r>
          </w:p>
        </w:tc>
        <w:tc>
          <w:tcPr>
            <w:tcW w:w="1701" w:type="dxa"/>
            <w:shd w:val="clear" w:color="auto" w:fill="auto"/>
            <w:noWrap/>
            <w:vAlign w:val="bottom"/>
            <w:hideMark/>
          </w:tcPr>
          <w:p w14:paraId="51CBAA0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0D45B44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0.57</w:t>
            </w:r>
          </w:p>
        </w:tc>
      </w:tr>
      <w:tr w:rsidR="00AE265D" w:rsidRPr="001E5E77" w14:paraId="3F5DB09A" w14:textId="77777777" w:rsidTr="00E37E60">
        <w:trPr>
          <w:trHeight w:val="300"/>
          <w:jc w:val="center"/>
        </w:trPr>
        <w:tc>
          <w:tcPr>
            <w:tcW w:w="3402" w:type="dxa"/>
            <w:shd w:val="clear" w:color="auto" w:fill="auto"/>
            <w:noWrap/>
            <w:vAlign w:val="center"/>
            <w:hideMark/>
          </w:tcPr>
          <w:p w14:paraId="0B9D7C0B"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3AC60E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32 (3.26%)</w:t>
            </w:r>
          </w:p>
        </w:tc>
        <w:tc>
          <w:tcPr>
            <w:tcW w:w="1701" w:type="dxa"/>
            <w:shd w:val="clear" w:color="auto" w:fill="auto"/>
            <w:noWrap/>
            <w:vAlign w:val="bottom"/>
            <w:hideMark/>
          </w:tcPr>
          <w:p w14:paraId="770E4C8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30 (3.44%)</w:t>
            </w:r>
          </w:p>
        </w:tc>
        <w:tc>
          <w:tcPr>
            <w:tcW w:w="1701" w:type="dxa"/>
            <w:shd w:val="clear" w:color="auto" w:fill="auto"/>
            <w:noWrap/>
            <w:vAlign w:val="bottom"/>
            <w:hideMark/>
          </w:tcPr>
          <w:p w14:paraId="7A9A528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2 (1.79%)</w:t>
            </w:r>
          </w:p>
        </w:tc>
        <w:tc>
          <w:tcPr>
            <w:tcW w:w="1701" w:type="dxa"/>
            <w:shd w:val="clear" w:color="auto" w:fill="auto"/>
            <w:noWrap/>
            <w:vAlign w:val="bottom"/>
            <w:hideMark/>
          </w:tcPr>
          <w:p w14:paraId="0D5DA29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0.51 [0.12;2.16]</w:t>
            </w:r>
          </w:p>
        </w:tc>
        <w:tc>
          <w:tcPr>
            <w:tcW w:w="863" w:type="dxa"/>
            <w:shd w:val="clear" w:color="auto" w:fill="auto"/>
            <w:noWrap/>
            <w:vAlign w:val="bottom"/>
            <w:hideMark/>
          </w:tcPr>
          <w:p w14:paraId="5C33840C"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5F028899" w14:textId="77777777" w:rsidTr="00E37E60">
        <w:trPr>
          <w:trHeight w:val="300"/>
          <w:jc w:val="center"/>
        </w:trPr>
        <w:tc>
          <w:tcPr>
            <w:tcW w:w="3402" w:type="dxa"/>
            <w:shd w:val="clear" w:color="auto" w:fill="auto"/>
            <w:noWrap/>
            <w:vAlign w:val="center"/>
            <w:hideMark/>
          </w:tcPr>
          <w:p w14:paraId="084CE189" w14:textId="77777777" w:rsidR="00AE265D" w:rsidRPr="001C70F5" w:rsidRDefault="00AE265D" w:rsidP="00E37E60">
            <w:pPr>
              <w:spacing w:after="0" w:line="240" w:lineRule="auto"/>
              <w:rPr>
                <w:rFonts w:eastAsia="Times New Roman" w:cs="Calibri"/>
                <w:b/>
                <w:color w:val="000000"/>
                <w:lang w:eastAsia="fr-FR"/>
              </w:rPr>
            </w:pPr>
            <w:r w:rsidRPr="001C70F5">
              <w:rPr>
                <w:rFonts w:eastAsia="Times New Roman" w:cs="Calibri"/>
                <w:b/>
                <w:color w:val="000000"/>
                <w:lang w:eastAsia="fr-FR"/>
              </w:rPr>
              <w:t>Cancer</w:t>
            </w:r>
            <w:r>
              <w:rPr>
                <w:rFonts w:eastAsia="Times New Roman" w:cs="Calibri"/>
                <w:b/>
                <w:color w:val="000000"/>
                <w:lang w:eastAsia="fr-FR"/>
              </w:rPr>
              <w:t>/</w:t>
            </w:r>
            <w:proofErr w:type="spellStart"/>
            <w:r>
              <w:rPr>
                <w:rFonts w:eastAsia="Times New Roman" w:cs="Calibri"/>
                <w:b/>
                <w:color w:val="000000"/>
                <w:lang w:eastAsia="fr-FR"/>
              </w:rPr>
              <w:t>malignant</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hemopathy</w:t>
            </w:r>
            <w:proofErr w:type="spellEnd"/>
            <w:r w:rsidRPr="001C70F5">
              <w:rPr>
                <w:rFonts w:eastAsia="Times New Roman" w:cs="Calibri"/>
                <w:b/>
                <w:color w:val="000000"/>
                <w:lang w:eastAsia="fr-FR"/>
              </w:rPr>
              <w:t xml:space="preserve"> (N=982)</w:t>
            </w:r>
            <w:r>
              <w:rPr>
                <w:rFonts w:eastAsia="Times New Roman" w:cs="Calibri"/>
                <w:b/>
                <w:color w:val="000000"/>
                <w:lang w:eastAsia="fr-FR"/>
              </w:rPr>
              <w:t xml:space="preserve"> </w:t>
            </w:r>
          </w:p>
        </w:tc>
        <w:tc>
          <w:tcPr>
            <w:tcW w:w="1701" w:type="dxa"/>
            <w:shd w:val="clear" w:color="auto" w:fill="auto"/>
            <w:noWrap/>
            <w:vAlign w:val="bottom"/>
            <w:hideMark/>
          </w:tcPr>
          <w:p w14:paraId="0874F33B"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9A3C33A"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A8542A9"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55B4F40"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6AFBF568"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7B1162FE" w14:textId="77777777" w:rsidTr="00E37E60">
        <w:trPr>
          <w:trHeight w:val="300"/>
          <w:jc w:val="center"/>
        </w:trPr>
        <w:tc>
          <w:tcPr>
            <w:tcW w:w="3402" w:type="dxa"/>
            <w:shd w:val="clear" w:color="auto" w:fill="auto"/>
            <w:noWrap/>
            <w:vAlign w:val="center"/>
            <w:hideMark/>
          </w:tcPr>
          <w:p w14:paraId="7F3F2C1F"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58C9999"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881 (89.71%)</w:t>
            </w:r>
          </w:p>
        </w:tc>
        <w:tc>
          <w:tcPr>
            <w:tcW w:w="1701" w:type="dxa"/>
            <w:shd w:val="clear" w:color="auto" w:fill="auto"/>
            <w:noWrap/>
            <w:vAlign w:val="bottom"/>
            <w:hideMark/>
          </w:tcPr>
          <w:p w14:paraId="6DED517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777 (89.21%)</w:t>
            </w:r>
          </w:p>
        </w:tc>
        <w:tc>
          <w:tcPr>
            <w:tcW w:w="1701" w:type="dxa"/>
            <w:shd w:val="clear" w:color="auto" w:fill="auto"/>
            <w:noWrap/>
            <w:vAlign w:val="bottom"/>
            <w:hideMark/>
          </w:tcPr>
          <w:p w14:paraId="445BBFC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104 (93.69%)</w:t>
            </w:r>
          </w:p>
        </w:tc>
        <w:tc>
          <w:tcPr>
            <w:tcW w:w="1701" w:type="dxa"/>
            <w:shd w:val="clear" w:color="auto" w:fill="auto"/>
            <w:noWrap/>
            <w:vAlign w:val="bottom"/>
            <w:hideMark/>
          </w:tcPr>
          <w:p w14:paraId="0ED975A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4782AC1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0.14</w:t>
            </w:r>
          </w:p>
        </w:tc>
      </w:tr>
      <w:tr w:rsidR="00AE265D" w:rsidRPr="001E5E77" w14:paraId="7F9992A3" w14:textId="77777777" w:rsidTr="00E37E60">
        <w:trPr>
          <w:trHeight w:val="300"/>
          <w:jc w:val="center"/>
        </w:trPr>
        <w:tc>
          <w:tcPr>
            <w:tcW w:w="3402" w:type="dxa"/>
            <w:shd w:val="clear" w:color="auto" w:fill="auto"/>
            <w:noWrap/>
            <w:vAlign w:val="center"/>
            <w:hideMark/>
          </w:tcPr>
          <w:p w14:paraId="650FACA6"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55F383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101 (10.29%)</w:t>
            </w:r>
          </w:p>
        </w:tc>
        <w:tc>
          <w:tcPr>
            <w:tcW w:w="1701" w:type="dxa"/>
            <w:shd w:val="clear" w:color="auto" w:fill="auto"/>
            <w:noWrap/>
            <w:vAlign w:val="bottom"/>
            <w:hideMark/>
          </w:tcPr>
          <w:p w14:paraId="50FD777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94 (10.79%)</w:t>
            </w:r>
          </w:p>
        </w:tc>
        <w:tc>
          <w:tcPr>
            <w:tcW w:w="1701" w:type="dxa"/>
            <w:shd w:val="clear" w:color="auto" w:fill="auto"/>
            <w:noWrap/>
            <w:vAlign w:val="bottom"/>
            <w:hideMark/>
          </w:tcPr>
          <w:p w14:paraId="26DDF5D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 (6.31%)</w:t>
            </w:r>
          </w:p>
        </w:tc>
        <w:tc>
          <w:tcPr>
            <w:tcW w:w="1701" w:type="dxa"/>
            <w:shd w:val="clear" w:color="auto" w:fill="auto"/>
            <w:noWrap/>
            <w:vAlign w:val="bottom"/>
            <w:hideMark/>
          </w:tcPr>
          <w:p w14:paraId="2C2DF80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0.56 [0.25;1.23]</w:t>
            </w:r>
          </w:p>
        </w:tc>
        <w:tc>
          <w:tcPr>
            <w:tcW w:w="863" w:type="dxa"/>
            <w:shd w:val="clear" w:color="auto" w:fill="auto"/>
            <w:noWrap/>
            <w:vAlign w:val="bottom"/>
            <w:hideMark/>
          </w:tcPr>
          <w:p w14:paraId="7A8FF43C"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25D51D75" w14:textId="77777777" w:rsidTr="00E37E60">
        <w:trPr>
          <w:trHeight w:val="300"/>
          <w:jc w:val="center"/>
        </w:trPr>
        <w:tc>
          <w:tcPr>
            <w:tcW w:w="3402" w:type="dxa"/>
            <w:shd w:val="clear" w:color="auto" w:fill="auto"/>
            <w:noWrap/>
            <w:vAlign w:val="center"/>
            <w:hideMark/>
          </w:tcPr>
          <w:p w14:paraId="419B662F"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Stroke</w:t>
            </w:r>
            <w:r w:rsidRPr="001C70F5">
              <w:rPr>
                <w:rFonts w:eastAsia="Times New Roman" w:cs="Calibri"/>
                <w:b/>
                <w:color w:val="000000"/>
                <w:lang w:eastAsia="fr-FR"/>
              </w:rPr>
              <w:t xml:space="preserve"> (N=983)</w:t>
            </w:r>
            <w:r>
              <w:rPr>
                <w:rFonts w:eastAsia="Times New Roman" w:cs="Calibri"/>
                <w:b/>
                <w:color w:val="000000"/>
                <w:lang w:eastAsia="fr-FR"/>
              </w:rPr>
              <w:t xml:space="preserve"> </w:t>
            </w:r>
          </w:p>
        </w:tc>
        <w:tc>
          <w:tcPr>
            <w:tcW w:w="1701" w:type="dxa"/>
            <w:shd w:val="clear" w:color="auto" w:fill="auto"/>
            <w:noWrap/>
            <w:vAlign w:val="bottom"/>
            <w:hideMark/>
          </w:tcPr>
          <w:p w14:paraId="01ABF35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CA40BE7"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C6983F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6F7C263"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19E94A53"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0EBFF788" w14:textId="77777777" w:rsidTr="00E37E60">
        <w:trPr>
          <w:trHeight w:val="300"/>
          <w:jc w:val="center"/>
        </w:trPr>
        <w:tc>
          <w:tcPr>
            <w:tcW w:w="3402" w:type="dxa"/>
            <w:shd w:val="clear" w:color="auto" w:fill="auto"/>
            <w:noWrap/>
            <w:vAlign w:val="center"/>
            <w:hideMark/>
          </w:tcPr>
          <w:p w14:paraId="7BD7DA08"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2D45E8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934 (95.02%)</w:t>
            </w:r>
          </w:p>
        </w:tc>
        <w:tc>
          <w:tcPr>
            <w:tcW w:w="1701" w:type="dxa"/>
            <w:shd w:val="clear" w:color="auto" w:fill="auto"/>
            <w:noWrap/>
            <w:vAlign w:val="bottom"/>
            <w:hideMark/>
          </w:tcPr>
          <w:p w14:paraId="483AC04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825 (94.72%)</w:t>
            </w:r>
          </w:p>
        </w:tc>
        <w:tc>
          <w:tcPr>
            <w:tcW w:w="1701" w:type="dxa"/>
            <w:shd w:val="clear" w:color="auto" w:fill="auto"/>
            <w:noWrap/>
            <w:vAlign w:val="bottom"/>
            <w:hideMark/>
          </w:tcPr>
          <w:p w14:paraId="10F0155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109 (97.32%)</w:t>
            </w:r>
          </w:p>
        </w:tc>
        <w:tc>
          <w:tcPr>
            <w:tcW w:w="1701" w:type="dxa"/>
            <w:shd w:val="clear" w:color="auto" w:fill="auto"/>
            <w:noWrap/>
            <w:vAlign w:val="bottom"/>
            <w:hideMark/>
          </w:tcPr>
          <w:p w14:paraId="656FED3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11EB664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0.23</w:t>
            </w:r>
          </w:p>
        </w:tc>
      </w:tr>
      <w:tr w:rsidR="00AE265D" w:rsidRPr="001E5E77" w14:paraId="3292249F" w14:textId="77777777" w:rsidTr="00E37E60">
        <w:trPr>
          <w:trHeight w:val="300"/>
          <w:jc w:val="center"/>
        </w:trPr>
        <w:tc>
          <w:tcPr>
            <w:tcW w:w="3402" w:type="dxa"/>
            <w:shd w:val="clear" w:color="auto" w:fill="auto"/>
            <w:noWrap/>
            <w:vAlign w:val="center"/>
            <w:hideMark/>
          </w:tcPr>
          <w:p w14:paraId="7587DD4B"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78416B9F"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49 (4.98%)</w:t>
            </w:r>
          </w:p>
        </w:tc>
        <w:tc>
          <w:tcPr>
            <w:tcW w:w="1701" w:type="dxa"/>
            <w:shd w:val="clear" w:color="auto" w:fill="auto"/>
            <w:noWrap/>
            <w:vAlign w:val="bottom"/>
            <w:hideMark/>
          </w:tcPr>
          <w:p w14:paraId="00CAA9D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46 (5.28%)</w:t>
            </w:r>
          </w:p>
        </w:tc>
        <w:tc>
          <w:tcPr>
            <w:tcW w:w="1701" w:type="dxa"/>
            <w:shd w:val="clear" w:color="auto" w:fill="auto"/>
            <w:noWrap/>
            <w:vAlign w:val="bottom"/>
            <w:hideMark/>
          </w:tcPr>
          <w:p w14:paraId="79E1CF4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3 (2.68%)</w:t>
            </w:r>
          </w:p>
        </w:tc>
        <w:tc>
          <w:tcPr>
            <w:tcW w:w="1701" w:type="dxa"/>
            <w:shd w:val="clear" w:color="auto" w:fill="auto"/>
            <w:noWrap/>
            <w:vAlign w:val="bottom"/>
            <w:hideMark/>
          </w:tcPr>
          <w:p w14:paraId="66D8D504"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0.49 [0.15;1.61]</w:t>
            </w:r>
          </w:p>
        </w:tc>
        <w:tc>
          <w:tcPr>
            <w:tcW w:w="863" w:type="dxa"/>
            <w:shd w:val="clear" w:color="auto" w:fill="auto"/>
            <w:noWrap/>
            <w:vAlign w:val="bottom"/>
            <w:hideMark/>
          </w:tcPr>
          <w:p w14:paraId="2770EF1E"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641BEB37" w14:textId="77777777" w:rsidTr="00E37E60">
        <w:trPr>
          <w:trHeight w:val="300"/>
          <w:jc w:val="center"/>
        </w:trPr>
        <w:tc>
          <w:tcPr>
            <w:tcW w:w="3402" w:type="dxa"/>
            <w:shd w:val="clear" w:color="auto" w:fill="auto"/>
            <w:noWrap/>
            <w:vAlign w:val="center"/>
            <w:hideMark/>
          </w:tcPr>
          <w:p w14:paraId="2B93AF9F"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 xml:space="preserve">Proton </w:t>
            </w:r>
            <w:proofErr w:type="spellStart"/>
            <w:r>
              <w:rPr>
                <w:rFonts w:eastAsia="Times New Roman" w:cs="Calibri"/>
                <w:b/>
                <w:color w:val="000000"/>
                <w:lang w:eastAsia="fr-FR"/>
              </w:rPr>
              <w:t>pump</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inhibitor</w:t>
            </w:r>
            <w:proofErr w:type="spellEnd"/>
            <w:r w:rsidRPr="001C70F5">
              <w:rPr>
                <w:rFonts w:eastAsia="Times New Roman" w:cs="Calibri"/>
                <w:b/>
                <w:color w:val="000000"/>
                <w:lang w:eastAsia="fr-FR"/>
              </w:rPr>
              <w:t xml:space="preserve"> (N=975) </w:t>
            </w:r>
          </w:p>
        </w:tc>
        <w:tc>
          <w:tcPr>
            <w:tcW w:w="1701" w:type="dxa"/>
            <w:shd w:val="clear" w:color="auto" w:fill="auto"/>
            <w:noWrap/>
            <w:vAlign w:val="bottom"/>
            <w:hideMark/>
          </w:tcPr>
          <w:p w14:paraId="5BC521A7"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4A8FB08"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1B322F1"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0506ADD"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08208F08"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53E10438" w14:textId="77777777" w:rsidTr="00E37E60">
        <w:trPr>
          <w:trHeight w:val="300"/>
          <w:jc w:val="center"/>
        </w:trPr>
        <w:tc>
          <w:tcPr>
            <w:tcW w:w="3402" w:type="dxa"/>
            <w:shd w:val="clear" w:color="auto" w:fill="auto"/>
            <w:noWrap/>
            <w:vAlign w:val="center"/>
            <w:hideMark/>
          </w:tcPr>
          <w:p w14:paraId="1E1B777F"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1EC406C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796 (81.64%)</w:t>
            </w:r>
          </w:p>
        </w:tc>
        <w:tc>
          <w:tcPr>
            <w:tcW w:w="1701" w:type="dxa"/>
            <w:shd w:val="clear" w:color="auto" w:fill="auto"/>
            <w:noWrap/>
            <w:vAlign w:val="bottom"/>
            <w:hideMark/>
          </w:tcPr>
          <w:p w14:paraId="61459AC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702 (81.34%)</w:t>
            </w:r>
          </w:p>
        </w:tc>
        <w:tc>
          <w:tcPr>
            <w:tcW w:w="1701" w:type="dxa"/>
            <w:shd w:val="clear" w:color="auto" w:fill="auto"/>
            <w:noWrap/>
            <w:vAlign w:val="bottom"/>
            <w:hideMark/>
          </w:tcPr>
          <w:p w14:paraId="464F6F8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94 (83.93%)</w:t>
            </w:r>
          </w:p>
        </w:tc>
        <w:tc>
          <w:tcPr>
            <w:tcW w:w="1701" w:type="dxa"/>
            <w:shd w:val="clear" w:color="auto" w:fill="auto"/>
            <w:noWrap/>
            <w:vAlign w:val="bottom"/>
            <w:hideMark/>
          </w:tcPr>
          <w:p w14:paraId="7076607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085F879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0.51</w:t>
            </w:r>
          </w:p>
        </w:tc>
      </w:tr>
      <w:tr w:rsidR="00AE265D" w:rsidRPr="001E5E77" w14:paraId="0B83AF42" w14:textId="77777777" w:rsidTr="00E37E60">
        <w:trPr>
          <w:trHeight w:val="300"/>
          <w:jc w:val="center"/>
        </w:trPr>
        <w:tc>
          <w:tcPr>
            <w:tcW w:w="3402" w:type="dxa"/>
            <w:shd w:val="clear" w:color="auto" w:fill="auto"/>
            <w:noWrap/>
            <w:vAlign w:val="center"/>
            <w:hideMark/>
          </w:tcPr>
          <w:p w14:paraId="7A6BAECF"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01E2C92"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179 (18.36%)</w:t>
            </w:r>
          </w:p>
        </w:tc>
        <w:tc>
          <w:tcPr>
            <w:tcW w:w="1701" w:type="dxa"/>
            <w:shd w:val="clear" w:color="auto" w:fill="auto"/>
            <w:noWrap/>
            <w:vAlign w:val="bottom"/>
            <w:hideMark/>
          </w:tcPr>
          <w:p w14:paraId="70A089C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161 (18.66%)</w:t>
            </w:r>
          </w:p>
        </w:tc>
        <w:tc>
          <w:tcPr>
            <w:tcW w:w="1701" w:type="dxa"/>
            <w:shd w:val="clear" w:color="auto" w:fill="auto"/>
            <w:noWrap/>
            <w:vAlign w:val="bottom"/>
            <w:hideMark/>
          </w:tcPr>
          <w:p w14:paraId="59D2354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18 (16.07%)</w:t>
            </w:r>
          </w:p>
        </w:tc>
        <w:tc>
          <w:tcPr>
            <w:tcW w:w="1701" w:type="dxa"/>
            <w:shd w:val="clear" w:color="auto" w:fill="auto"/>
            <w:noWrap/>
            <w:vAlign w:val="bottom"/>
            <w:hideMark/>
          </w:tcPr>
          <w:p w14:paraId="70523E5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0.83 [0.49;1.42]</w:t>
            </w:r>
          </w:p>
        </w:tc>
        <w:tc>
          <w:tcPr>
            <w:tcW w:w="863" w:type="dxa"/>
            <w:shd w:val="clear" w:color="auto" w:fill="auto"/>
            <w:noWrap/>
            <w:vAlign w:val="bottom"/>
            <w:hideMark/>
          </w:tcPr>
          <w:p w14:paraId="1E2EFBEF"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16442BE1" w14:textId="77777777" w:rsidTr="00E37E60">
        <w:trPr>
          <w:trHeight w:val="300"/>
          <w:jc w:val="center"/>
        </w:trPr>
        <w:tc>
          <w:tcPr>
            <w:tcW w:w="3402" w:type="dxa"/>
            <w:shd w:val="clear" w:color="auto" w:fill="auto"/>
            <w:noWrap/>
            <w:vAlign w:val="center"/>
            <w:hideMark/>
          </w:tcPr>
          <w:p w14:paraId="55E729A1" w14:textId="77777777" w:rsidR="00AE265D" w:rsidRPr="001C70F5" w:rsidRDefault="00AE265D" w:rsidP="00E37E60">
            <w:pPr>
              <w:spacing w:after="0" w:line="240" w:lineRule="auto"/>
              <w:rPr>
                <w:rFonts w:eastAsia="Times New Roman" w:cs="Calibri"/>
                <w:b/>
                <w:color w:val="000000"/>
                <w:lang w:eastAsia="fr-FR"/>
              </w:rPr>
            </w:pPr>
            <w:r>
              <w:rPr>
                <w:rFonts w:eastAsia="Times New Roman" w:cs="Calibri"/>
                <w:b/>
                <w:color w:val="000000"/>
                <w:lang w:eastAsia="fr-FR"/>
              </w:rPr>
              <w:t>A</w:t>
            </w:r>
            <w:r w:rsidRPr="001C70F5">
              <w:rPr>
                <w:rFonts w:eastAsia="Times New Roman" w:cs="Calibri"/>
                <w:b/>
                <w:color w:val="000000"/>
                <w:lang w:eastAsia="fr-FR"/>
              </w:rPr>
              <w:t>nticoagulat</w:t>
            </w:r>
            <w:r>
              <w:rPr>
                <w:rFonts w:eastAsia="Times New Roman" w:cs="Calibri"/>
                <w:b/>
                <w:color w:val="000000"/>
                <w:lang w:eastAsia="fr-FR"/>
              </w:rPr>
              <w:t>ion</w:t>
            </w:r>
            <w:r w:rsidRPr="001C70F5">
              <w:rPr>
                <w:rFonts w:eastAsia="Times New Roman" w:cs="Calibri"/>
                <w:b/>
                <w:color w:val="000000"/>
                <w:lang w:eastAsia="fr-FR"/>
              </w:rPr>
              <w:t xml:space="preserve"> (N=971)</w:t>
            </w:r>
            <w:r>
              <w:rPr>
                <w:rFonts w:eastAsia="Times New Roman" w:cs="Calibri"/>
                <w:b/>
                <w:color w:val="000000"/>
                <w:lang w:eastAsia="fr-FR"/>
              </w:rPr>
              <w:t xml:space="preserve"> </w:t>
            </w:r>
          </w:p>
        </w:tc>
        <w:tc>
          <w:tcPr>
            <w:tcW w:w="1701" w:type="dxa"/>
            <w:shd w:val="clear" w:color="auto" w:fill="auto"/>
            <w:noWrap/>
            <w:vAlign w:val="bottom"/>
            <w:hideMark/>
          </w:tcPr>
          <w:p w14:paraId="2034D73D"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631F928"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6303DA2"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3B96257"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59FE926C"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51301062" w14:textId="77777777" w:rsidTr="00E37E60">
        <w:trPr>
          <w:trHeight w:val="300"/>
          <w:jc w:val="center"/>
        </w:trPr>
        <w:tc>
          <w:tcPr>
            <w:tcW w:w="3402" w:type="dxa"/>
            <w:shd w:val="clear" w:color="auto" w:fill="auto"/>
            <w:noWrap/>
            <w:vAlign w:val="center"/>
            <w:hideMark/>
          </w:tcPr>
          <w:p w14:paraId="505406C4"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294779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885 (91.14%)</w:t>
            </w:r>
          </w:p>
        </w:tc>
        <w:tc>
          <w:tcPr>
            <w:tcW w:w="1701" w:type="dxa"/>
            <w:shd w:val="clear" w:color="auto" w:fill="auto"/>
            <w:noWrap/>
            <w:vAlign w:val="bottom"/>
            <w:hideMark/>
          </w:tcPr>
          <w:p w14:paraId="54BD2616"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779 (90.58%)</w:t>
            </w:r>
          </w:p>
        </w:tc>
        <w:tc>
          <w:tcPr>
            <w:tcW w:w="1701" w:type="dxa"/>
            <w:shd w:val="clear" w:color="auto" w:fill="auto"/>
            <w:noWrap/>
            <w:vAlign w:val="bottom"/>
            <w:hideMark/>
          </w:tcPr>
          <w:p w14:paraId="776AFD5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106 (95.50%)</w:t>
            </w:r>
          </w:p>
        </w:tc>
        <w:tc>
          <w:tcPr>
            <w:tcW w:w="1701" w:type="dxa"/>
            <w:shd w:val="clear" w:color="auto" w:fill="auto"/>
            <w:noWrap/>
            <w:vAlign w:val="bottom"/>
            <w:hideMark/>
          </w:tcPr>
          <w:p w14:paraId="5E8613A0"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58ABC84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0.09</w:t>
            </w:r>
          </w:p>
        </w:tc>
      </w:tr>
      <w:tr w:rsidR="00AE265D" w:rsidRPr="001E5E77" w14:paraId="714289C6" w14:textId="77777777" w:rsidTr="00E37E60">
        <w:trPr>
          <w:trHeight w:val="300"/>
          <w:jc w:val="center"/>
        </w:trPr>
        <w:tc>
          <w:tcPr>
            <w:tcW w:w="3402" w:type="dxa"/>
            <w:shd w:val="clear" w:color="auto" w:fill="auto"/>
            <w:noWrap/>
            <w:vAlign w:val="center"/>
            <w:hideMark/>
          </w:tcPr>
          <w:p w14:paraId="3BF15459"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43D9E8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86 (8.86%)</w:t>
            </w:r>
          </w:p>
        </w:tc>
        <w:tc>
          <w:tcPr>
            <w:tcW w:w="1701" w:type="dxa"/>
            <w:shd w:val="clear" w:color="auto" w:fill="auto"/>
            <w:noWrap/>
            <w:vAlign w:val="bottom"/>
            <w:hideMark/>
          </w:tcPr>
          <w:p w14:paraId="3AF71308"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81 (9.42%)</w:t>
            </w:r>
          </w:p>
        </w:tc>
        <w:tc>
          <w:tcPr>
            <w:tcW w:w="1701" w:type="dxa"/>
            <w:shd w:val="clear" w:color="auto" w:fill="auto"/>
            <w:noWrap/>
            <w:vAlign w:val="bottom"/>
            <w:hideMark/>
          </w:tcPr>
          <w:p w14:paraId="33A1F505"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5 (4.50%)</w:t>
            </w:r>
          </w:p>
        </w:tc>
        <w:tc>
          <w:tcPr>
            <w:tcW w:w="1701" w:type="dxa"/>
            <w:shd w:val="clear" w:color="auto" w:fill="auto"/>
            <w:noWrap/>
            <w:vAlign w:val="bottom"/>
            <w:hideMark/>
          </w:tcPr>
          <w:p w14:paraId="674195DC"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0.45 [0.18;1.14]</w:t>
            </w:r>
          </w:p>
        </w:tc>
        <w:tc>
          <w:tcPr>
            <w:tcW w:w="863" w:type="dxa"/>
            <w:shd w:val="clear" w:color="auto" w:fill="auto"/>
            <w:noWrap/>
            <w:vAlign w:val="bottom"/>
            <w:hideMark/>
          </w:tcPr>
          <w:p w14:paraId="5A1EF8FB" w14:textId="77777777" w:rsidR="00AE265D" w:rsidRPr="001E5E77" w:rsidRDefault="00AE265D" w:rsidP="00E37E60">
            <w:pPr>
              <w:spacing w:after="0" w:line="240" w:lineRule="auto"/>
              <w:jc w:val="center"/>
              <w:rPr>
                <w:rFonts w:eastAsia="Times New Roman" w:cs="Calibri"/>
                <w:color w:val="000000"/>
                <w:lang w:eastAsia="fr-FR"/>
              </w:rPr>
            </w:pPr>
          </w:p>
        </w:tc>
      </w:tr>
      <w:tr w:rsidR="00AE265D" w:rsidRPr="001C70F5" w14:paraId="213F9147" w14:textId="77777777" w:rsidTr="00E37E60">
        <w:trPr>
          <w:trHeight w:val="300"/>
          <w:jc w:val="center"/>
        </w:trPr>
        <w:tc>
          <w:tcPr>
            <w:tcW w:w="3402" w:type="dxa"/>
            <w:shd w:val="clear" w:color="auto" w:fill="auto"/>
            <w:noWrap/>
            <w:vAlign w:val="center"/>
            <w:hideMark/>
          </w:tcPr>
          <w:p w14:paraId="20AC73E8" w14:textId="77777777" w:rsidR="00AE265D" w:rsidRPr="001C70F5" w:rsidRDefault="00AE265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Antiaggregant</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therapy</w:t>
            </w:r>
            <w:proofErr w:type="spellEnd"/>
            <w:r w:rsidRPr="001C70F5">
              <w:rPr>
                <w:rFonts w:eastAsia="Times New Roman" w:cs="Calibri"/>
                <w:b/>
                <w:color w:val="000000"/>
                <w:lang w:eastAsia="fr-FR"/>
              </w:rPr>
              <w:t xml:space="preserve"> (N=972)</w:t>
            </w:r>
            <w:r>
              <w:rPr>
                <w:rFonts w:eastAsia="Times New Roman" w:cs="Calibri"/>
                <w:b/>
                <w:color w:val="000000"/>
                <w:lang w:eastAsia="fr-FR"/>
              </w:rPr>
              <w:t xml:space="preserve"> </w:t>
            </w:r>
          </w:p>
        </w:tc>
        <w:tc>
          <w:tcPr>
            <w:tcW w:w="1701" w:type="dxa"/>
            <w:shd w:val="clear" w:color="auto" w:fill="auto"/>
            <w:noWrap/>
            <w:vAlign w:val="bottom"/>
            <w:hideMark/>
          </w:tcPr>
          <w:p w14:paraId="12E7523E"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F4AC886"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2FB98C5" w14:textId="77777777" w:rsidR="00AE265D" w:rsidRPr="001C70F5" w:rsidRDefault="00AE265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9207A1D" w14:textId="77777777" w:rsidR="00AE265D" w:rsidRPr="001C70F5" w:rsidRDefault="00AE265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3DF95506" w14:textId="77777777" w:rsidR="00AE265D" w:rsidRPr="001C70F5" w:rsidRDefault="00AE265D" w:rsidP="00E37E60">
            <w:pPr>
              <w:spacing w:after="0" w:line="240" w:lineRule="auto"/>
              <w:rPr>
                <w:rFonts w:eastAsia="Times New Roman" w:cs="Calibri"/>
                <w:b/>
                <w:color w:val="000000"/>
                <w:lang w:eastAsia="fr-FR"/>
              </w:rPr>
            </w:pPr>
          </w:p>
        </w:tc>
      </w:tr>
      <w:tr w:rsidR="00AE265D" w:rsidRPr="001E5E77" w14:paraId="7A39C02E" w14:textId="77777777" w:rsidTr="00E37E60">
        <w:trPr>
          <w:trHeight w:val="300"/>
          <w:jc w:val="center"/>
        </w:trPr>
        <w:tc>
          <w:tcPr>
            <w:tcW w:w="3402" w:type="dxa"/>
            <w:shd w:val="clear" w:color="auto" w:fill="auto"/>
            <w:noWrap/>
            <w:vAlign w:val="center"/>
            <w:hideMark/>
          </w:tcPr>
          <w:p w14:paraId="1EB50DA3" w14:textId="77777777" w:rsidR="00AE265D" w:rsidRPr="001E5E77" w:rsidRDefault="00AE265D" w:rsidP="00E37E60">
            <w:pPr>
              <w:spacing w:after="0" w:line="240" w:lineRule="auto"/>
              <w:jc w:val="right"/>
              <w:rPr>
                <w:rFonts w:eastAsia="Times New Roman" w:cs="Calibri"/>
                <w:color w:val="000000"/>
                <w:lang w:eastAsia="fr-FR"/>
              </w:rPr>
            </w:pPr>
            <w:r w:rsidRPr="001E5E77">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2D8EC93"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793 (81.58%)</w:t>
            </w:r>
          </w:p>
        </w:tc>
        <w:tc>
          <w:tcPr>
            <w:tcW w:w="1701" w:type="dxa"/>
            <w:shd w:val="clear" w:color="auto" w:fill="auto"/>
            <w:noWrap/>
            <w:vAlign w:val="bottom"/>
            <w:hideMark/>
          </w:tcPr>
          <w:p w14:paraId="76F88C61"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701 (81.42%)</w:t>
            </w:r>
          </w:p>
        </w:tc>
        <w:tc>
          <w:tcPr>
            <w:tcW w:w="1701" w:type="dxa"/>
            <w:shd w:val="clear" w:color="auto" w:fill="auto"/>
            <w:noWrap/>
            <w:vAlign w:val="bottom"/>
            <w:hideMark/>
          </w:tcPr>
          <w:p w14:paraId="382E624B"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92 (82.88%)</w:t>
            </w:r>
          </w:p>
        </w:tc>
        <w:tc>
          <w:tcPr>
            <w:tcW w:w="1701" w:type="dxa"/>
            <w:shd w:val="clear" w:color="auto" w:fill="auto"/>
            <w:noWrap/>
            <w:vAlign w:val="bottom"/>
            <w:hideMark/>
          </w:tcPr>
          <w:p w14:paraId="667DB73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1.00</w:t>
            </w:r>
          </w:p>
        </w:tc>
        <w:tc>
          <w:tcPr>
            <w:tcW w:w="863" w:type="dxa"/>
            <w:shd w:val="clear" w:color="auto" w:fill="auto"/>
            <w:noWrap/>
            <w:vAlign w:val="bottom"/>
            <w:hideMark/>
          </w:tcPr>
          <w:p w14:paraId="7FEB200E"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0.71</w:t>
            </w:r>
          </w:p>
        </w:tc>
      </w:tr>
      <w:tr w:rsidR="00AE265D" w:rsidRPr="001E5E77" w14:paraId="6CF75E76" w14:textId="77777777" w:rsidTr="00E37E60">
        <w:trPr>
          <w:trHeight w:val="300"/>
          <w:jc w:val="center"/>
        </w:trPr>
        <w:tc>
          <w:tcPr>
            <w:tcW w:w="3402" w:type="dxa"/>
            <w:shd w:val="clear" w:color="auto" w:fill="auto"/>
            <w:noWrap/>
            <w:vAlign w:val="center"/>
            <w:hideMark/>
          </w:tcPr>
          <w:p w14:paraId="148E91BC" w14:textId="77777777" w:rsidR="00AE265D" w:rsidRPr="001E5E77" w:rsidRDefault="00AE265D"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C7997DD"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179 (18.42%)</w:t>
            </w:r>
          </w:p>
        </w:tc>
        <w:tc>
          <w:tcPr>
            <w:tcW w:w="1701" w:type="dxa"/>
            <w:shd w:val="clear" w:color="auto" w:fill="auto"/>
            <w:noWrap/>
            <w:vAlign w:val="bottom"/>
            <w:hideMark/>
          </w:tcPr>
          <w:p w14:paraId="1FC3C67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160 (18.58%)</w:t>
            </w:r>
          </w:p>
        </w:tc>
        <w:tc>
          <w:tcPr>
            <w:tcW w:w="1701" w:type="dxa"/>
            <w:shd w:val="clear" w:color="auto" w:fill="auto"/>
            <w:noWrap/>
            <w:vAlign w:val="bottom"/>
            <w:hideMark/>
          </w:tcPr>
          <w:p w14:paraId="34A17A27"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19 (17.12%)</w:t>
            </w:r>
          </w:p>
        </w:tc>
        <w:tc>
          <w:tcPr>
            <w:tcW w:w="1701" w:type="dxa"/>
            <w:shd w:val="clear" w:color="auto" w:fill="auto"/>
            <w:noWrap/>
            <w:vAlign w:val="bottom"/>
            <w:hideMark/>
          </w:tcPr>
          <w:p w14:paraId="31D8097A" w14:textId="77777777" w:rsidR="00AE265D" w:rsidRPr="001E5E77" w:rsidRDefault="00AE265D" w:rsidP="00E37E60">
            <w:pPr>
              <w:spacing w:after="0" w:line="240" w:lineRule="auto"/>
              <w:jc w:val="center"/>
              <w:rPr>
                <w:rFonts w:eastAsia="Times New Roman" w:cs="Calibri"/>
                <w:color w:val="000000"/>
                <w:lang w:eastAsia="fr-FR"/>
              </w:rPr>
            </w:pPr>
            <w:r w:rsidRPr="001E5E77">
              <w:rPr>
                <w:rFonts w:eastAsia="Times New Roman" w:cs="Calibri"/>
                <w:color w:val="000000"/>
                <w:lang w:eastAsia="fr-FR"/>
              </w:rPr>
              <w:t>0.90 [0.54;1.53]</w:t>
            </w:r>
          </w:p>
        </w:tc>
        <w:tc>
          <w:tcPr>
            <w:tcW w:w="863" w:type="dxa"/>
            <w:shd w:val="clear" w:color="auto" w:fill="auto"/>
            <w:noWrap/>
            <w:vAlign w:val="bottom"/>
            <w:hideMark/>
          </w:tcPr>
          <w:p w14:paraId="47F068F5" w14:textId="77777777" w:rsidR="00AE265D" w:rsidRPr="001E5E77" w:rsidRDefault="00AE265D" w:rsidP="00E37E60">
            <w:pPr>
              <w:spacing w:after="0" w:line="240" w:lineRule="auto"/>
              <w:jc w:val="center"/>
              <w:rPr>
                <w:rFonts w:eastAsia="Times New Roman" w:cs="Calibri"/>
                <w:color w:val="000000"/>
                <w:lang w:eastAsia="fr-FR"/>
              </w:rPr>
            </w:pPr>
          </w:p>
        </w:tc>
      </w:tr>
    </w:tbl>
    <w:p w14:paraId="68EFBE70" w14:textId="77777777" w:rsidR="00AE265D" w:rsidRDefault="00AE265D" w:rsidP="00AD17C6">
      <w:pPr>
        <w:rPr>
          <w:lang w:val="en-US"/>
        </w:rPr>
      </w:pPr>
    </w:p>
    <w:p w14:paraId="3BAC6F48" w14:textId="325E6DF4" w:rsidR="00297964" w:rsidRDefault="00297964" w:rsidP="00AD17C6">
      <w:pPr>
        <w:rPr>
          <w:lang w:val="en-US"/>
        </w:rPr>
      </w:pPr>
    </w:p>
    <w:p w14:paraId="6135F545" w14:textId="77777777" w:rsidR="00297964" w:rsidRDefault="00297964" w:rsidP="00AD17C6">
      <w:pPr>
        <w:rPr>
          <w:lang w:val="en-US"/>
        </w:rPr>
      </w:pPr>
    </w:p>
    <w:p w14:paraId="6E0F4948" w14:textId="77777777" w:rsidR="00A216B3" w:rsidRPr="00D21A04" w:rsidRDefault="00A216B3" w:rsidP="00AD17C6">
      <w:pPr>
        <w:rPr>
          <w:lang w:val="en-US"/>
        </w:rPr>
      </w:pPr>
    </w:p>
    <w:p w14:paraId="5B7B3A9A" w14:textId="77777777" w:rsidR="00A216B3" w:rsidRDefault="00A216B3" w:rsidP="00AD17C6">
      <w:pPr>
        <w:rPr>
          <w:lang w:val="en-US"/>
        </w:rPr>
      </w:pPr>
    </w:p>
    <w:p w14:paraId="218411EB" w14:textId="77777777" w:rsidR="00DE7A3A" w:rsidRDefault="00DE7A3A">
      <w:pPr>
        <w:rPr>
          <w:u w:val="single"/>
          <w:lang w:val="en-US"/>
        </w:rPr>
      </w:pPr>
      <w:r>
        <w:rPr>
          <w:u w:val="single"/>
          <w:lang w:val="en-US"/>
        </w:rPr>
        <w:br w:type="page"/>
      </w:r>
    </w:p>
    <w:p w14:paraId="62B03465" w14:textId="2B50F846" w:rsidR="00B843E1" w:rsidRDefault="00B843E1" w:rsidP="00AD17C6">
      <w:pPr>
        <w:rPr>
          <w:lang w:val="en-US"/>
        </w:rPr>
      </w:pPr>
      <w:r w:rsidRPr="00624973">
        <w:rPr>
          <w:u w:val="single"/>
          <w:lang w:val="en-US"/>
        </w:rPr>
        <w:lastRenderedPageBreak/>
        <w:t xml:space="preserve">Supplementary table </w:t>
      </w:r>
      <w:r w:rsidR="00FA11E0">
        <w:rPr>
          <w:u w:val="single"/>
          <w:lang w:val="en-US"/>
        </w:rPr>
        <w:t>3</w:t>
      </w:r>
      <w:r>
        <w:rPr>
          <w:lang w:val="en-US"/>
        </w:rPr>
        <w:t xml:space="preserve">: </w:t>
      </w:r>
      <w:r w:rsidR="00E03ED6">
        <w:rPr>
          <w:lang w:val="en-US"/>
        </w:rPr>
        <w:t xml:space="preserve">Evolution during hospital stay: </w:t>
      </w:r>
      <w:r w:rsidR="00DE7A3A">
        <w:rPr>
          <w:lang w:val="en-US"/>
        </w:rPr>
        <w:t xml:space="preserve">Total population </w:t>
      </w:r>
      <w:proofErr w:type="spellStart"/>
      <w:r w:rsidR="00E03ED6">
        <w:rPr>
          <w:lang w:val="en-US"/>
        </w:rPr>
        <w:t>Tocilizumab</w:t>
      </w:r>
      <w:proofErr w:type="spellEnd"/>
      <w:r w:rsidR="00E03ED6">
        <w:rPr>
          <w:lang w:val="en-US"/>
        </w:rPr>
        <w:t xml:space="preserve"> vs no </w:t>
      </w:r>
      <w:proofErr w:type="spellStart"/>
      <w:r w:rsidR="00E03ED6">
        <w:rPr>
          <w:lang w:val="en-US"/>
        </w:rPr>
        <w:t>Tocilizumab</w:t>
      </w:r>
      <w:proofErr w:type="spellEnd"/>
    </w:p>
    <w:tbl>
      <w:tblPr>
        <w:tblW w:w="1106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863"/>
      </w:tblGrid>
      <w:tr w:rsidR="00E03ED6" w:rsidRPr="0024326E" w14:paraId="30DEC51D" w14:textId="77777777" w:rsidTr="00E37E60">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1CD6E03C" w14:textId="77777777" w:rsidR="00E03ED6" w:rsidRPr="00E03ED6" w:rsidRDefault="00E03ED6" w:rsidP="00E37E60">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7A651398"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Total (N=2587)</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2AD9818" w14:textId="77777777" w:rsidR="00E03ED6" w:rsidRPr="0024326E" w:rsidRDefault="00E03ED6" w:rsidP="00E37E60">
            <w:pPr>
              <w:spacing w:after="0" w:line="240" w:lineRule="auto"/>
              <w:jc w:val="center"/>
              <w:rPr>
                <w:rFonts w:eastAsia="Times New Roman" w:cs="Calibri"/>
                <w:color w:val="000000"/>
                <w:lang w:eastAsia="fr-FR"/>
              </w:rPr>
            </w:pPr>
            <w:r>
              <w:rPr>
                <w:rFonts w:eastAsia="Times New Roman" w:cs="Calibri"/>
                <w:color w:val="000000"/>
                <w:lang w:eastAsia="fr-FR"/>
              </w:rPr>
              <w:t>No</w:t>
            </w:r>
            <w:r w:rsidRPr="0024326E">
              <w:rPr>
                <w:rFonts w:eastAsia="Times New Roman" w:cs="Calibri"/>
                <w:color w:val="000000"/>
                <w:lang w:eastAsia="fr-FR"/>
              </w:rPr>
              <w:t xml:space="preserve"> </w:t>
            </w:r>
            <w:proofErr w:type="spellStart"/>
            <w:r>
              <w:rPr>
                <w:rFonts w:eastAsia="Times New Roman" w:cs="Calibri"/>
                <w:color w:val="000000"/>
                <w:lang w:eastAsia="fr-FR"/>
              </w:rPr>
              <w:t>T</w:t>
            </w:r>
            <w:r w:rsidRPr="0024326E">
              <w:rPr>
                <w:rFonts w:eastAsia="Times New Roman" w:cs="Calibri"/>
                <w:color w:val="000000"/>
                <w:lang w:eastAsia="fr-FR"/>
              </w:rPr>
              <w:t>ocilizumab</w:t>
            </w:r>
            <w:proofErr w:type="spellEnd"/>
            <w:r w:rsidRPr="0024326E">
              <w:rPr>
                <w:rFonts w:eastAsia="Times New Roman" w:cs="Calibri"/>
                <w:color w:val="000000"/>
                <w:lang w:eastAsia="fr-FR"/>
              </w:rPr>
              <w:t xml:space="preserve"> (N=2395)</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28B09D86" w14:textId="77777777" w:rsidR="00E03ED6" w:rsidRPr="0024326E" w:rsidRDefault="00E03ED6" w:rsidP="00E37E60">
            <w:pPr>
              <w:spacing w:after="0" w:line="240" w:lineRule="auto"/>
              <w:jc w:val="center"/>
              <w:rPr>
                <w:rFonts w:eastAsia="Times New Roman" w:cs="Calibri"/>
                <w:color w:val="000000"/>
                <w:lang w:eastAsia="fr-FR"/>
              </w:rPr>
            </w:pPr>
            <w:proofErr w:type="spellStart"/>
            <w:r w:rsidRPr="0024326E">
              <w:rPr>
                <w:rFonts w:eastAsia="Times New Roman" w:cs="Calibri"/>
                <w:color w:val="000000"/>
                <w:lang w:eastAsia="fr-FR"/>
              </w:rPr>
              <w:t>Tocilizumab</w:t>
            </w:r>
            <w:proofErr w:type="spellEnd"/>
            <w:r w:rsidRPr="0024326E">
              <w:rPr>
                <w:rFonts w:eastAsia="Times New Roman" w:cs="Calibri"/>
                <w:color w:val="000000"/>
                <w:lang w:eastAsia="fr-FR"/>
              </w:rPr>
              <w:t xml:space="preserve"> (N=192)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A97D820"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OR [IC95%]</w:t>
            </w:r>
          </w:p>
        </w:tc>
        <w:tc>
          <w:tcPr>
            <w:tcW w:w="863" w:type="dxa"/>
            <w:tcBorders>
              <w:top w:val="single" w:sz="4" w:space="0" w:color="auto"/>
              <w:bottom w:val="single" w:sz="4" w:space="0" w:color="auto"/>
            </w:tcBorders>
            <w:shd w:val="clear" w:color="auto" w:fill="D9D9D9" w:themeFill="background1" w:themeFillShade="D9"/>
            <w:noWrap/>
            <w:vAlign w:val="bottom"/>
            <w:hideMark/>
          </w:tcPr>
          <w:p w14:paraId="4E4B112D"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p</w:t>
            </w:r>
          </w:p>
        </w:tc>
      </w:tr>
      <w:tr w:rsidR="00E03ED6" w:rsidRPr="0024326E" w14:paraId="18007D6C" w14:textId="77777777" w:rsidTr="00E37E60">
        <w:trPr>
          <w:trHeight w:val="300"/>
          <w:jc w:val="center"/>
        </w:trPr>
        <w:tc>
          <w:tcPr>
            <w:tcW w:w="3402" w:type="dxa"/>
            <w:tcBorders>
              <w:top w:val="single" w:sz="4" w:space="0" w:color="auto"/>
            </w:tcBorders>
            <w:shd w:val="clear" w:color="auto" w:fill="auto"/>
            <w:noWrap/>
            <w:vAlign w:val="center"/>
            <w:hideMark/>
          </w:tcPr>
          <w:p w14:paraId="6D3CB43C" w14:textId="77777777" w:rsidR="00E03ED6" w:rsidRPr="0024326E" w:rsidRDefault="00E03ED6" w:rsidP="00E37E60">
            <w:pPr>
              <w:spacing w:after="0" w:line="240" w:lineRule="auto"/>
              <w:rPr>
                <w:rFonts w:eastAsia="Times New Roman" w:cs="Calibri"/>
                <w:b/>
                <w:color w:val="000000"/>
                <w:lang w:eastAsia="fr-FR"/>
              </w:rPr>
            </w:pPr>
            <w:r>
              <w:rPr>
                <w:rFonts w:eastAsia="Times New Roman" w:cs="Calibri"/>
                <w:b/>
                <w:color w:val="000000"/>
                <w:lang w:eastAsia="fr-FR"/>
              </w:rPr>
              <w:t>New anticoagulation</w:t>
            </w:r>
            <w:r w:rsidRPr="0024326E">
              <w:rPr>
                <w:rFonts w:eastAsia="Times New Roman" w:cs="Calibri"/>
                <w:b/>
                <w:color w:val="000000"/>
                <w:lang w:eastAsia="fr-FR"/>
              </w:rPr>
              <w:t xml:space="preserve"> (N=2572)</w:t>
            </w:r>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4CDB65AC" w14:textId="77777777" w:rsidR="00E03ED6" w:rsidRPr="0024326E" w:rsidRDefault="00E03ED6"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17D84556" w14:textId="77777777" w:rsidR="00E03ED6" w:rsidRPr="0024326E" w:rsidRDefault="00E03ED6"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5EE8C384" w14:textId="77777777" w:rsidR="00E03ED6" w:rsidRPr="0024326E" w:rsidRDefault="00E03ED6"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22A17F8A" w14:textId="77777777" w:rsidR="00E03ED6" w:rsidRPr="0024326E" w:rsidRDefault="00E03ED6" w:rsidP="00E37E60">
            <w:pPr>
              <w:spacing w:after="0" w:line="240" w:lineRule="auto"/>
              <w:rPr>
                <w:rFonts w:eastAsia="Times New Roman" w:cs="Calibri"/>
                <w:b/>
                <w:color w:val="000000"/>
                <w:lang w:eastAsia="fr-FR"/>
              </w:rPr>
            </w:pPr>
          </w:p>
        </w:tc>
        <w:tc>
          <w:tcPr>
            <w:tcW w:w="863" w:type="dxa"/>
            <w:tcBorders>
              <w:top w:val="single" w:sz="4" w:space="0" w:color="auto"/>
            </w:tcBorders>
            <w:shd w:val="clear" w:color="auto" w:fill="auto"/>
            <w:noWrap/>
            <w:vAlign w:val="bottom"/>
            <w:hideMark/>
          </w:tcPr>
          <w:p w14:paraId="28A689C8"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0DEDBA96" w14:textId="77777777" w:rsidTr="00E37E60">
        <w:trPr>
          <w:trHeight w:val="300"/>
          <w:jc w:val="center"/>
        </w:trPr>
        <w:tc>
          <w:tcPr>
            <w:tcW w:w="3402" w:type="dxa"/>
            <w:shd w:val="clear" w:color="auto" w:fill="auto"/>
            <w:noWrap/>
            <w:vAlign w:val="center"/>
            <w:hideMark/>
          </w:tcPr>
          <w:p w14:paraId="65D861D0" w14:textId="77777777" w:rsidR="00E03ED6" w:rsidRPr="0024326E" w:rsidRDefault="00E03ED6" w:rsidP="00E37E60">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92D50A3"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305 (11.86%)</w:t>
            </w:r>
          </w:p>
        </w:tc>
        <w:tc>
          <w:tcPr>
            <w:tcW w:w="1701" w:type="dxa"/>
            <w:shd w:val="clear" w:color="auto" w:fill="auto"/>
            <w:noWrap/>
            <w:vAlign w:val="bottom"/>
            <w:hideMark/>
          </w:tcPr>
          <w:p w14:paraId="1A7B628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304 (12.77%)</w:t>
            </w:r>
          </w:p>
        </w:tc>
        <w:tc>
          <w:tcPr>
            <w:tcW w:w="1701" w:type="dxa"/>
            <w:shd w:val="clear" w:color="auto" w:fill="auto"/>
            <w:noWrap/>
            <w:vAlign w:val="bottom"/>
            <w:hideMark/>
          </w:tcPr>
          <w:p w14:paraId="0A7F51F9"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 (0.52%)</w:t>
            </w:r>
          </w:p>
        </w:tc>
        <w:tc>
          <w:tcPr>
            <w:tcW w:w="1701" w:type="dxa"/>
            <w:shd w:val="clear" w:color="auto" w:fill="auto"/>
            <w:noWrap/>
            <w:vAlign w:val="bottom"/>
            <w:hideMark/>
          </w:tcPr>
          <w:p w14:paraId="51788623"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17BECDE6"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24326E" w14:paraId="617B6BEA" w14:textId="77777777" w:rsidTr="00E37E60">
        <w:trPr>
          <w:trHeight w:val="300"/>
          <w:jc w:val="center"/>
        </w:trPr>
        <w:tc>
          <w:tcPr>
            <w:tcW w:w="3402" w:type="dxa"/>
            <w:shd w:val="clear" w:color="auto" w:fill="auto"/>
            <w:noWrap/>
            <w:vAlign w:val="center"/>
            <w:hideMark/>
          </w:tcPr>
          <w:p w14:paraId="741BD1A6" w14:textId="77777777" w:rsidR="00E03ED6" w:rsidRPr="0024326E" w:rsidRDefault="00E03ED6"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6A46C03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2267 (88.14%)</w:t>
            </w:r>
          </w:p>
        </w:tc>
        <w:tc>
          <w:tcPr>
            <w:tcW w:w="1701" w:type="dxa"/>
            <w:shd w:val="clear" w:color="auto" w:fill="auto"/>
            <w:noWrap/>
            <w:vAlign w:val="bottom"/>
            <w:hideMark/>
          </w:tcPr>
          <w:p w14:paraId="3749FCCA"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2076 (87.23%)</w:t>
            </w:r>
          </w:p>
        </w:tc>
        <w:tc>
          <w:tcPr>
            <w:tcW w:w="1701" w:type="dxa"/>
            <w:shd w:val="clear" w:color="auto" w:fill="auto"/>
            <w:noWrap/>
            <w:vAlign w:val="bottom"/>
            <w:hideMark/>
          </w:tcPr>
          <w:p w14:paraId="2C73AB4C"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191 (99.48%)</w:t>
            </w:r>
          </w:p>
        </w:tc>
        <w:tc>
          <w:tcPr>
            <w:tcW w:w="1701" w:type="dxa"/>
            <w:shd w:val="clear" w:color="auto" w:fill="auto"/>
            <w:noWrap/>
            <w:vAlign w:val="bottom"/>
            <w:hideMark/>
          </w:tcPr>
          <w:p w14:paraId="6C7F5B3F"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27.97 [3.91;200.31]</w:t>
            </w:r>
          </w:p>
        </w:tc>
        <w:tc>
          <w:tcPr>
            <w:tcW w:w="863" w:type="dxa"/>
            <w:shd w:val="clear" w:color="auto" w:fill="auto"/>
            <w:noWrap/>
            <w:vAlign w:val="bottom"/>
            <w:hideMark/>
          </w:tcPr>
          <w:p w14:paraId="6CDC7B84" w14:textId="77777777" w:rsidR="00E03ED6" w:rsidRPr="0024326E" w:rsidRDefault="00E03ED6" w:rsidP="00E37E60">
            <w:pPr>
              <w:spacing w:after="0" w:line="240" w:lineRule="auto"/>
              <w:jc w:val="center"/>
              <w:rPr>
                <w:rFonts w:eastAsia="Times New Roman" w:cs="Calibri"/>
                <w:color w:val="000000"/>
                <w:lang w:eastAsia="fr-FR"/>
              </w:rPr>
            </w:pPr>
          </w:p>
        </w:tc>
      </w:tr>
      <w:tr w:rsidR="00E03ED6" w:rsidRPr="0024326E" w14:paraId="6EBBB960" w14:textId="77777777" w:rsidTr="00E37E60">
        <w:trPr>
          <w:trHeight w:val="300"/>
          <w:jc w:val="center"/>
        </w:trPr>
        <w:tc>
          <w:tcPr>
            <w:tcW w:w="3402" w:type="dxa"/>
            <w:shd w:val="clear" w:color="auto" w:fill="auto"/>
            <w:noWrap/>
            <w:vAlign w:val="center"/>
            <w:hideMark/>
          </w:tcPr>
          <w:p w14:paraId="56E7DEAD" w14:textId="77777777" w:rsidR="00E03ED6" w:rsidRPr="0024326E" w:rsidRDefault="00E03ED6" w:rsidP="00E37E60">
            <w:pPr>
              <w:spacing w:after="0" w:line="240" w:lineRule="auto"/>
              <w:rPr>
                <w:rFonts w:eastAsia="Times New Roman" w:cs="Calibri"/>
                <w:b/>
                <w:color w:val="000000"/>
                <w:lang w:eastAsia="fr-FR"/>
              </w:rPr>
            </w:pPr>
            <w:r w:rsidRPr="0024326E">
              <w:rPr>
                <w:rFonts w:eastAsia="Times New Roman" w:cs="Calibri"/>
                <w:b/>
                <w:color w:val="000000"/>
                <w:lang w:eastAsia="fr-FR"/>
              </w:rPr>
              <w:t>Anticoagulation, type (N=2267)</w:t>
            </w:r>
            <w:r>
              <w:rPr>
                <w:rFonts w:eastAsia="Times New Roman" w:cs="Calibri"/>
                <w:b/>
                <w:color w:val="000000"/>
                <w:lang w:eastAsia="fr-FR"/>
              </w:rPr>
              <w:t xml:space="preserve"> </w:t>
            </w:r>
          </w:p>
        </w:tc>
        <w:tc>
          <w:tcPr>
            <w:tcW w:w="1701" w:type="dxa"/>
            <w:shd w:val="clear" w:color="auto" w:fill="auto"/>
            <w:noWrap/>
            <w:vAlign w:val="bottom"/>
            <w:hideMark/>
          </w:tcPr>
          <w:p w14:paraId="1856778E"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8353ADB"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D1FCD35"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8104871"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73B7D6E3"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6F13A075" w14:textId="77777777" w:rsidTr="00E37E60">
        <w:trPr>
          <w:trHeight w:val="300"/>
          <w:jc w:val="center"/>
        </w:trPr>
        <w:tc>
          <w:tcPr>
            <w:tcW w:w="3402" w:type="dxa"/>
            <w:shd w:val="clear" w:color="auto" w:fill="auto"/>
            <w:noWrap/>
            <w:vAlign w:val="center"/>
            <w:hideMark/>
          </w:tcPr>
          <w:p w14:paraId="32C37BE8" w14:textId="77777777" w:rsidR="00E03ED6" w:rsidRPr="0024326E" w:rsidRDefault="00E03ED6" w:rsidP="00E37E60">
            <w:pPr>
              <w:spacing w:after="0" w:line="240" w:lineRule="auto"/>
              <w:jc w:val="right"/>
              <w:rPr>
                <w:rFonts w:eastAsia="Times New Roman" w:cs="Calibri"/>
                <w:color w:val="000000"/>
                <w:lang w:eastAsia="fr-FR"/>
              </w:rPr>
            </w:pPr>
            <w:r w:rsidRPr="0024326E">
              <w:rPr>
                <w:rFonts w:eastAsia="Times New Roman" w:cs="Calibri"/>
                <w:color w:val="000000"/>
                <w:lang w:eastAsia="fr-FR"/>
              </w:rPr>
              <w:t>Curative</w:t>
            </w:r>
            <w:r>
              <w:rPr>
                <w:rFonts w:eastAsia="Times New Roman" w:cs="Calibri"/>
                <w:color w:val="000000"/>
                <w:lang w:eastAsia="fr-FR"/>
              </w:rPr>
              <w:t xml:space="preserve"> </w:t>
            </w:r>
          </w:p>
        </w:tc>
        <w:tc>
          <w:tcPr>
            <w:tcW w:w="1701" w:type="dxa"/>
            <w:shd w:val="clear" w:color="auto" w:fill="auto"/>
            <w:noWrap/>
            <w:vAlign w:val="bottom"/>
            <w:hideMark/>
          </w:tcPr>
          <w:p w14:paraId="107539A4"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629 (27.75%)</w:t>
            </w:r>
          </w:p>
        </w:tc>
        <w:tc>
          <w:tcPr>
            <w:tcW w:w="1701" w:type="dxa"/>
            <w:shd w:val="clear" w:color="auto" w:fill="auto"/>
            <w:noWrap/>
            <w:vAlign w:val="bottom"/>
            <w:hideMark/>
          </w:tcPr>
          <w:p w14:paraId="7C31118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580 (27.94%)</w:t>
            </w:r>
          </w:p>
        </w:tc>
        <w:tc>
          <w:tcPr>
            <w:tcW w:w="1701" w:type="dxa"/>
            <w:shd w:val="clear" w:color="auto" w:fill="auto"/>
            <w:noWrap/>
            <w:vAlign w:val="bottom"/>
            <w:hideMark/>
          </w:tcPr>
          <w:p w14:paraId="017B71A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49 (25.65%)</w:t>
            </w:r>
          </w:p>
        </w:tc>
        <w:tc>
          <w:tcPr>
            <w:tcW w:w="1701" w:type="dxa"/>
            <w:shd w:val="clear" w:color="auto" w:fill="auto"/>
            <w:noWrap/>
            <w:vAlign w:val="bottom"/>
            <w:hideMark/>
          </w:tcPr>
          <w:p w14:paraId="77C3808F"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2227E1F1"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24326E" w14:paraId="42EF2823" w14:textId="77777777" w:rsidTr="00E37E60">
        <w:trPr>
          <w:trHeight w:val="300"/>
          <w:jc w:val="center"/>
        </w:trPr>
        <w:tc>
          <w:tcPr>
            <w:tcW w:w="3402" w:type="dxa"/>
            <w:shd w:val="clear" w:color="auto" w:fill="auto"/>
            <w:noWrap/>
            <w:vAlign w:val="center"/>
            <w:hideMark/>
          </w:tcPr>
          <w:p w14:paraId="5EFF9466"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Pr</w:t>
            </w:r>
            <w:r>
              <w:rPr>
                <w:rFonts w:eastAsia="Times New Roman" w:cs="Calibri"/>
                <w:color w:val="000000"/>
                <w:lang w:eastAsia="fr-FR"/>
              </w:rPr>
              <w:t>e</w:t>
            </w:r>
            <w:r w:rsidRPr="0024326E">
              <w:rPr>
                <w:rFonts w:eastAsia="Times New Roman" w:cs="Calibri"/>
                <w:color w:val="000000"/>
                <w:lang w:eastAsia="fr-FR"/>
              </w:rPr>
              <w:t>ventive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DECFC7A"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774 (34.14%)</w:t>
            </w:r>
          </w:p>
        </w:tc>
        <w:tc>
          <w:tcPr>
            <w:tcW w:w="1701" w:type="dxa"/>
            <w:shd w:val="clear" w:color="auto" w:fill="auto"/>
            <w:noWrap/>
            <w:vAlign w:val="bottom"/>
            <w:hideMark/>
          </w:tcPr>
          <w:p w14:paraId="579E8B9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756 (36.42%)</w:t>
            </w:r>
          </w:p>
        </w:tc>
        <w:tc>
          <w:tcPr>
            <w:tcW w:w="1701" w:type="dxa"/>
            <w:shd w:val="clear" w:color="auto" w:fill="auto"/>
            <w:noWrap/>
            <w:vAlign w:val="bottom"/>
            <w:hideMark/>
          </w:tcPr>
          <w:p w14:paraId="785F082F"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18 (9.42%)</w:t>
            </w:r>
          </w:p>
        </w:tc>
        <w:tc>
          <w:tcPr>
            <w:tcW w:w="1701" w:type="dxa"/>
            <w:shd w:val="clear" w:color="auto" w:fill="auto"/>
            <w:noWrap/>
            <w:vAlign w:val="bottom"/>
            <w:hideMark/>
          </w:tcPr>
          <w:p w14:paraId="70C9E078"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0.28 [0.16;0.49]</w:t>
            </w:r>
          </w:p>
        </w:tc>
        <w:tc>
          <w:tcPr>
            <w:tcW w:w="863" w:type="dxa"/>
            <w:shd w:val="clear" w:color="auto" w:fill="auto"/>
            <w:noWrap/>
            <w:vAlign w:val="bottom"/>
            <w:hideMark/>
          </w:tcPr>
          <w:p w14:paraId="0BB53CEE" w14:textId="77777777" w:rsidR="00E03ED6" w:rsidRPr="0024326E" w:rsidRDefault="00E03ED6" w:rsidP="00E37E60">
            <w:pPr>
              <w:spacing w:after="0" w:line="240" w:lineRule="auto"/>
              <w:jc w:val="center"/>
              <w:rPr>
                <w:rFonts w:eastAsia="Times New Roman" w:cs="Calibri"/>
                <w:color w:val="000000"/>
                <w:lang w:eastAsia="fr-FR"/>
              </w:rPr>
            </w:pPr>
          </w:p>
        </w:tc>
      </w:tr>
      <w:tr w:rsidR="00E03ED6" w:rsidRPr="0024326E" w14:paraId="0AA84F50" w14:textId="77777777" w:rsidTr="00E37E60">
        <w:trPr>
          <w:trHeight w:val="300"/>
          <w:jc w:val="center"/>
        </w:trPr>
        <w:tc>
          <w:tcPr>
            <w:tcW w:w="3402" w:type="dxa"/>
            <w:shd w:val="clear" w:color="auto" w:fill="auto"/>
            <w:noWrap/>
            <w:vAlign w:val="center"/>
            <w:hideMark/>
          </w:tcPr>
          <w:p w14:paraId="6BE3B0F6" w14:textId="77777777" w:rsidR="00E03ED6" w:rsidRPr="0024326E" w:rsidRDefault="00E03ED6"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Intermediate</w:t>
            </w:r>
            <w:proofErr w:type="spellEnd"/>
            <w:r>
              <w:rPr>
                <w:rFonts w:eastAsia="Times New Roman" w:cs="Calibri"/>
                <w:color w:val="000000"/>
                <w:lang w:eastAsia="fr-FR"/>
              </w:rPr>
              <w:t xml:space="preserve"> dose </w:t>
            </w:r>
            <w:proofErr w:type="spellStart"/>
            <w:r>
              <w:rPr>
                <w:rFonts w:eastAsia="Times New Roman" w:cs="Calibri"/>
                <w:color w:val="000000"/>
                <w:lang w:eastAsia="fr-FR"/>
              </w:rPr>
              <w:t>preventive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908BCF0"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864 (38.11%)</w:t>
            </w:r>
          </w:p>
        </w:tc>
        <w:tc>
          <w:tcPr>
            <w:tcW w:w="1701" w:type="dxa"/>
            <w:shd w:val="clear" w:color="auto" w:fill="auto"/>
            <w:noWrap/>
            <w:vAlign w:val="bottom"/>
            <w:hideMark/>
          </w:tcPr>
          <w:p w14:paraId="7F45087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740 (35.65%)</w:t>
            </w:r>
          </w:p>
        </w:tc>
        <w:tc>
          <w:tcPr>
            <w:tcW w:w="1701" w:type="dxa"/>
            <w:shd w:val="clear" w:color="auto" w:fill="auto"/>
            <w:noWrap/>
            <w:vAlign w:val="bottom"/>
            <w:hideMark/>
          </w:tcPr>
          <w:p w14:paraId="1663CAA7"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124 (64.92%)</w:t>
            </w:r>
          </w:p>
        </w:tc>
        <w:tc>
          <w:tcPr>
            <w:tcW w:w="1701" w:type="dxa"/>
            <w:shd w:val="clear" w:color="auto" w:fill="auto"/>
            <w:noWrap/>
            <w:vAlign w:val="bottom"/>
            <w:hideMark/>
          </w:tcPr>
          <w:p w14:paraId="0D622C5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1.98 [1.40;2.81]</w:t>
            </w:r>
          </w:p>
        </w:tc>
        <w:tc>
          <w:tcPr>
            <w:tcW w:w="863" w:type="dxa"/>
            <w:shd w:val="clear" w:color="auto" w:fill="auto"/>
            <w:noWrap/>
            <w:vAlign w:val="bottom"/>
            <w:hideMark/>
          </w:tcPr>
          <w:p w14:paraId="0A4B6D2F" w14:textId="77777777" w:rsidR="00E03ED6" w:rsidRPr="0024326E" w:rsidRDefault="00E03ED6" w:rsidP="00E37E60">
            <w:pPr>
              <w:spacing w:after="0" w:line="240" w:lineRule="auto"/>
              <w:jc w:val="center"/>
              <w:rPr>
                <w:rFonts w:eastAsia="Times New Roman" w:cs="Calibri"/>
                <w:color w:val="000000"/>
                <w:lang w:eastAsia="fr-FR"/>
              </w:rPr>
            </w:pPr>
          </w:p>
        </w:tc>
      </w:tr>
      <w:tr w:rsidR="00E03ED6" w:rsidRPr="0024326E" w14:paraId="4E2868CD" w14:textId="77777777" w:rsidTr="00E37E60">
        <w:trPr>
          <w:trHeight w:val="300"/>
          <w:jc w:val="center"/>
        </w:trPr>
        <w:tc>
          <w:tcPr>
            <w:tcW w:w="3402" w:type="dxa"/>
            <w:shd w:val="clear" w:color="auto" w:fill="auto"/>
            <w:noWrap/>
            <w:vAlign w:val="center"/>
            <w:hideMark/>
          </w:tcPr>
          <w:p w14:paraId="75F75C1E" w14:textId="77777777" w:rsidR="00E03ED6" w:rsidRPr="0024326E" w:rsidRDefault="00E03ED6"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Cortico</w:t>
            </w:r>
            <w:r>
              <w:rPr>
                <w:rFonts w:eastAsia="Times New Roman" w:cs="Calibri"/>
                <w:b/>
                <w:color w:val="000000"/>
                <w:lang w:eastAsia="fr-FR"/>
              </w:rPr>
              <w:t>steroids</w:t>
            </w:r>
            <w:proofErr w:type="spellEnd"/>
          </w:p>
        </w:tc>
        <w:tc>
          <w:tcPr>
            <w:tcW w:w="1701" w:type="dxa"/>
            <w:shd w:val="clear" w:color="auto" w:fill="auto"/>
            <w:noWrap/>
            <w:vAlign w:val="bottom"/>
            <w:hideMark/>
          </w:tcPr>
          <w:p w14:paraId="2D95E39C"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A49A31F"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603D918"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CAC38B8"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7608E439"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2D33C786" w14:textId="77777777" w:rsidTr="00E37E60">
        <w:trPr>
          <w:trHeight w:val="300"/>
          <w:jc w:val="center"/>
        </w:trPr>
        <w:tc>
          <w:tcPr>
            <w:tcW w:w="3402" w:type="dxa"/>
            <w:shd w:val="clear" w:color="auto" w:fill="auto"/>
            <w:noWrap/>
            <w:vAlign w:val="center"/>
            <w:hideMark/>
          </w:tcPr>
          <w:p w14:paraId="7F495151" w14:textId="77777777" w:rsidR="00E03ED6" w:rsidRPr="0024326E" w:rsidRDefault="00E03ED6" w:rsidP="00E37E60">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AC19041"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1110 (42.91%)</w:t>
            </w:r>
          </w:p>
        </w:tc>
        <w:tc>
          <w:tcPr>
            <w:tcW w:w="1701" w:type="dxa"/>
            <w:shd w:val="clear" w:color="auto" w:fill="auto"/>
            <w:noWrap/>
            <w:vAlign w:val="bottom"/>
            <w:hideMark/>
          </w:tcPr>
          <w:p w14:paraId="2EC7E2CF"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1105 (46.14%)</w:t>
            </w:r>
          </w:p>
        </w:tc>
        <w:tc>
          <w:tcPr>
            <w:tcW w:w="1701" w:type="dxa"/>
            <w:shd w:val="clear" w:color="auto" w:fill="auto"/>
            <w:noWrap/>
            <w:vAlign w:val="bottom"/>
            <w:hideMark/>
          </w:tcPr>
          <w:p w14:paraId="4554E6D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5 (2.60%)</w:t>
            </w:r>
          </w:p>
        </w:tc>
        <w:tc>
          <w:tcPr>
            <w:tcW w:w="1701" w:type="dxa"/>
            <w:shd w:val="clear" w:color="auto" w:fill="auto"/>
            <w:noWrap/>
            <w:vAlign w:val="bottom"/>
            <w:hideMark/>
          </w:tcPr>
          <w:p w14:paraId="652845BB"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5507F44B"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24326E" w14:paraId="44CDADA2" w14:textId="77777777" w:rsidTr="00E37E60">
        <w:trPr>
          <w:trHeight w:val="300"/>
          <w:jc w:val="center"/>
        </w:trPr>
        <w:tc>
          <w:tcPr>
            <w:tcW w:w="3402" w:type="dxa"/>
            <w:shd w:val="clear" w:color="auto" w:fill="auto"/>
            <w:noWrap/>
            <w:vAlign w:val="center"/>
            <w:hideMark/>
          </w:tcPr>
          <w:p w14:paraId="367A3732" w14:textId="77777777" w:rsidR="00E03ED6" w:rsidRPr="0024326E" w:rsidRDefault="00E03ED6"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9A45900"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1477 (57.09%)</w:t>
            </w:r>
          </w:p>
        </w:tc>
        <w:tc>
          <w:tcPr>
            <w:tcW w:w="1701" w:type="dxa"/>
            <w:shd w:val="clear" w:color="auto" w:fill="auto"/>
            <w:noWrap/>
            <w:vAlign w:val="bottom"/>
            <w:hideMark/>
          </w:tcPr>
          <w:p w14:paraId="00F714B1"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1290 (53.86%)</w:t>
            </w:r>
          </w:p>
        </w:tc>
        <w:tc>
          <w:tcPr>
            <w:tcW w:w="1701" w:type="dxa"/>
            <w:shd w:val="clear" w:color="auto" w:fill="auto"/>
            <w:noWrap/>
            <w:vAlign w:val="bottom"/>
            <w:hideMark/>
          </w:tcPr>
          <w:p w14:paraId="21E18CEA"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187 (97.40%)</w:t>
            </w:r>
          </w:p>
        </w:tc>
        <w:tc>
          <w:tcPr>
            <w:tcW w:w="1701" w:type="dxa"/>
            <w:shd w:val="clear" w:color="auto" w:fill="auto"/>
            <w:noWrap/>
            <w:vAlign w:val="bottom"/>
            <w:hideMark/>
          </w:tcPr>
          <w:p w14:paraId="64E7B2D7"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32.04 [13.13;78.15]</w:t>
            </w:r>
          </w:p>
        </w:tc>
        <w:tc>
          <w:tcPr>
            <w:tcW w:w="863" w:type="dxa"/>
            <w:shd w:val="clear" w:color="auto" w:fill="auto"/>
            <w:noWrap/>
            <w:vAlign w:val="bottom"/>
            <w:hideMark/>
          </w:tcPr>
          <w:p w14:paraId="27C4D28A" w14:textId="77777777" w:rsidR="00E03ED6" w:rsidRPr="0024326E" w:rsidRDefault="00E03ED6" w:rsidP="00E37E60">
            <w:pPr>
              <w:spacing w:after="0" w:line="240" w:lineRule="auto"/>
              <w:jc w:val="center"/>
              <w:rPr>
                <w:rFonts w:eastAsia="Times New Roman" w:cs="Calibri"/>
                <w:color w:val="000000"/>
                <w:lang w:eastAsia="fr-FR"/>
              </w:rPr>
            </w:pPr>
          </w:p>
        </w:tc>
      </w:tr>
      <w:tr w:rsidR="00E03ED6" w:rsidRPr="0024326E" w14:paraId="2B6BA221" w14:textId="77777777" w:rsidTr="00E37E60">
        <w:trPr>
          <w:trHeight w:val="300"/>
          <w:jc w:val="center"/>
        </w:trPr>
        <w:tc>
          <w:tcPr>
            <w:tcW w:w="3402" w:type="dxa"/>
            <w:shd w:val="clear" w:color="auto" w:fill="auto"/>
            <w:noWrap/>
            <w:vAlign w:val="center"/>
            <w:hideMark/>
          </w:tcPr>
          <w:p w14:paraId="218AEDDB" w14:textId="77777777" w:rsidR="00E03ED6" w:rsidRPr="0024326E" w:rsidRDefault="00E03ED6" w:rsidP="00E37E60">
            <w:pPr>
              <w:spacing w:after="0" w:line="240" w:lineRule="auto"/>
              <w:rPr>
                <w:rFonts w:eastAsia="Times New Roman" w:cs="Calibri"/>
                <w:b/>
                <w:color w:val="000000"/>
                <w:lang w:eastAsia="fr-FR"/>
              </w:rPr>
            </w:pPr>
            <w:r>
              <w:rPr>
                <w:rFonts w:eastAsia="Times New Roman" w:cs="Calibri"/>
                <w:b/>
                <w:color w:val="000000"/>
                <w:lang w:eastAsia="fr-FR"/>
              </w:rPr>
              <w:t xml:space="preserve">Proton </w:t>
            </w:r>
            <w:proofErr w:type="spellStart"/>
            <w:r>
              <w:rPr>
                <w:rFonts w:eastAsia="Times New Roman" w:cs="Calibri"/>
                <w:b/>
                <w:color w:val="000000"/>
                <w:lang w:eastAsia="fr-FR"/>
              </w:rPr>
              <w:t>pump</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inhibitors</w:t>
            </w:r>
            <w:proofErr w:type="spellEnd"/>
            <w:r w:rsidRPr="0024326E">
              <w:rPr>
                <w:rFonts w:eastAsia="Times New Roman" w:cs="Calibri"/>
                <w:b/>
                <w:color w:val="000000"/>
                <w:lang w:eastAsia="fr-FR"/>
              </w:rPr>
              <w:t xml:space="preserve"> (N=2586)</w:t>
            </w:r>
            <w:r>
              <w:rPr>
                <w:rFonts w:eastAsia="Times New Roman" w:cs="Calibri"/>
                <w:b/>
                <w:color w:val="000000"/>
                <w:lang w:eastAsia="fr-FR"/>
              </w:rPr>
              <w:t xml:space="preserve"> </w:t>
            </w:r>
          </w:p>
        </w:tc>
        <w:tc>
          <w:tcPr>
            <w:tcW w:w="1701" w:type="dxa"/>
            <w:shd w:val="clear" w:color="auto" w:fill="auto"/>
            <w:noWrap/>
            <w:vAlign w:val="bottom"/>
            <w:hideMark/>
          </w:tcPr>
          <w:p w14:paraId="69D3A167"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6E3EB1E"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0BFE406"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C9B72E6"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7293CEA6"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77D19957" w14:textId="77777777" w:rsidTr="00E37E60">
        <w:trPr>
          <w:trHeight w:val="300"/>
          <w:jc w:val="center"/>
        </w:trPr>
        <w:tc>
          <w:tcPr>
            <w:tcW w:w="3402" w:type="dxa"/>
            <w:shd w:val="clear" w:color="auto" w:fill="auto"/>
            <w:noWrap/>
            <w:vAlign w:val="center"/>
            <w:hideMark/>
          </w:tcPr>
          <w:p w14:paraId="5B378E26" w14:textId="77777777" w:rsidR="00E03ED6" w:rsidRPr="0024326E" w:rsidRDefault="00E03ED6" w:rsidP="00E03ED6">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7D55308D"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2337 (90.37%)</w:t>
            </w:r>
          </w:p>
        </w:tc>
        <w:tc>
          <w:tcPr>
            <w:tcW w:w="1701" w:type="dxa"/>
            <w:shd w:val="clear" w:color="auto" w:fill="auto"/>
            <w:noWrap/>
            <w:vAlign w:val="bottom"/>
            <w:hideMark/>
          </w:tcPr>
          <w:p w14:paraId="48348EE1"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2217 (92.61%)</w:t>
            </w:r>
          </w:p>
        </w:tc>
        <w:tc>
          <w:tcPr>
            <w:tcW w:w="1701" w:type="dxa"/>
            <w:shd w:val="clear" w:color="auto" w:fill="auto"/>
            <w:noWrap/>
            <w:vAlign w:val="bottom"/>
            <w:hideMark/>
          </w:tcPr>
          <w:p w14:paraId="235A18BE"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120 (62.50%)</w:t>
            </w:r>
          </w:p>
        </w:tc>
        <w:tc>
          <w:tcPr>
            <w:tcW w:w="1701" w:type="dxa"/>
            <w:shd w:val="clear" w:color="auto" w:fill="auto"/>
            <w:noWrap/>
            <w:vAlign w:val="bottom"/>
            <w:hideMark/>
          </w:tcPr>
          <w:p w14:paraId="5274040B"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47CBFDBA"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24326E" w14:paraId="32BE6E3B" w14:textId="77777777" w:rsidTr="00E37E60">
        <w:trPr>
          <w:trHeight w:val="300"/>
          <w:jc w:val="center"/>
        </w:trPr>
        <w:tc>
          <w:tcPr>
            <w:tcW w:w="3402" w:type="dxa"/>
            <w:shd w:val="clear" w:color="auto" w:fill="auto"/>
            <w:noWrap/>
            <w:vAlign w:val="center"/>
            <w:hideMark/>
          </w:tcPr>
          <w:p w14:paraId="3EF49777" w14:textId="77777777" w:rsidR="00E03ED6" w:rsidRPr="0024326E" w:rsidRDefault="00E03ED6" w:rsidP="00E03ED6">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863899F"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249 (9.63%)</w:t>
            </w:r>
          </w:p>
        </w:tc>
        <w:tc>
          <w:tcPr>
            <w:tcW w:w="1701" w:type="dxa"/>
            <w:shd w:val="clear" w:color="auto" w:fill="auto"/>
            <w:noWrap/>
            <w:vAlign w:val="bottom"/>
            <w:hideMark/>
          </w:tcPr>
          <w:p w14:paraId="2DA366FD"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177 (7.39%)</w:t>
            </w:r>
          </w:p>
        </w:tc>
        <w:tc>
          <w:tcPr>
            <w:tcW w:w="1701" w:type="dxa"/>
            <w:shd w:val="clear" w:color="auto" w:fill="auto"/>
            <w:noWrap/>
            <w:vAlign w:val="bottom"/>
            <w:hideMark/>
          </w:tcPr>
          <w:p w14:paraId="70B2C3A9"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72 (37.50%)</w:t>
            </w:r>
          </w:p>
        </w:tc>
        <w:tc>
          <w:tcPr>
            <w:tcW w:w="1701" w:type="dxa"/>
            <w:shd w:val="clear" w:color="auto" w:fill="auto"/>
            <w:noWrap/>
            <w:vAlign w:val="bottom"/>
            <w:hideMark/>
          </w:tcPr>
          <w:p w14:paraId="15091CBD"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7.52 [5.40;10.45]</w:t>
            </w:r>
          </w:p>
        </w:tc>
        <w:tc>
          <w:tcPr>
            <w:tcW w:w="863" w:type="dxa"/>
            <w:shd w:val="clear" w:color="auto" w:fill="auto"/>
            <w:noWrap/>
            <w:vAlign w:val="bottom"/>
            <w:hideMark/>
          </w:tcPr>
          <w:p w14:paraId="19A0392F" w14:textId="77777777" w:rsidR="00E03ED6" w:rsidRPr="0024326E" w:rsidRDefault="00E03ED6" w:rsidP="00E03ED6">
            <w:pPr>
              <w:spacing w:after="0" w:line="240" w:lineRule="auto"/>
              <w:jc w:val="center"/>
              <w:rPr>
                <w:rFonts w:eastAsia="Times New Roman" w:cs="Calibri"/>
                <w:color w:val="000000"/>
                <w:lang w:eastAsia="fr-FR"/>
              </w:rPr>
            </w:pPr>
          </w:p>
        </w:tc>
      </w:tr>
      <w:tr w:rsidR="00E03ED6" w:rsidRPr="0024326E" w14:paraId="535F356E" w14:textId="77777777" w:rsidTr="00E37E60">
        <w:trPr>
          <w:trHeight w:val="300"/>
          <w:jc w:val="center"/>
        </w:trPr>
        <w:tc>
          <w:tcPr>
            <w:tcW w:w="3402" w:type="dxa"/>
            <w:shd w:val="clear" w:color="auto" w:fill="auto"/>
            <w:noWrap/>
            <w:vAlign w:val="center"/>
            <w:hideMark/>
          </w:tcPr>
          <w:p w14:paraId="4E97A313" w14:textId="77777777" w:rsidR="00E03ED6" w:rsidRPr="0024326E" w:rsidRDefault="00E03ED6" w:rsidP="00E37E60">
            <w:pPr>
              <w:spacing w:after="0" w:line="240" w:lineRule="auto"/>
              <w:rPr>
                <w:rFonts w:eastAsia="Times New Roman" w:cs="Calibri"/>
                <w:b/>
                <w:color w:val="000000"/>
                <w:lang w:eastAsia="fr-FR"/>
              </w:rPr>
            </w:pPr>
            <w:r w:rsidRPr="0024326E">
              <w:rPr>
                <w:rFonts w:eastAsia="Times New Roman" w:cs="Calibri"/>
                <w:b/>
                <w:color w:val="000000"/>
                <w:lang w:eastAsia="fr-FR"/>
              </w:rPr>
              <w:t>Chloroquine</w:t>
            </w:r>
            <w:r>
              <w:rPr>
                <w:rFonts w:eastAsia="Times New Roman" w:cs="Calibri"/>
                <w:b/>
                <w:color w:val="000000"/>
                <w:lang w:eastAsia="fr-FR"/>
              </w:rPr>
              <w:t xml:space="preserve"> </w:t>
            </w:r>
            <w:r w:rsidR="00D2356E">
              <w:rPr>
                <w:rFonts w:eastAsia="Times New Roman" w:cs="Calibri"/>
                <w:b/>
                <w:color w:val="000000"/>
                <w:lang w:eastAsia="fr-FR"/>
              </w:rPr>
              <w:t xml:space="preserve">/ </w:t>
            </w:r>
            <w:proofErr w:type="spellStart"/>
            <w:r w:rsidR="00D2356E">
              <w:rPr>
                <w:rFonts w:eastAsia="Times New Roman" w:cs="Calibri"/>
                <w:b/>
                <w:color w:val="000000"/>
                <w:lang w:eastAsia="fr-FR"/>
              </w:rPr>
              <w:t>Hydroxychloroquine</w:t>
            </w:r>
            <w:proofErr w:type="spellEnd"/>
            <w:r w:rsidRPr="0024326E">
              <w:rPr>
                <w:rFonts w:eastAsia="Times New Roman" w:cs="Calibri"/>
                <w:b/>
                <w:color w:val="000000"/>
                <w:lang w:eastAsia="fr-FR"/>
              </w:rPr>
              <w:t xml:space="preserve"> (N=2585)</w:t>
            </w:r>
            <w:r>
              <w:rPr>
                <w:rFonts w:eastAsia="Times New Roman" w:cs="Calibri"/>
                <w:b/>
                <w:color w:val="000000"/>
                <w:lang w:eastAsia="fr-FR"/>
              </w:rPr>
              <w:t xml:space="preserve"> </w:t>
            </w:r>
          </w:p>
        </w:tc>
        <w:tc>
          <w:tcPr>
            <w:tcW w:w="1701" w:type="dxa"/>
            <w:shd w:val="clear" w:color="auto" w:fill="auto"/>
            <w:noWrap/>
            <w:vAlign w:val="bottom"/>
            <w:hideMark/>
          </w:tcPr>
          <w:p w14:paraId="2A580158"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D3866F6"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7D2A49D"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701EC2E"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1FCE960D"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2FC5A8CC" w14:textId="77777777" w:rsidTr="00E37E60">
        <w:trPr>
          <w:trHeight w:val="300"/>
          <w:jc w:val="center"/>
        </w:trPr>
        <w:tc>
          <w:tcPr>
            <w:tcW w:w="3402" w:type="dxa"/>
            <w:shd w:val="clear" w:color="auto" w:fill="auto"/>
            <w:noWrap/>
            <w:vAlign w:val="center"/>
            <w:hideMark/>
          </w:tcPr>
          <w:p w14:paraId="0691AC75" w14:textId="77777777" w:rsidR="00E03ED6" w:rsidRPr="0024326E" w:rsidRDefault="00E03ED6" w:rsidP="00E03ED6">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1D91C2C6"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2468 (95.47%)</w:t>
            </w:r>
          </w:p>
        </w:tc>
        <w:tc>
          <w:tcPr>
            <w:tcW w:w="1701" w:type="dxa"/>
            <w:shd w:val="clear" w:color="auto" w:fill="auto"/>
            <w:noWrap/>
            <w:vAlign w:val="bottom"/>
            <w:hideMark/>
          </w:tcPr>
          <w:p w14:paraId="7BE9D73B"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2276 (95.11%)</w:t>
            </w:r>
          </w:p>
        </w:tc>
        <w:tc>
          <w:tcPr>
            <w:tcW w:w="1701" w:type="dxa"/>
            <w:shd w:val="clear" w:color="auto" w:fill="auto"/>
            <w:noWrap/>
            <w:vAlign w:val="bottom"/>
            <w:hideMark/>
          </w:tcPr>
          <w:p w14:paraId="54F2E034"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192 (100.00%)</w:t>
            </w:r>
          </w:p>
        </w:tc>
        <w:tc>
          <w:tcPr>
            <w:tcW w:w="1701" w:type="dxa"/>
            <w:shd w:val="clear" w:color="auto" w:fill="auto"/>
            <w:noWrap/>
            <w:vAlign w:val="bottom"/>
            <w:hideMark/>
          </w:tcPr>
          <w:p w14:paraId="049008C8"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24AD84A0"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0.0017</w:t>
            </w:r>
          </w:p>
        </w:tc>
      </w:tr>
      <w:tr w:rsidR="00E03ED6" w:rsidRPr="0024326E" w14:paraId="5EE5CDA8" w14:textId="77777777" w:rsidTr="00E37E60">
        <w:trPr>
          <w:trHeight w:val="300"/>
          <w:jc w:val="center"/>
        </w:trPr>
        <w:tc>
          <w:tcPr>
            <w:tcW w:w="3402" w:type="dxa"/>
            <w:shd w:val="clear" w:color="auto" w:fill="auto"/>
            <w:noWrap/>
            <w:vAlign w:val="center"/>
            <w:hideMark/>
          </w:tcPr>
          <w:p w14:paraId="4CE95634" w14:textId="77777777" w:rsidR="00E03ED6" w:rsidRPr="0024326E" w:rsidRDefault="00E03ED6" w:rsidP="00E03ED6">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E9CD64B"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117 (4.53%)</w:t>
            </w:r>
          </w:p>
        </w:tc>
        <w:tc>
          <w:tcPr>
            <w:tcW w:w="1701" w:type="dxa"/>
            <w:shd w:val="clear" w:color="auto" w:fill="auto"/>
            <w:noWrap/>
            <w:vAlign w:val="bottom"/>
            <w:hideMark/>
          </w:tcPr>
          <w:p w14:paraId="51D5C713"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117 (4.89%)</w:t>
            </w:r>
          </w:p>
        </w:tc>
        <w:tc>
          <w:tcPr>
            <w:tcW w:w="1701" w:type="dxa"/>
            <w:shd w:val="clear" w:color="auto" w:fill="auto"/>
            <w:noWrap/>
            <w:vAlign w:val="bottom"/>
            <w:hideMark/>
          </w:tcPr>
          <w:p w14:paraId="1142F6DA"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5104BF98"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863" w:type="dxa"/>
            <w:shd w:val="clear" w:color="auto" w:fill="auto"/>
            <w:noWrap/>
            <w:vAlign w:val="bottom"/>
            <w:hideMark/>
          </w:tcPr>
          <w:p w14:paraId="3E36FF1D" w14:textId="77777777" w:rsidR="00E03ED6" w:rsidRPr="0024326E" w:rsidRDefault="00E03ED6" w:rsidP="00E03ED6">
            <w:pPr>
              <w:spacing w:after="0" w:line="240" w:lineRule="auto"/>
              <w:jc w:val="center"/>
              <w:rPr>
                <w:rFonts w:eastAsia="Times New Roman" w:cs="Calibri"/>
                <w:color w:val="000000"/>
                <w:lang w:eastAsia="fr-FR"/>
              </w:rPr>
            </w:pPr>
          </w:p>
        </w:tc>
      </w:tr>
      <w:tr w:rsidR="00E03ED6" w:rsidRPr="0024326E" w14:paraId="6C54BB33" w14:textId="77777777" w:rsidTr="00E37E60">
        <w:trPr>
          <w:trHeight w:val="300"/>
          <w:jc w:val="center"/>
        </w:trPr>
        <w:tc>
          <w:tcPr>
            <w:tcW w:w="3402" w:type="dxa"/>
            <w:shd w:val="clear" w:color="auto" w:fill="auto"/>
            <w:noWrap/>
            <w:vAlign w:val="center"/>
            <w:hideMark/>
          </w:tcPr>
          <w:p w14:paraId="310F82DE" w14:textId="77777777" w:rsidR="00E03ED6" w:rsidRPr="0024326E" w:rsidRDefault="00E03ED6"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Anakinra</w:t>
            </w:r>
            <w:proofErr w:type="spellEnd"/>
            <w:r w:rsidRPr="0024326E">
              <w:rPr>
                <w:rFonts w:eastAsia="Times New Roman" w:cs="Calibri"/>
                <w:b/>
                <w:color w:val="000000"/>
                <w:lang w:eastAsia="fr-FR"/>
              </w:rPr>
              <w:t xml:space="preserve"> (N=2583)</w:t>
            </w:r>
            <w:r>
              <w:rPr>
                <w:rFonts w:eastAsia="Times New Roman" w:cs="Calibri"/>
                <w:b/>
                <w:color w:val="000000"/>
                <w:lang w:eastAsia="fr-FR"/>
              </w:rPr>
              <w:t xml:space="preserve"> </w:t>
            </w:r>
          </w:p>
        </w:tc>
        <w:tc>
          <w:tcPr>
            <w:tcW w:w="1701" w:type="dxa"/>
            <w:shd w:val="clear" w:color="auto" w:fill="auto"/>
            <w:noWrap/>
            <w:vAlign w:val="bottom"/>
            <w:hideMark/>
          </w:tcPr>
          <w:p w14:paraId="3B1C5A83"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9C92197"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41A7B11"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6F01384"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03298EB7"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2AC9A3A7" w14:textId="77777777" w:rsidTr="00E37E60">
        <w:trPr>
          <w:trHeight w:val="300"/>
          <w:jc w:val="center"/>
        </w:trPr>
        <w:tc>
          <w:tcPr>
            <w:tcW w:w="3402" w:type="dxa"/>
            <w:shd w:val="clear" w:color="auto" w:fill="auto"/>
            <w:noWrap/>
            <w:vAlign w:val="center"/>
            <w:hideMark/>
          </w:tcPr>
          <w:p w14:paraId="099E80A1" w14:textId="77777777" w:rsidR="00E03ED6" w:rsidRPr="0024326E" w:rsidRDefault="00E03ED6" w:rsidP="00E03ED6">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0B95684"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2507 (97.06%)</w:t>
            </w:r>
          </w:p>
        </w:tc>
        <w:tc>
          <w:tcPr>
            <w:tcW w:w="1701" w:type="dxa"/>
            <w:shd w:val="clear" w:color="auto" w:fill="auto"/>
            <w:noWrap/>
            <w:vAlign w:val="bottom"/>
            <w:hideMark/>
          </w:tcPr>
          <w:p w14:paraId="0138B802"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2315 (96.82%)</w:t>
            </w:r>
          </w:p>
        </w:tc>
        <w:tc>
          <w:tcPr>
            <w:tcW w:w="1701" w:type="dxa"/>
            <w:shd w:val="clear" w:color="auto" w:fill="auto"/>
            <w:noWrap/>
            <w:vAlign w:val="bottom"/>
            <w:hideMark/>
          </w:tcPr>
          <w:p w14:paraId="77F7E516"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192 (100.00%)</w:t>
            </w:r>
          </w:p>
        </w:tc>
        <w:tc>
          <w:tcPr>
            <w:tcW w:w="1701" w:type="dxa"/>
            <w:shd w:val="clear" w:color="auto" w:fill="auto"/>
            <w:noWrap/>
            <w:vAlign w:val="bottom"/>
            <w:hideMark/>
          </w:tcPr>
          <w:p w14:paraId="7C1C7E51"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6C26E26F"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0.0122</w:t>
            </w:r>
          </w:p>
        </w:tc>
      </w:tr>
      <w:tr w:rsidR="00E03ED6" w:rsidRPr="0024326E" w14:paraId="22EACB2B" w14:textId="77777777" w:rsidTr="00E37E60">
        <w:trPr>
          <w:trHeight w:val="300"/>
          <w:jc w:val="center"/>
        </w:trPr>
        <w:tc>
          <w:tcPr>
            <w:tcW w:w="3402" w:type="dxa"/>
            <w:shd w:val="clear" w:color="auto" w:fill="auto"/>
            <w:noWrap/>
            <w:vAlign w:val="center"/>
            <w:hideMark/>
          </w:tcPr>
          <w:p w14:paraId="149803BB" w14:textId="77777777" w:rsidR="00E03ED6" w:rsidRPr="0024326E" w:rsidRDefault="00E03ED6" w:rsidP="00E03ED6">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6D3CA0B"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76 (2.94%)</w:t>
            </w:r>
          </w:p>
        </w:tc>
        <w:tc>
          <w:tcPr>
            <w:tcW w:w="1701" w:type="dxa"/>
            <w:shd w:val="clear" w:color="auto" w:fill="auto"/>
            <w:noWrap/>
            <w:vAlign w:val="bottom"/>
            <w:hideMark/>
          </w:tcPr>
          <w:p w14:paraId="25FAC8D0"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76 (3.18%)</w:t>
            </w:r>
          </w:p>
        </w:tc>
        <w:tc>
          <w:tcPr>
            <w:tcW w:w="1701" w:type="dxa"/>
            <w:shd w:val="clear" w:color="auto" w:fill="auto"/>
            <w:noWrap/>
            <w:vAlign w:val="bottom"/>
            <w:hideMark/>
          </w:tcPr>
          <w:p w14:paraId="20F68B9C"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2D56B46B"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863" w:type="dxa"/>
            <w:shd w:val="clear" w:color="auto" w:fill="auto"/>
            <w:noWrap/>
            <w:vAlign w:val="bottom"/>
            <w:hideMark/>
          </w:tcPr>
          <w:p w14:paraId="7254310E" w14:textId="77777777" w:rsidR="00E03ED6" w:rsidRPr="0024326E" w:rsidRDefault="00E03ED6" w:rsidP="00E03ED6">
            <w:pPr>
              <w:spacing w:after="0" w:line="240" w:lineRule="auto"/>
              <w:jc w:val="center"/>
              <w:rPr>
                <w:rFonts w:eastAsia="Times New Roman" w:cs="Calibri"/>
                <w:color w:val="000000"/>
                <w:lang w:eastAsia="fr-FR"/>
              </w:rPr>
            </w:pPr>
          </w:p>
        </w:tc>
      </w:tr>
      <w:tr w:rsidR="00E03ED6" w:rsidRPr="0024326E" w14:paraId="0D7C71AC" w14:textId="77777777" w:rsidTr="00E37E60">
        <w:trPr>
          <w:trHeight w:val="300"/>
          <w:jc w:val="center"/>
        </w:trPr>
        <w:tc>
          <w:tcPr>
            <w:tcW w:w="3402" w:type="dxa"/>
            <w:shd w:val="clear" w:color="auto" w:fill="auto"/>
            <w:noWrap/>
            <w:vAlign w:val="center"/>
            <w:hideMark/>
          </w:tcPr>
          <w:p w14:paraId="2480E573" w14:textId="78DB2186" w:rsidR="00E03ED6" w:rsidRPr="0024326E" w:rsidRDefault="00136FD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Lopinavir</w:t>
            </w:r>
            <w:proofErr w:type="spellEnd"/>
            <w:r>
              <w:rPr>
                <w:rFonts w:eastAsia="Times New Roman" w:cs="Calibri"/>
                <w:b/>
                <w:color w:val="000000"/>
                <w:lang w:eastAsia="fr-FR"/>
              </w:rPr>
              <w:t>/</w:t>
            </w:r>
            <w:proofErr w:type="spellStart"/>
            <w:r>
              <w:rPr>
                <w:rFonts w:eastAsia="Times New Roman" w:cs="Calibri"/>
                <w:b/>
                <w:color w:val="000000"/>
                <w:lang w:eastAsia="fr-FR"/>
              </w:rPr>
              <w:t>ritonavir</w:t>
            </w:r>
            <w:proofErr w:type="spellEnd"/>
            <w:r w:rsidR="00E03ED6" w:rsidRPr="0024326E">
              <w:rPr>
                <w:rFonts w:eastAsia="Times New Roman" w:cs="Calibri"/>
                <w:b/>
                <w:color w:val="000000"/>
                <w:lang w:eastAsia="fr-FR"/>
              </w:rPr>
              <w:t xml:space="preserve"> (N=2580)</w:t>
            </w:r>
            <w:r w:rsidR="00E03ED6">
              <w:rPr>
                <w:rFonts w:eastAsia="Times New Roman" w:cs="Calibri"/>
                <w:b/>
                <w:color w:val="000000"/>
                <w:lang w:eastAsia="fr-FR"/>
              </w:rPr>
              <w:t xml:space="preserve"> </w:t>
            </w:r>
          </w:p>
        </w:tc>
        <w:tc>
          <w:tcPr>
            <w:tcW w:w="1701" w:type="dxa"/>
            <w:shd w:val="clear" w:color="auto" w:fill="auto"/>
            <w:noWrap/>
            <w:vAlign w:val="bottom"/>
            <w:hideMark/>
          </w:tcPr>
          <w:p w14:paraId="7FEF226C"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4088B8A"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6DDDBD1"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8469A9F"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37A69A5B"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6F34F885" w14:textId="77777777" w:rsidTr="00E37E60">
        <w:trPr>
          <w:trHeight w:val="300"/>
          <w:jc w:val="center"/>
        </w:trPr>
        <w:tc>
          <w:tcPr>
            <w:tcW w:w="3402" w:type="dxa"/>
            <w:shd w:val="clear" w:color="auto" w:fill="auto"/>
            <w:noWrap/>
            <w:vAlign w:val="center"/>
            <w:hideMark/>
          </w:tcPr>
          <w:p w14:paraId="7A219A70" w14:textId="77777777" w:rsidR="00E03ED6" w:rsidRPr="0024326E" w:rsidRDefault="00E03ED6" w:rsidP="00E03ED6">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762EBB69"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2561 (99.26%)</w:t>
            </w:r>
          </w:p>
        </w:tc>
        <w:tc>
          <w:tcPr>
            <w:tcW w:w="1701" w:type="dxa"/>
            <w:shd w:val="clear" w:color="auto" w:fill="auto"/>
            <w:noWrap/>
            <w:vAlign w:val="bottom"/>
            <w:hideMark/>
          </w:tcPr>
          <w:p w14:paraId="79D8AD97"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2370 (99.25%)</w:t>
            </w:r>
          </w:p>
        </w:tc>
        <w:tc>
          <w:tcPr>
            <w:tcW w:w="1701" w:type="dxa"/>
            <w:shd w:val="clear" w:color="auto" w:fill="auto"/>
            <w:noWrap/>
            <w:vAlign w:val="bottom"/>
            <w:hideMark/>
          </w:tcPr>
          <w:p w14:paraId="08888334"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191 (99.48%)</w:t>
            </w:r>
          </w:p>
        </w:tc>
        <w:tc>
          <w:tcPr>
            <w:tcW w:w="1701" w:type="dxa"/>
            <w:shd w:val="clear" w:color="auto" w:fill="auto"/>
            <w:noWrap/>
            <w:vAlign w:val="bottom"/>
            <w:hideMark/>
          </w:tcPr>
          <w:p w14:paraId="781E136A"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34DBCC2F"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&gt;0.99</w:t>
            </w:r>
          </w:p>
        </w:tc>
      </w:tr>
      <w:tr w:rsidR="00E03ED6" w:rsidRPr="0024326E" w14:paraId="6CB5CF36" w14:textId="77777777" w:rsidTr="00E37E60">
        <w:trPr>
          <w:trHeight w:val="300"/>
          <w:jc w:val="center"/>
        </w:trPr>
        <w:tc>
          <w:tcPr>
            <w:tcW w:w="3402" w:type="dxa"/>
            <w:shd w:val="clear" w:color="auto" w:fill="auto"/>
            <w:noWrap/>
            <w:vAlign w:val="center"/>
            <w:hideMark/>
          </w:tcPr>
          <w:p w14:paraId="5E2EF12A" w14:textId="77777777" w:rsidR="00E03ED6" w:rsidRPr="0024326E" w:rsidRDefault="00E03ED6" w:rsidP="00E03ED6">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9E6B2D9"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19 (0.74%)</w:t>
            </w:r>
          </w:p>
        </w:tc>
        <w:tc>
          <w:tcPr>
            <w:tcW w:w="1701" w:type="dxa"/>
            <w:shd w:val="clear" w:color="auto" w:fill="auto"/>
            <w:noWrap/>
            <w:vAlign w:val="bottom"/>
            <w:hideMark/>
          </w:tcPr>
          <w:p w14:paraId="3267F976"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18 (0.75%)</w:t>
            </w:r>
          </w:p>
        </w:tc>
        <w:tc>
          <w:tcPr>
            <w:tcW w:w="1701" w:type="dxa"/>
            <w:shd w:val="clear" w:color="auto" w:fill="auto"/>
            <w:noWrap/>
            <w:vAlign w:val="bottom"/>
            <w:hideMark/>
          </w:tcPr>
          <w:p w14:paraId="59D9FA68"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 (0.52%)</w:t>
            </w:r>
          </w:p>
        </w:tc>
        <w:tc>
          <w:tcPr>
            <w:tcW w:w="1701" w:type="dxa"/>
            <w:shd w:val="clear" w:color="auto" w:fill="auto"/>
            <w:noWrap/>
            <w:vAlign w:val="bottom"/>
            <w:hideMark/>
          </w:tcPr>
          <w:p w14:paraId="1A68601E"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0.69 [0.09;5.19]</w:t>
            </w:r>
          </w:p>
        </w:tc>
        <w:tc>
          <w:tcPr>
            <w:tcW w:w="863" w:type="dxa"/>
            <w:shd w:val="clear" w:color="auto" w:fill="auto"/>
            <w:noWrap/>
            <w:vAlign w:val="bottom"/>
            <w:hideMark/>
          </w:tcPr>
          <w:p w14:paraId="313C2DCD" w14:textId="77777777" w:rsidR="00E03ED6" w:rsidRPr="0024326E" w:rsidRDefault="00E03ED6" w:rsidP="00E03ED6">
            <w:pPr>
              <w:spacing w:after="0" w:line="240" w:lineRule="auto"/>
              <w:jc w:val="center"/>
              <w:rPr>
                <w:rFonts w:eastAsia="Times New Roman" w:cs="Calibri"/>
                <w:color w:val="000000"/>
                <w:lang w:eastAsia="fr-FR"/>
              </w:rPr>
            </w:pPr>
          </w:p>
        </w:tc>
      </w:tr>
      <w:tr w:rsidR="00E03ED6" w:rsidRPr="0024326E" w14:paraId="2330899B" w14:textId="77777777" w:rsidTr="00E37E60">
        <w:trPr>
          <w:trHeight w:val="300"/>
          <w:jc w:val="center"/>
        </w:trPr>
        <w:tc>
          <w:tcPr>
            <w:tcW w:w="3402" w:type="dxa"/>
            <w:shd w:val="clear" w:color="auto" w:fill="auto"/>
            <w:noWrap/>
            <w:vAlign w:val="center"/>
            <w:hideMark/>
          </w:tcPr>
          <w:p w14:paraId="15DB3E3C" w14:textId="77777777" w:rsidR="00E03ED6" w:rsidRPr="0024326E" w:rsidRDefault="00E03ED6"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Sarilumab</w:t>
            </w:r>
            <w:proofErr w:type="spellEnd"/>
            <w:r w:rsidRPr="0024326E">
              <w:rPr>
                <w:rFonts w:eastAsia="Times New Roman" w:cs="Calibri"/>
                <w:b/>
                <w:color w:val="000000"/>
                <w:lang w:eastAsia="fr-FR"/>
              </w:rPr>
              <w:t xml:space="preserve"> (N=2576)</w:t>
            </w:r>
            <w:r>
              <w:rPr>
                <w:rFonts w:eastAsia="Times New Roman" w:cs="Calibri"/>
                <w:b/>
                <w:color w:val="000000"/>
                <w:lang w:eastAsia="fr-FR"/>
              </w:rPr>
              <w:t xml:space="preserve"> </w:t>
            </w:r>
          </w:p>
        </w:tc>
        <w:tc>
          <w:tcPr>
            <w:tcW w:w="1701" w:type="dxa"/>
            <w:shd w:val="clear" w:color="auto" w:fill="auto"/>
            <w:noWrap/>
            <w:vAlign w:val="bottom"/>
            <w:hideMark/>
          </w:tcPr>
          <w:p w14:paraId="16EF41C4"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3BAB7FE"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D318987" w14:textId="77777777" w:rsidR="00E03ED6" w:rsidRPr="0024326E" w:rsidRDefault="00E03ED6"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075DC6E" w14:textId="77777777" w:rsidR="00E03ED6" w:rsidRPr="0024326E" w:rsidRDefault="00E03ED6"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54964060" w14:textId="77777777" w:rsidR="00E03ED6" w:rsidRPr="0024326E" w:rsidRDefault="00E03ED6" w:rsidP="00E37E60">
            <w:pPr>
              <w:spacing w:after="0" w:line="240" w:lineRule="auto"/>
              <w:rPr>
                <w:rFonts w:eastAsia="Times New Roman" w:cs="Calibri"/>
                <w:b/>
                <w:color w:val="000000"/>
                <w:lang w:eastAsia="fr-FR"/>
              </w:rPr>
            </w:pPr>
          </w:p>
        </w:tc>
      </w:tr>
      <w:tr w:rsidR="00E03ED6" w:rsidRPr="0024326E" w14:paraId="3AB85A07" w14:textId="77777777" w:rsidTr="00E37E60">
        <w:trPr>
          <w:trHeight w:val="300"/>
          <w:jc w:val="center"/>
        </w:trPr>
        <w:tc>
          <w:tcPr>
            <w:tcW w:w="3402" w:type="dxa"/>
            <w:shd w:val="clear" w:color="auto" w:fill="auto"/>
            <w:noWrap/>
            <w:vAlign w:val="center"/>
            <w:hideMark/>
          </w:tcPr>
          <w:p w14:paraId="181BB3E9" w14:textId="77777777" w:rsidR="00E03ED6" w:rsidRPr="0024326E" w:rsidRDefault="00E03ED6" w:rsidP="00E03ED6">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79D1B8C0"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2544 (98.76%)</w:t>
            </w:r>
          </w:p>
        </w:tc>
        <w:tc>
          <w:tcPr>
            <w:tcW w:w="1701" w:type="dxa"/>
            <w:shd w:val="clear" w:color="auto" w:fill="auto"/>
            <w:noWrap/>
            <w:vAlign w:val="bottom"/>
            <w:hideMark/>
          </w:tcPr>
          <w:p w14:paraId="7DA9860C"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2363 (98.66%)</w:t>
            </w:r>
          </w:p>
        </w:tc>
        <w:tc>
          <w:tcPr>
            <w:tcW w:w="1701" w:type="dxa"/>
            <w:shd w:val="clear" w:color="auto" w:fill="auto"/>
            <w:noWrap/>
            <w:vAlign w:val="bottom"/>
            <w:hideMark/>
          </w:tcPr>
          <w:p w14:paraId="6B887491"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181 (100.00%)</w:t>
            </w:r>
          </w:p>
        </w:tc>
        <w:tc>
          <w:tcPr>
            <w:tcW w:w="1701" w:type="dxa"/>
            <w:shd w:val="clear" w:color="auto" w:fill="auto"/>
            <w:noWrap/>
            <w:vAlign w:val="bottom"/>
            <w:hideMark/>
          </w:tcPr>
          <w:p w14:paraId="6CECC267"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51EAE0A1"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0.17</w:t>
            </w:r>
          </w:p>
        </w:tc>
      </w:tr>
      <w:tr w:rsidR="00E03ED6" w:rsidRPr="0024326E" w14:paraId="00B0CE9C" w14:textId="77777777" w:rsidTr="00E37E60">
        <w:trPr>
          <w:trHeight w:val="300"/>
          <w:jc w:val="center"/>
        </w:trPr>
        <w:tc>
          <w:tcPr>
            <w:tcW w:w="3402" w:type="dxa"/>
            <w:shd w:val="clear" w:color="auto" w:fill="auto"/>
            <w:noWrap/>
            <w:vAlign w:val="center"/>
            <w:hideMark/>
          </w:tcPr>
          <w:p w14:paraId="4D629AB4" w14:textId="77777777" w:rsidR="00E03ED6" w:rsidRPr="0024326E" w:rsidRDefault="00E03ED6" w:rsidP="00E03ED6">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5AD5D543"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32 (1.24%)</w:t>
            </w:r>
          </w:p>
        </w:tc>
        <w:tc>
          <w:tcPr>
            <w:tcW w:w="1701" w:type="dxa"/>
            <w:shd w:val="clear" w:color="auto" w:fill="auto"/>
            <w:noWrap/>
            <w:vAlign w:val="bottom"/>
            <w:hideMark/>
          </w:tcPr>
          <w:p w14:paraId="58635E6E"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32 (1.34%)</w:t>
            </w:r>
          </w:p>
        </w:tc>
        <w:tc>
          <w:tcPr>
            <w:tcW w:w="1701" w:type="dxa"/>
            <w:shd w:val="clear" w:color="auto" w:fill="auto"/>
            <w:noWrap/>
            <w:vAlign w:val="bottom"/>
            <w:hideMark/>
          </w:tcPr>
          <w:p w14:paraId="772A7BCC"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33DC3925"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863" w:type="dxa"/>
            <w:shd w:val="clear" w:color="auto" w:fill="auto"/>
            <w:noWrap/>
            <w:vAlign w:val="bottom"/>
            <w:hideMark/>
          </w:tcPr>
          <w:p w14:paraId="228919D5" w14:textId="77777777" w:rsidR="00E03ED6" w:rsidRPr="0024326E" w:rsidRDefault="00E03ED6" w:rsidP="00E03ED6">
            <w:pPr>
              <w:spacing w:after="0" w:line="240" w:lineRule="auto"/>
              <w:jc w:val="center"/>
              <w:rPr>
                <w:rFonts w:eastAsia="Times New Roman" w:cs="Calibri"/>
                <w:color w:val="000000"/>
                <w:lang w:eastAsia="fr-FR"/>
              </w:rPr>
            </w:pPr>
          </w:p>
        </w:tc>
      </w:tr>
      <w:tr w:rsidR="00E03ED6" w:rsidRPr="0009503D" w14:paraId="18760836" w14:textId="77777777" w:rsidTr="00E37E60">
        <w:trPr>
          <w:trHeight w:val="300"/>
          <w:jc w:val="center"/>
        </w:trPr>
        <w:tc>
          <w:tcPr>
            <w:tcW w:w="3402" w:type="dxa"/>
            <w:shd w:val="clear" w:color="auto" w:fill="auto"/>
            <w:noWrap/>
            <w:vAlign w:val="center"/>
            <w:hideMark/>
          </w:tcPr>
          <w:p w14:paraId="19F2DC10" w14:textId="074CA73F" w:rsidR="00E03ED6" w:rsidRPr="00136FDD" w:rsidRDefault="008258E1"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Standard</w:t>
            </w:r>
            <w:r w:rsidR="00136FDD" w:rsidRPr="00136FDD">
              <w:rPr>
                <w:rFonts w:eastAsia="Times New Roman" w:cs="Calibri"/>
                <w:b/>
                <w:color w:val="000000"/>
                <w:lang w:val="en-US" w:eastAsia="fr-FR"/>
              </w:rPr>
              <w:t xml:space="preserve"> supplemental</w:t>
            </w:r>
            <w:r w:rsidRPr="00136FDD">
              <w:rPr>
                <w:rFonts w:eastAsia="Times New Roman" w:cs="Calibri"/>
                <w:b/>
                <w:color w:val="000000"/>
                <w:lang w:val="en-US" w:eastAsia="fr-FR"/>
              </w:rPr>
              <w:t xml:space="preserve"> o</w:t>
            </w:r>
            <w:r w:rsidR="001D0E57" w:rsidRPr="00136FDD">
              <w:rPr>
                <w:rFonts w:eastAsia="Times New Roman" w:cs="Calibri"/>
                <w:b/>
                <w:color w:val="000000"/>
                <w:lang w:val="en-US" w:eastAsia="fr-FR"/>
              </w:rPr>
              <w:t>xygen</w:t>
            </w:r>
            <w:r w:rsidR="00136FDD">
              <w:rPr>
                <w:rFonts w:eastAsia="Times New Roman" w:cs="Calibri"/>
                <w:b/>
                <w:color w:val="000000"/>
                <w:lang w:val="en-US" w:eastAsia="fr-FR"/>
              </w:rPr>
              <w:t xml:space="preserve"> (days)</w:t>
            </w:r>
            <w:r w:rsidR="00E03ED6" w:rsidRPr="00136FDD">
              <w:rPr>
                <w:rFonts w:eastAsia="Times New Roman" w:cs="Calibri"/>
                <w:b/>
                <w:color w:val="000000"/>
                <w:lang w:val="en-US" w:eastAsia="fr-FR"/>
              </w:rPr>
              <w:t xml:space="preserve"> (N=2559) </w:t>
            </w:r>
          </w:p>
        </w:tc>
        <w:tc>
          <w:tcPr>
            <w:tcW w:w="1701" w:type="dxa"/>
            <w:shd w:val="clear" w:color="auto" w:fill="auto"/>
            <w:noWrap/>
            <w:vAlign w:val="bottom"/>
            <w:hideMark/>
          </w:tcPr>
          <w:p w14:paraId="14F11DCB" w14:textId="77777777" w:rsidR="00E03ED6" w:rsidRPr="00136FDD"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110BAC5" w14:textId="77777777" w:rsidR="00E03ED6" w:rsidRPr="00136FDD"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9D9D45E" w14:textId="77777777" w:rsidR="00E03ED6" w:rsidRPr="00136FDD"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4B51692" w14:textId="77777777" w:rsidR="00E03ED6" w:rsidRPr="00136FDD"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222FA267" w14:textId="77777777" w:rsidR="00E03ED6" w:rsidRPr="00136FDD" w:rsidRDefault="00E03ED6" w:rsidP="00E37E60">
            <w:pPr>
              <w:spacing w:after="0" w:line="240" w:lineRule="auto"/>
              <w:rPr>
                <w:rFonts w:eastAsia="Times New Roman" w:cs="Calibri"/>
                <w:b/>
                <w:color w:val="000000"/>
                <w:lang w:val="en-US" w:eastAsia="fr-FR"/>
              </w:rPr>
            </w:pPr>
          </w:p>
        </w:tc>
      </w:tr>
      <w:tr w:rsidR="00E03ED6" w:rsidRPr="0024326E" w14:paraId="1EEBD04C" w14:textId="77777777" w:rsidTr="00E37E60">
        <w:trPr>
          <w:trHeight w:val="300"/>
          <w:jc w:val="center"/>
        </w:trPr>
        <w:tc>
          <w:tcPr>
            <w:tcW w:w="3402" w:type="dxa"/>
            <w:shd w:val="clear" w:color="auto" w:fill="auto"/>
            <w:noWrap/>
            <w:vAlign w:val="center"/>
            <w:hideMark/>
          </w:tcPr>
          <w:p w14:paraId="0325BB57"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5990A32A"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3.00 [1.00;6.00]</w:t>
            </w:r>
          </w:p>
        </w:tc>
        <w:tc>
          <w:tcPr>
            <w:tcW w:w="1701" w:type="dxa"/>
            <w:shd w:val="clear" w:color="auto" w:fill="auto"/>
            <w:noWrap/>
            <w:vAlign w:val="bottom"/>
            <w:hideMark/>
          </w:tcPr>
          <w:p w14:paraId="1CD062B2"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3.00 [1.00;6.00]</w:t>
            </w:r>
          </w:p>
        </w:tc>
        <w:tc>
          <w:tcPr>
            <w:tcW w:w="1701" w:type="dxa"/>
            <w:shd w:val="clear" w:color="auto" w:fill="auto"/>
            <w:noWrap/>
            <w:vAlign w:val="bottom"/>
            <w:hideMark/>
          </w:tcPr>
          <w:p w14:paraId="01670861"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4.00 [1.00;7.00]</w:t>
            </w:r>
          </w:p>
        </w:tc>
        <w:tc>
          <w:tcPr>
            <w:tcW w:w="1701" w:type="dxa"/>
            <w:shd w:val="clear" w:color="auto" w:fill="auto"/>
            <w:noWrap/>
            <w:vAlign w:val="bottom"/>
            <w:hideMark/>
          </w:tcPr>
          <w:p w14:paraId="68B9302D" w14:textId="77777777" w:rsidR="00E03ED6" w:rsidRPr="0024326E" w:rsidRDefault="00E03ED6"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237A1E5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0.0031</w:t>
            </w:r>
          </w:p>
        </w:tc>
      </w:tr>
      <w:tr w:rsidR="00E03ED6" w:rsidRPr="0009503D" w14:paraId="5370E1E5" w14:textId="77777777" w:rsidTr="00E37E60">
        <w:trPr>
          <w:trHeight w:val="300"/>
          <w:jc w:val="center"/>
        </w:trPr>
        <w:tc>
          <w:tcPr>
            <w:tcW w:w="3402" w:type="dxa"/>
            <w:shd w:val="clear" w:color="auto" w:fill="auto"/>
            <w:noWrap/>
            <w:vAlign w:val="center"/>
            <w:hideMark/>
          </w:tcPr>
          <w:p w14:paraId="57A2A669" w14:textId="77777777" w:rsidR="00E03ED6" w:rsidRPr="008258E1" w:rsidRDefault="008258E1" w:rsidP="00E37E60">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t xml:space="preserve">High flow nasal oxygen (HFNO) </w:t>
            </w:r>
            <w:r w:rsidR="00E03ED6" w:rsidRPr="008258E1">
              <w:rPr>
                <w:rFonts w:eastAsia="Times New Roman" w:cs="Calibri"/>
                <w:b/>
                <w:color w:val="000000"/>
                <w:lang w:val="en-US" w:eastAsia="fr-FR"/>
              </w:rPr>
              <w:t xml:space="preserve">(N=2574) </w:t>
            </w:r>
          </w:p>
        </w:tc>
        <w:tc>
          <w:tcPr>
            <w:tcW w:w="1701" w:type="dxa"/>
            <w:shd w:val="clear" w:color="auto" w:fill="auto"/>
            <w:noWrap/>
            <w:vAlign w:val="bottom"/>
            <w:hideMark/>
          </w:tcPr>
          <w:p w14:paraId="15D6E9D5"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0D54221"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056DD35"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F70FF69" w14:textId="77777777" w:rsidR="00E03ED6" w:rsidRPr="008258E1"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0D035217" w14:textId="77777777" w:rsidR="00E03ED6" w:rsidRPr="008258E1" w:rsidRDefault="00E03ED6" w:rsidP="00E37E60">
            <w:pPr>
              <w:spacing w:after="0" w:line="240" w:lineRule="auto"/>
              <w:rPr>
                <w:rFonts w:eastAsia="Times New Roman" w:cs="Calibri"/>
                <w:b/>
                <w:color w:val="000000"/>
                <w:lang w:val="en-US" w:eastAsia="fr-FR"/>
              </w:rPr>
            </w:pPr>
          </w:p>
        </w:tc>
      </w:tr>
      <w:tr w:rsidR="00E03ED6" w:rsidRPr="0024326E" w14:paraId="78995B12" w14:textId="77777777" w:rsidTr="00E37E60">
        <w:trPr>
          <w:trHeight w:val="300"/>
          <w:jc w:val="center"/>
        </w:trPr>
        <w:tc>
          <w:tcPr>
            <w:tcW w:w="3402" w:type="dxa"/>
            <w:shd w:val="clear" w:color="auto" w:fill="auto"/>
            <w:noWrap/>
            <w:vAlign w:val="center"/>
            <w:hideMark/>
          </w:tcPr>
          <w:p w14:paraId="2C96E81B" w14:textId="77777777" w:rsidR="00E03ED6" w:rsidRPr="0024326E" w:rsidRDefault="00E03ED6" w:rsidP="00E03ED6">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4532C73"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2293 (89.08%)</w:t>
            </w:r>
          </w:p>
        </w:tc>
        <w:tc>
          <w:tcPr>
            <w:tcW w:w="1701" w:type="dxa"/>
            <w:shd w:val="clear" w:color="auto" w:fill="auto"/>
            <w:noWrap/>
            <w:vAlign w:val="bottom"/>
            <w:hideMark/>
          </w:tcPr>
          <w:p w14:paraId="75DD0D0B"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2154 (90.35%)</w:t>
            </w:r>
          </w:p>
        </w:tc>
        <w:tc>
          <w:tcPr>
            <w:tcW w:w="1701" w:type="dxa"/>
            <w:shd w:val="clear" w:color="auto" w:fill="auto"/>
            <w:noWrap/>
            <w:vAlign w:val="bottom"/>
            <w:hideMark/>
          </w:tcPr>
          <w:p w14:paraId="3C4A53F6"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139 (73.16%)</w:t>
            </w:r>
          </w:p>
        </w:tc>
        <w:tc>
          <w:tcPr>
            <w:tcW w:w="1701" w:type="dxa"/>
            <w:shd w:val="clear" w:color="auto" w:fill="auto"/>
            <w:noWrap/>
            <w:vAlign w:val="bottom"/>
            <w:hideMark/>
          </w:tcPr>
          <w:p w14:paraId="0A83CCAD"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7D4FC72F"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24326E" w14:paraId="1A0A6872" w14:textId="77777777" w:rsidTr="00E37E60">
        <w:trPr>
          <w:trHeight w:val="300"/>
          <w:jc w:val="center"/>
        </w:trPr>
        <w:tc>
          <w:tcPr>
            <w:tcW w:w="3402" w:type="dxa"/>
            <w:shd w:val="clear" w:color="auto" w:fill="auto"/>
            <w:noWrap/>
            <w:vAlign w:val="center"/>
            <w:hideMark/>
          </w:tcPr>
          <w:p w14:paraId="2E47AB44" w14:textId="77777777" w:rsidR="00E03ED6" w:rsidRPr="0024326E" w:rsidRDefault="00E03ED6" w:rsidP="00E03ED6">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E820E92"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281 (10.92%)</w:t>
            </w:r>
          </w:p>
        </w:tc>
        <w:tc>
          <w:tcPr>
            <w:tcW w:w="1701" w:type="dxa"/>
            <w:shd w:val="clear" w:color="auto" w:fill="auto"/>
            <w:noWrap/>
            <w:vAlign w:val="bottom"/>
            <w:hideMark/>
          </w:tcPr>
          <w:p w14:paraId="2E75B9BA"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230 (9.65%)</w:t>
            </w:r>
          </w:p>
        </w:tc>
        <w:tc>
          <w:tcPr>
            <w:tcW w:w="1701" w:type="dxa"/>
            <w:shd w:val="clear" w:color="auto" w:fill="auto"/>
            <w:noWrap/>
            <w:vAlign w:val="bottom"/>
            <w:hideMark/>
          </w:tcPr>
          <w:p w14:paraId="7562E15E"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51 (26.84%)</w:t>
            </w:r>
          </w:p>
        </w:tc>
        <w:tc>
          <w:tcPr>
            <w:tcW w:w="1701" w:type="dxa"/>
            <w:shd w:val="clear" w:color="auto" w:fill="auto"/>
            <w:noWrap/>
            <w:vAlign w:val="bottom"/>
            <w:hideMark/>
          </w:tcPr>
          <w:p w14:paraId="6D6CDA51" w14:textId="77777777" w:rsidR="00E03ED6" w:rsidRPr="0024326E" w:rsidRDefault="00E03ED6" w:rsidP="00E03ED6">
            <w:pPr>
              <w:spacing w:after="0" w:line="240" w:lineRule="auto"/>
              <w:jc w:val="center"/>
              <w:rPr>
                <w:rFonts w:eastAsia="Times New Roman" w:cs="Calibri"/>
                <w:color w:val="000000"/>
                <w:lang w:eastAsia="fr-FR"/>
              </w:rPr>
            </w:pPr>
            <w:r w:rsidRPr="0024326E">
              <w:rPr>
                <w:rFonts w:eastAsia="Times New Roman" w:cs="Calibri"/>
                <w:color w:val="000000"/>
                <w:lang w:eastAsia="fr-FR"/>
              </w:rPr>
              <w:t>3.44 [2.43;4.87]</w:t>
            </w:r>
          </w:p>
        </w:tc>
        <w:tc>
          <w:tcPr>
            <w:tcW w:w="863" w:type="dxa"/>
            <w:shd w:val="clear" w:color="auto" w:fill="auto"/>
            <w:noWrap/>
            <w:vAlign w:val="bottom"/>
            <w:hideMark/>
          </w:tcPr>
          <w:p w14:paraId="04004958" w14:textId="77777777" w:rsidR="00E03ED6" w:rsidRPr="0024326E" w:rsidRDefault="00E03ED6" w:rsidP="00E03ED6">
            <w:pPr>
              <w:spacing w:after="0" w:line="240" w:lineRule="auto"/>
              <w:jc w:val="center"/>
              <w:rPr>
                <w:rFonts w:eastAsia="Times New Roman" w:cs="Calibri"/>
                <w:color w:val="000000"/>
                <w:lang w:eastAsia="fr-FR"/>
              </w:rPr>
            </w:pPr>
          </w:p>
        </w:tc>
      </w:tr>
      <w:tr w:rsidR="00E03ED6" w:rsidRPr="0009503D" w14:paraId="2E05ECC2" w14:textId="77777777" w:rsidTr="00E37E60">
        <w:trPr>
          <w:trHeight w:val="300"/>
          <w:jc w:val="center"/>
        </w:trPr>
        <w:tc>
          <w:tcPr>
            <w:tcW w:w="3402" w:type="dxa"/>
            <w:shd w:val="clear" w:color="auto" w:fill="auto"/>
            <w:noWrap/>
            <w:vAlign w:val="center"/>
            <w:hideMark/>
          </w:tcPr>
          <w:p w14:paraId="1C55AF17" w14:textId="2B5635C6" w:rsidR="00E03ED6" w:rsidRPr="008258E1" w:rsidRDefault="00136FDD"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If HFNO, length(days)</w:t>
            </w:r>
            <w:r w:rsidR="00E03ED6" w:rsidRPr="008258E1">
              <w:rPr>
                <w:rFonts w:eastAsia="Times New Roman" w:cs="Calibri"/>
                <w:b/>
                <w:color w:val="000000"/>
                <w:lang w:val="en-US" w:eastAsia="fr-FR"/>
              </w:rPr>
              <w:t xml:space="preserve"> (N=278) </w:t>
            </w:r>
          </w:p>
        </w:tc>
        <w:tc>
          <w:tcPr>
            <w:tcW w:w="1701" w:type="dxa"/>
            <w:shd w:val="clear" w:color="auto" w:fill="auto"/>
            <w:noWrap/>
            <w:vAlign w:val="bottom"/>
            <w:hideMark/>
          </w:tcPr>
          <w:p w14:paraId="1E2AB862"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7F055D3"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A1971C6"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D2E5E8C" w14:textId="77777777" w:rsidR="00E03ED6" w:rsidRPr="008258E1"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46EDDB61" w14:textId="77777777" w:rsidR="00E03ED6" w:rsidRPr="008258E1" w:rsidRDefault="00E03ED6" w:rsidP="00E37E60">
            <w:pPr>
              <w:spacing w:after="0" w:line="240" w:lineRule="auto"/>
              <w:rPr>
                <w:rFonts w:eastAsia="Times New Roman" w:cs="Calibri"/>
                <w:b/>
                <w:color w:val="000000"/>
                <w:lang w:val="en-US" w:eastAsia="fr-FR"/>
              </w:rPr>
            </w:pPr>
          </w:p>
        </w:tc>
      </w:tr>
      <w:tr w:rsidR="00E03ED6" w:rsidRPr="0024326E" w14:paraId="62CB1F60" w14:textId="77777777" w:rsidTr="00E37E60">
        <w:trPr>
          <w:trHeight w:val="300"/>
          <w:jc w:val="center"/>
        </w:trPr>
        <w:tc>
          <w:tcPr>
            <w:tcW w:w="3402" w:type="dxa"/>
            <w:shd w:val="clear" w:color="auto" w:fill="auto"/>
            <w:noWrap/>
            <w:vAlign w:val="center"/>
            <w:hideMark/>
          </w:tcPr>
          <w:p w14:paraId="3458A41F"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479D0457"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2.00 [1.00;6.00]</w:t>
            </w:r>
          </w:p>
        </w:tc>
        <w:tc>
          <w:tcPr>
            <w:tcW w:w="1701" w:type="dxa"/>
            <w:shd w:val="clear" w:color="auto" w:fill="auto"/>
            <w:noWrap/>
            <w:vAlign w:val="bottom"/>
            <w:hideMark/>
          </w:tcPr>
          <w:p w14:paraId="6DBC5798"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2.00 [1.00;5.00]</w:t>
            </w:r>
          </w:p>
        </w:tc>
        <w:tc>
          <w:tcPr>
            <w:tcW w:w="1701" w:type="dxa"/>
            <w:shd w:val="clear" w:color="auto" w:fill="auto"/>
            <w:noWrap/>
            <w:vAlign w:val="bottom"/>
            <w:hideMark/>
          </w:tcPr>
          <w:p w14:paraId="6D7941D3"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3.00 [1.00;7.00]</w:t>
            </w:r>
          </w:p>
        </w:tc>
        <w:tc>
          <w:tcPr>
            <w:tcW w:w="1701" w:type="dxa"/>
            <w:shd w:val="clear" w:color="auto" w:fill="auto"/>
            <w:noWrap/>
            <w:vAlign w:val="bottom"/>
            <w:hideMark/>
          </w:tcPr>
          <w:p w14:paraId="5FDF3329" w14:textId="77777777" w:rsidR="00E03ED6" w:rsidRPr="0024326E" w:rsidRDefault="00E03ED6"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10BAA14F"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0.31</w:t>
            </w:r>
          </w:p>
        </w:tc>
      </w:tr>
      <w:tr w:rsidR="00E03ED6" w:rsidRPr="0009503D" w14:paraId="1C15D543" w14:textId="77777777" w:rsidTr="00E37E60">
        <w:trPr>
          <w:trHeight w:val="300"/>
          <w:jc w:val="center"/>
        </w:trPr>
        <w:tc>
          <w:tcPr>
            <w:tcW w:w="3402" w:type="dxa"/>
            <w:shd w:val="clear" w:color="auto" w:fill="auto"/>
            <w:noWrap/>
            <w:vAlign w:val="center"/>
            <w:hideMark/>
          </w:tcPr>
          <w:p w14:paraId="257F9140" w14:textId="77777777" w:rsidR="00E03ED6" w:rsidRPr="008258E1" w:rsidRDefault="008258E1" w:rsidP="00E37E60">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t xml:space="preserve">Length of </w:t>
            </w:r>
            <w:r>
              <w:rPr>
                <w:rFonts w:eastAsia="Times New Roman" w:cs="Calibri"/>
                <w:b/>
                <w:color w:val="000000"/>
                <w:lang w:val="en-US" w:eastAsia="fr-FR"/>
              </w:rPr>
              <w:t>ward</w:t>
            </w:r>
            <w:r w:rsidRPr="008258E1">
              <w:rPr>
                <w:rFonts w:eastAsia="Times New Roman" w:cs="Calibri"/>
                <w:b/>
                <w:color w:val="000000"/>
                <w:lang w:val="en-US" w:eastAsia="fr-FR"/>
              </w:rPr>
              <w:t xml:space="preserve"> stay</w:t>
            </w:r>
            <w:r w:rsidR="00E03ED6" w:rsidRPr="008258E1">
              <w:rPr>
                <w:rFonts w:eastAsia="Times New Roman" w:cs="Calibri"/>
                <w:b/>
                <w:color w:val="000000"/>
                <w:lang w:val="en-US" w:eastAsia="fr-FR"/>
              </w:rPr>
              <w:t xml:space="preserve"> (</w:t>
            </w:r>
            <w:proofErr w:type="spellStart"/>
            <w:r w:rsidR="00E03ED6" w:rsidRPr="008258E1">
              <w:rPr>
                <w:rFonts w:eastAsia="Times New Roman" w:cs="Calibri"/>
                <w:b/>
                <w:color w:val="000000"/>
                <w:lang w:val="en-US" w:eastAsia="fr-FR"/>
              </w:rPr>
              <w:t>jours</w:t>
            </w:r>
            <w:proofErr w:type="spellEnd"/>
            <w:r w:rsidR="00E03ED6" w:rsidRPr="008258E1">
              <w:rPr>
                <w:rFonts w:eastAsia="Times New Roman" w:cs="Calibri"/>
                <w:b/>
                <w:color w:val="000000"/>
                <w:lang w:val="en-US" w:eastAsia="fr-FR"/>
              </w:rPr>
              <w:t xml:space="preserve">) (N=2585) </w:t>
            </w:r>
          </w:p>
        </w:tc>
        <w:tc>
          <w:tcPr>
            <w:tcW w:w="1701" w:type="dxa"/>
            <w:shd w:val="clear" w:color="auto" w:fill="auto"/>
            <w:noWrap/>
            <w:vAlign w:val="bottom"/>
            <w:hideMark/>
          </w:tcPr>
          <w:p w14:paraId="29F402E4"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11FB8FA"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90801A0"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3331073" w14:textId="77777777" w:rsidR="00E03ED6" w:rsidRPr="008258E1"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290ABD88" w14:textId="77777777" w:rsidR="00E03ED6" w:rsidRPr="008258E1" w:rsidRDefault="00E03ED6" w:rsidP="00E37E60">
            <w:pPr>
              <w:spacing w:after="0" w:line="240" w:lineRule="auto"/>
              <w:rPr>
                <w:rFonts w:eastAsia="Times New Roman" w:cs="Calibri"/>
                <w:b/>
                <w:color w:val="000000"/>
                <w:lang w:val="en-US" w:eastAsia="fr-FR"/>
              </w:rPr>
            </w:pPr>
          </w:p>
        </w:tc>
      </w:tr>
      <w:tr w:rsidR="00E03ED6" w:rsidRPr="0024326E" w14:paraId="69B2A8D8" w14:textId="77777777" w:rsidTr="00E37E60">
        <w:trPr>
          <w:trHeight w:val="300"/>
          <w:jc w:val="center"/>
        </w:trPr>
        <w:tc>
          <w:tcPr>
            <w:tcW w:w="3402" w:type="dxa"/>
            <w:shd w:val="clear" w:color="auto" w:fill="auto"/>
            <w:noWrap/>
            <w:vAlign w:val="center"/>
            <w:hideMark/>
          </w:tcPr>
          <w:p w14:paraId="0CA3306D"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6B858B34"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7.00 [4.00;12.00]</w:t>
            </w:r>
          </w:p>
        </w:tc>
        <w:tc>
          <w:tcPr>
            <w:tcW w:w="1701" w:type="dxa"/>
            <w:shd w:val="clear" w:color="auto" w:fill="auto"/>
            <w:noWrap/>
            <w:vAlign w:val="bottom"/>
            <w:hideMark/>
          </w:tcPr>
          <w:p w14:paraId="7D3A4046"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7.00 [4.00;11.00]</w:t>
            </w:r>
          </w:p>
        </w:tc>
        <w:tc>
          <w:tcPr>
            <w:tcW w:w="1701" w:type="dxa"/>
            <w:shd w:val="clear" w:color="auto" w:fill="auto"/>
            <w:noWrap/>
            <w:vAlign w:val="bottom"/>
            <w:hideMark/>
          </w:tcPr>
          <w:p w14:paraId="3EC0BD5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9.00 [6.00;15.50]</w:t>
            </w:r>
          </w:p>
        </w:tc>
        <w:tc>
          <w:tcPr>
            <w:tcW w:w="1701" w:type="dxa"/>
            <w:shd w:val="clear" w:color="auto" w:fill="auto"/>
            <w:noWrap/>
            <w:vAlign w:val="bottom"/>
            <w:hideMark/>
          </w:tcPr>
          <w:p w14:paraId="032C421F" w14:textId="77777777" w:rsidR="00E03ED6" w:rsidRPr="0024326E" w:rsidRDefault="00E03ED6"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53F14360"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09503D" w14:paraId="181F0BD2" w14:textId="77777777" w:rsidTr="00E37E60">
        <w:trPr>
          <w:trHeight w:val="300"/>
          <w:jc w:val="center"/>
        </w:trPr>
        <w:tc>
          <w:tcPr>
            <w:tcW w:w="3402" w:type="dxa"/>
            <w:shd w:val="clear" w:color="auto" w:fill="auto"/>
            <w:noWrap/>
            <w:vAlign w:val="center"/>
            <w:hideMark/>
          </w:tcPr>
          <w:p w14:paraId="060457B0" w14:textId="77777777" w:rsidR="00E03ED6" w:rsidRPr="008258E1" w:rsidRDefault="008258E1" w:rsidP="00E37E60">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t>Length of stay before ICU admission</w:t>
            </w:r>
            <w:r w:rsidR="00E03ED6" w:rsidRPr="008258E1">
              <w:rPr>
                <w:rFonts w:eastAsia="Times New Roman" w:cs="Calibri"/>
                <w:b/>
                <w:color w:val="000000"/>
                <w:lang w:val="en-US" w:eastAsia="fr-FR"/>
              </w:rPr>
              <w:t xml:space="preserve"> </w:t>
            </w:r>
            <w:r>
              <w:rPr>
                <w:rFonts w:eastAsia="Times New Roman" w:cs="Calibri"/>
                <w:b/>
                <w:color w:val="000000"/>
                <w:lang w:val="en-US" w:eastAsia="fr-FR"/>
              </w:rPr>
              <w:t>(days)</w:t>
            </w:r>
            <w:r w:rsidR="00E03ED6" w:rsidRPr="008258E1">
              <w:rPr>
                <w:rFonts w:eastAsia="Times New Roman" w:cs="Calibri"/>
                <w:b/>
                <w:color w:val="000000"/>
                <w:lang w:val="en-US" w:eastAsia="fr-FR"/>
              </w:rPr>
              <w:t xml:space="preserve">(N=2342) </w:t>
            </w:r>
          </w:p>
        </w:tc>
        <w:tc>
          <w:tcPr>
            <w:tcW w:w="1701" w:type="dxa"/>
            <w:shd w:val="clear" w:color="auto" w:fill="auto"/>
            <w:noWrap/>
            <w:vAlign w:val="bottom"/>
            <w:hideMark/>
          </w:tcPr>
          <w:p w14:paraId="6FA4C005"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E676BCA"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09EF47C"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D15F330" w14:textId="77777777" w:rsidR="00E03ED6" w:rsidRPr="008258E1"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7E1F76D7" w14:textId="77777777" w:rsidR="00E03ED6" w:rsidRPr="008258E1" w:rsidRDefault="00E03ED6" w:rsidP="00E37E60">
            <w:pPr>
              <w:spacing w:after="0" w:line="240" w:lineRule="auto"/>
              <w:rPr>
                <w:rFonts w:eastAsia="Times New Roman" w:cs="Calibri"/>
                <w:b/>
                <w:color w:val="000000"/>
                <w:lang w:val="en-US" w:eastAsia="fr-FR"/>
              </w:rPr>
            </w:pPr>
          </w:p>
        </w:tc>
      </w:tr>
      <w:tr w:rsidR="00E03ED6" w:rsidRPr="0024326E" w14:paraId="296191CF" w14:textId="77777777" w:rsidTr="00E37E60">
        <w:trPr>
          <w:trHeight w:val="300"/>
          <w:jc w:val="center"/>
        </w:trPr>
        <w:tc>
          <w:tcPr>
            <w:tcW w:w="3402" w:type="dxa"/>
            <w:shd w:val="clear" w:color="auto" w:fill="auto"/>
            <w:noWrap/>
            <w:vAlign w:val="center"/>
            <w:hideMark/>
          </w:tcPr>
          <w:p w14:paraId="7A15388C"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1B275B1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4.00 [2.00;8.00]</w:t>
            </w:r>
          </w:p>
        </w:tc>
        <w:tc>
          <w:tcPr>
            <w:tcW w:w="1701" w:type="dxa"/>
            <w:shd w:val="clear" w:color="auto" w:fill="auto"/>
            <w:noWrap/>
            <w:vAlign w:val="bottom"/>
            <w:hideMark/>
          </w:tcPr>
          <w:p w14:paraId="4FDDF0A5"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4.00 [2.00;8.00]</w:t>
            </w:r>
          </w:p>
        </w:tc>
        <w:tc>
          <w:tcPr>
            <w:tcW w:w="1701" w:type="dxa"/>
            <w:shd w:val="clear" w:color="auto" w:fill="auto"/>
            <w:noWrap/>
            <w:vAlign w:val="bottom"/>
            <w:hideMark/>
          </w:tcPr>
          <w:p w14:paraId="1065D6B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4.00 [2.00;9.00]</w:t>
            </w:r>
          </w:p>
        </w:tc>
        <w:tc>
          <w:tcPr>
            <w:tcW w:w="1701" w:type="dxa"/>
            <w:shd w:val="clear" w:color="auto" w:fill="auto"/>
            <w:noWrap/>
            <w:vAlign w:val="bottom"/>
            <w:hideMark/>
          </w:tcPr>
          <w:p w14:paraId="2DEBE09C" w14:textId="77777777" w:rsidR="00E03ED6" w:rsidRPr="0024326E" w:rsidRDefault="00E03ED6"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4D14933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0.49</w:t>
            </w:r>
          </w:p>
        </w:tc>
      </w:tr>
      <w:tr w:rsidR="00E03ED6" w:rsidRPr="0009503D" w14:paraId="23B66680" w14:textId="77777777" w:rsidTr="00E37E60">
        <w:trPr>
          <w:trHeight w:val="300"/>
          <w:jc w:val="center"/>
        </w:trPr>
        <w:tc>
          <w:tcPr>
            <w:tcW w:w="3402" w:type="dxa"/>
            <w:shd w:val="clear" w:color="auto" w:fill="auto"/>
            <w:noWrap/>
            <w:vAlign w:val="center"/>
            <w:hideMark/>
          </w:tcPr>
          <w:p w14:paraId="1F237556" w14:textId="77777777" w:rsidR="00E03ED6" w:rsidRPr="008258E1" w:rsidRDefault="008258E1" w:rsidP="00E37E60">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lastRenderedPageBreak/>
              <w:t>Length of ICU stay</w:t>
            </w:r>
            <w:r w:rsidR="00E03ED6" w:rsidRPr="008258E1">
              <w:rPr>
                <w:rFonts w:eastAsia="Times New Roman" w:cs="Calibri"/>
                <w:b/>
                <w:color w:val="000000"/>
                <w:lang w:val="en-US" w:eastAsia="fr-FR"/>
              </w:rPr>
              <w:t xml:space="preserve"> (</w:t>
            </w:r>
            <w:r>
              <w:rPr>
                <w:rFonts w:eastAsia="Times New Roman" w:cs="Calibri"/>
                <w:b/>
                <w:color w:val="000000"/>
                <w:lang w:val="en-US" w:eastAsia="fr-FR"/>
              </w:rPr>
              <w:t>days</w:t>
            </w:r>
            <w:r w:rsidR="00E03ED6" w:rsidRPr="008258E1">
              <w:rPr>
                <w:rFonts w:eastAsia="Times New Roman" w:cs="Calibri"/>
                <w:b/>
                <w:color w:val="000000"/>
                <w:lang w:val="en-US" w:eastAsia="fr-FR"/>
              </w:rPr>
              <w:t xml:space="preserve">) (N=2585) </w:t>
            </w:r>
          </w:p>
        </w:tc>
        <w:tc>
          <w:tcPr>
            <w:tcW w:w="1701" w:type="dxa"/>
            <w:shd w:val="clear" w:color="auto" w:fill="auto"/>
            <w:noWrap/>
            <w:vAlign w:val="bottom"/>
            <w:hideMark/>
          </w:tcPr>
          <w:p w14:paraId="2E59347E"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F3F8DDB"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431DA5C" w14:textId="77777777" w:rsidR="00E03ED6" w:rsidRPr="008258E1"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792C00E" w14:textId="77777777" w:rsidR="00E03ED6" w:rsidRPr="008258E1"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53DEC19C" w14:textId="77777777" w:rsidR="00E03ED6" w:rsidRPr="008258E1" w:rsidRDefault="00E03ED6" w:rsidP="00E37E60">
            <w:pPr>
              <w:spacing w:after="0" w:line="240" w:lineRule="auto"/>
              <w:rPr>
                <w:rFonts w:eastAsia="Times New Roman" w:cs="Calibri"/>
                <w:b/>
                <w:color w:val="000000"/>
                <w:lang w:val="en-US" w:eastAsia="fr-FR"/>
              </w:rPr>
            </w:pPr>
          </w:p>
        </w:tc>
      </w:tr>
      <w:tr w:rsidR="00E03ED6" w:rsidRPr="0024326E" w14:paraId="6DA5E0C5" w14:textId="77777777" w:rsidTr="00E37E60">
        <w:trPr>
          <w:trHeight w:val="300"/>
          <w:jc w:val="center"/>
        </w:trPr>
        <w:tc>
          <w:tcPr>
            <w:tcW w:w="3402" w:type="dxa"/>
            <w:shd w:val="clear" w:color="auto" w:fill="auto"/>
            <w:noWrap/>
            <w:vAlign w:val="center"/>
            <w:hideMark/>
          </w:tcPr>
          <w:p w14:paraId="2786F466"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7F5AB3DC"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0.00 [0.00;5.00]</w:t>
            </w:r>
          </w:p>
        </w:tc>
        <w:tc>
          <w:tcPr>
            <w:tcW w:w="1701" w:type="dxa"/>
            <w:shd w:val="clear" w:color="auto" w:fill="auto"/>
            <w:noWrap/>
            <w:vAlign w:val="bottom"/>
            <w:hideMark/>
          </w:tcPr>
          <w:p w14:paraId="55B2F1B6"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0.00 [0.00;5.00]</w:t>
            </w:r>
          </w:p>
        </w:tc>
        <w:tc>
          <w:tcPr>
            <w:tcW w:w="1701" w:type="dxa"/>
            <w:shd w:val="clear" w:color="auto" w:fill="auto"/>
            <w:noWrap/>
            <w:vAlign w:val="bottom"/>
            <w:hideMark/>
          </w:tcPr>
          <w:p w14:paraId="4CEFB772"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3.00 [0.00;9.00]</w:t>
            </w:r>
          </w:p>
        </w:tc>
        <w:tc>
          <w:tcPr>
            <w:tcW w:w="1701" w:type="dxa"/>
            <w:shd w:val="clear" w:color="auto" w:fill="auto"/>
            <w:noWrap/>
            <w:vAlign w:val="bottom"/>
            <w:hideMark/>
          </w:tcPr>
          <w:p w14:paraId="235D7292" w14:textId="77777777" w:rsidR="00E03ED6" w:rsidRPr="0024326E" w:rsidRDefault="00E03ED6"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530122EE"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03ED6" w:rsidRPr="0009503D" w14:paraId="7910BA17" w14:textId="77777777" w:rsidTr="00E37E60">
        <w:trPr>
          <w:trHeight w:val="300"/>
          <w:jc w:val="center"/>
        </w:trPr>
        <w:tc>
          <w:tcPr>
            <w:tcW w:w="3402" w:type="dxa"/>
            <w:shd w:val="clear" w:color="auto" w:fill="auto"/>
            <w:noWrap/>
            <w:vAlign w:val="center"/>
            <w:hideMark/>
          </w:tcPr>
          <w:p w14:paraId="0FACDD61" w14:textId="77777777" w:rsidR="00E03ED6" w:rsidRPr="008F3030" w:rsidRDefault="008258E1" w:rsidP="00E37E60">
            <w:pPr>
              <w:spacing w:after="0" w:line="240" w:lineRule="auto"/>
              <w:rPr>
                <w:rFonts w:eastAsia="Times New Roman" w:cs="Calibri"/>
                <w:b/>
                <w:color w:val="000000"/>
                <w:lang w:val="en-US" w:eastAsia="fr-FR"/>
              </w:rPr>
            </w:pPr>
            <w:r w:rsidRPr="008F3030">
              <w:rPr>
                <w:rFonts w:eastAsia="Times New Roman" w:cs="Calibri"/>
                <w:b/>
                <w:color w:val="000000"/>
                <w:lang w:val="en-US" w:eastAsia="fr-FR"/>
              </w:rPr>
              <w:t>Length of hospital stay</w:t>
            </w:r>
            <w:r w:rsidR="00E03ED6" w:rsidRPr="008F3030">
              <w:rPr>
                <w:rFonts w:eastAsia="Times New Roman" w:cs="Calibri"/>
                <w:b/>
                <w:color w:val="000000"/>
                <w:lang w:val="en-US" w:eastAsia="fr-FR"/>
              </w:rPr>
              <w:t xml:space="preserve"> (</w:t>
            </w:r>
            <w:r w:rsidR="008F3030">
              <w:rPr>
                <w:rFonts w:eastAsia="Times New Roman" w:cs="Calibri"/>
                <w:b/>
                <w:color w:val="000000"/>
                <w:lang w:val="en-US" w:eastAsia="fr-FR"/>
              </w:rPr>
              <w:t>days</w:t>
            </w:r>
            <w:r w:rsidR="00E03ED6" w:rsidRPr="008F3030">
              <w:rPr>
                <w:rFonts w:eastAsia="Times New Roman" w:cs="Calibri"/>
                <w:b/>
                <w:color w:val="000000"/>
                <w:lang w:val="en-US" w:eastAsia="fr-FR"/>
              </w:rPr>
              <w:t xml:space="preserve">) </w:t>
            </w:r>
          </w:p>
        </w:tc>
        <w:tc>
          <w:tcPr>
            <w:tcW w:w="1701" w:type="dxa"/>
            <w:shd w:val="clear" w:color="auto" w:fill="auto"/>
            <w:noWrap/>
            <w:vAlign w:val="bottom"/>
            <w:hideMark/>
          </w:tcPr>
          <w:p w14:paraId="75B596CB" w14:textId="77777777" w:rsidR="00E03ED6" w:rsidRPr="008F3030"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266F1AA" w14:textId="77777777" w:rsidR="00E03ED6" w:rsidRPr="008F3030"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251F3A1" w14:textId="77777777" w:rsidR="00E03ED6" w:rsidRPr="008F3030" w:rsidRDefault="00E03ED6"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CFC3E68" w14:textId="77777777" w:rsidR="00E03ED6" w:rsidRPr="008F3030" w:rsidRDefault="00E03ED6"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63F2EA3B" w14:textId="77777777" w:rsidR="00E03ED6" w:rsidRPr="008F3030" w:rsidRDefault="00E03ED6" w:rsidP="00E37E60">
            <w:pPr>
              <w:spacing w:after="0" w:line="240" w:lineRule="auto"/>
              <w:rPr>
                <w:rFonts w:eastAsia="Times New Roman" w:cs="Calibri"/>
                <w:b/>
                <w:color w:val="000000"/>
                <w:lang w:val="en-US" w:eastAsia="fr-FR"/>
              </w:rPr>
            </w:pPr>
          </w:p>
        </w:tc>
      </w:tr>
      <w:tr w:rsidR="00E03ED6" w:rsidRPr="0024326E" w14:paraId="2DE0A0F3" w14:textId="77777777" w:rsidTr="00E37E60">
        <w:trPr>
          <w:trHeight w:val="300"/>
          <w:jc w:val="center"/>
        </w:trPr>
        <w:tc>
          <w:tcPr>
            <w:tcW w:w="3402" w:type="dxa"/>
            <w:shd w:val="clear" w:color="auto" w:fill="auto"/>
            <w:noWrap/>
            <w:vAlign w:val="center"/>
            <w:hideMark/>
          </w:tcPr>
          <w:p w14:paraId="11BFEA56" w14:textId="77777777" w:rsidR="00E03ED6" w:rsidRPr="0024326E" w:rsidRDefault="00E03ED6"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0A8DA0F7"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10.00 [6.00;18.00]</w:t>
            </w:r>
          </w:p>
        </w:tc>
        <w:tc>
          <w:tcPr>
            <w:tcW w:w="1701" w:type="dxa"/>
            <w:shd w:val="clear" w:color="auto" w:fill="auto"/>
            <w:noWrap/>
            <w:vAlign w:val="bottom"/>
            <w:hideMark/>
          </w:tcPr>
          <w:p w14:paraId="7664CE49"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10.00 [6.00;17.00]</w:t>
            </w:r>
          </w:p>
        </w:tc>
        <w:tc>
          <w:tcPr>
            <w:tcW w:w="1701" w:type="dxa"/>
            <w:shd w:val="clear" w:color="auto" w:fill="auto"/>
            <w:noWrap/>
            <w:vAlign w:val="bottom"/>
            <w:hideMark/>
          </w:tcPr>
          <w:p w14:paraId="144ACD52"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15.00 [10.00;24.00]</w:t>
            </w:r>
          </w:p>
        </w:tc>
        <w:tc>
          <w:tcPr>
            <w:tcW w:w="1701" w:type="dxa"/>
            <w:shd w:val="clear" w:color="auto" w:fill="auto"/>
            <w:noWrap/>
            <w:vAlign w:val="bottom"/>
            <w:hideMark/>
          </w:tcPr>
          <w:p w14:paraId="14B36D93" w14:textId="77777777" w:rsidR="00E03ED6" w:rsidRPr="0024326E" w:rsidRDefault="00E03ED6"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427F6F60" w14:textId="77777777" w:rsidR="00E03ED6" w:rsidRPr="0024326E" w:rsidRDefault="00E03ED6"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bl>
    <w:p w14:paraId="1D8B5369" w14:textId="77777777" w:rsidR="00B843E1" w:rsidRDefault="00B843E1" w:rsidP="00AD17C6">
      <w:pPr>
        <w:rPr>
          <w:lang w:val="en-US"/>
        </w:rPr>
      </w:pPr>
    </w:p>
    <w:p w14:paraId="050BA16A" w14:textId="77777777" w:rsidR="004616F4" w:rsidRDefault="004616F4">
      <w:pPr>
        <w:rPr>
          <w:u w:val="single"/>
          <w:lang w:val="en-US"/>
        </w:rPr>
      </w:pPr>
      <w:r>
        <w:rPr>
          <w:u w:val="single"/>
          <w:lang w:val="en-US"/>
        </w:rPr>
        <w:br w:type="page"/>
      </w:r>
    </w:p>
    <w:p w14:paraId="2A3C10D0" w14:textId="395AF13E" w:rsidR="004616F4" w:rsidRDefault="00DE7A3A" w:rsidP="00DE7A3A">
      <w:pPr>
        <w:rPr>
          <w:lang w:val="en-US"/>
        </w:rPr>
      </w:pPr>
      <w:r w:rsidRPr="00B80FA1">
        <w:rPr>
          <w:u w:val="single"/>
          <w:lang w:val="en-US"/>
        </w:rPr>
        <w:lastRenderedPageBreak/>
        <w:t xml:space="preserve">Supplementary table </w:t>
      </w:r>
      <w:r w:rsidR="00FA11E0">
        <w:rPr>
          <w:u w:val="single"/>
          <w:lang w:val="en-US"/>
        </w:rPr>
        <w:t>4</w:t>
      </w:r>
      <w:r w:rsidRPr="00B80FA1">
        <w:rPr>
          <w:lang w:val="en-US"/>
        </w:rPr>
        <w:t>: Evolution during hospital stay: patient only requiring ward hospitalization (“ward group”</w:t>
      </w:r>
      <w:proofErr w:type="gramStart"/>
      <w:r w:rsidRPr="00B80FA1">
        <w:rPr>
          <w:lang w:val="en-US"/>
        </w:rPr>
        <w:t>) :</w:t>
      </w:r>
      <w:proofErr w:type="gramEnd"/>
      <w:r w:rsidRPr="00B80FA1">
        <w:rPr>
          <w:lang w:val="en-US"/>
        </w:rPr>
        <w:t xml:space="preserve"> </w:t>
      </w:r>
      <w:proofErr w:type="spellStart"/>
      <w:r w:rsidRPr="00B80FA1">
        <w:rPr>
          <w:lang w:val="en-US"/>
        </w:rPr>
        <w:t>Tocilizumab</w:t>
      </w:r>
      <w:proofErr w:type="spellEnd"/>
      <w:r w:rsidRPr="00B80FA1">
        <w:rPr>
          <w:lang w:val="en-US"/>
        </w:rPr>
        <w:t xml:space="preserve"> vs no </w:t>
      </w:r>
      <w:proofErr w:type="spellStart"/>
      <w:r w:rsidRPr="00B80FA1">
        <w:rPr>
          <w:lang w:val="en-US"/>
        </w:rPr>
        <w:t>Tocilizumab</w:t>
      </w:r>
      <w:proofErr w:type="spellEnd"/>
    </w:p>
    <w:tbl>
      <w:tblPr>
        <w:tblW w:w="11381"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1175"/>
      </w:tblGrid>
      <w:tr w:rsidR="00EF113D" w:rsidRPr="0024326E" w14:paraId="373F3983" w14:textId="77777777" w:rsidTr="00B368B8">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5D5DC2F8" w14:textId="77777777" w:rsidR="00EF113D" w:rsidRPr="00633CE1" w:rsidRDefault="00EF113D" w:rsidP="00E37E60">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710D81E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Total (N=1603)</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2E3D64A5" w14:textId="77777777" w:rsidR="00EF113D" w:rsidRPr="0024326E" w:rsidRDefault="00DA2091" w:rsidP="00E37E60">
            <w:pPr>
              <w:spacing w:after="0" w:line="240" w:lineRule="auto"/>
              <w:jc w:val="center"/>
              <w:rPr>
                <w:rFonts w:eastAsia="Times New Roman" w:cs="Calibri"/>
                <w:color w:val="000000"/>
                <w:lang w:eastAsia="fr-FR"/>
              </w:rPr>
            </w:pPr>
            <w:r>
              <w:rPr>
                <w:rFonts w:eastAsia="Times New Roman" w:cs="Calibri"/>
                <w:color w:val="000000"/>
                <w:lang w:eastAsia="fr-FR"/>
              </w:rPr>
              <w:t>No</w:t>
            </w:r>
            <w:r w:rsidR="00EF113D" w:rsidRPr="0024326E">
              <w:rPr>
                <w:rFonts w:eastAsia="Times New Roman" w:cs="Calibri"/>
                <w:color w:val="000000"/>
                <w:lang w:eastAsia="fr-FR"/>
              </w:rPr>
              <w:t xml:space="preserve"> </w:t>
            </w:r>
            <w:proofErr w:type="spellStart"/>
            <w:r>
              <w:rPr>
                <w:rFonts w:eastAsia="Times New Roman" w:cs="Calibri"/>
                <w:color w:val="000000"/>
                <w:lang w:eastAsia="fr-FR"/>
              </w:rPr>
              <w:t>T</w:t>
            </w:r>
            <w:r w:rsidR="00EF113D" w:rsidRPr="0024326E">
              <w:rPr>
                <w:rFonts w:eastAsia="Times New Roman" w:cs="Calibri"/>
                <w:color w:val="000000"/>
                <w:lang w:eastAsia="fr-FR"/>
              </w:rPr>
              <w:t>ocilizumab</w:t>
            </w:r>
            <w:proofErr w:type="spellEnd"/>
            <w:r w:rsidR="00EF113D" w:rsidRPr="0024326E">
              <w:rPr>
                <w:rFonts w:eastAsia="Times New Roman" w:cs="Calibri"/>
                <w:color w:val="000000"/>
                <w:lang w:eastAsia="fr-FR"/>
              </w:rPr>
              <w:t xml:space="preserve"> (N=1523)</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044ACCCF" w14:textId="77777777" w:rsidR="00EF113D" w:rsidRPr="0024326E" w:rsidRDefault="00EF113D" w:rsidP="00E37E60">
            <w:pPr>
              <w:spacing w:after="0" w:line="240" w:lineRule="auto"/>
              <w:jc w:val="center"/>
              <w:rPr>
                <w:rFonts w:eastAsia="Times New Roman" w:cs="Calibri"/>
                <w:color w:val="000000"/>
                <w:lang w:eastAsia="fr-FR"/>
              </w:rPr>
            </w:pPr>
            <w:proofErr w:type="spellStart"/>
            <w:r w:rsidRPr="0024326E">
              <w:rPr>
                <w:rFonts w:eastAsia="Times New Roman" w:cs="Calibri"/>
                <w:color w:val="000000"/>
                <w:lang w:eastAsia="fr-FR"/>
              </w:rPr>
              <w:t>Tocilizumab</w:t>
            </w:r>
            <w:proofErr w:type="spellEnd"/>
            <w:r w:rsidRPr="0024326E">
              <w:rPr>
                <w:rFonts w:eastAsia="Times New Roman" w:cs="Calibri"/>
                <w:color w:val="000000"/>
                <w:lang w:eastAsia="fr-FR"/>
              </w:rPr>
              <w:t xml:space="preserve"> (N=80)</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449FE3E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OR [IC95%]</w:t>
            </w:r>
          </w:p>
        </w:tc>
        <w:tc>
          <w:tcPr>
            <w:tcW w:w="1175" w:type="dxa"/>
            <w:tcBorders>
              <w:top w:val="single" w:sz="4" w:space="0" w:color="auto"/>
              <w:bottom w:val="single" w:sz="4" w:space="0" w:color="auto"/>
            </w:tcBorders>
            <w:shd w:val="clear" w:color="auto" w:fill="D9D9D9" w:themeFill="background1" w:themeFillShade="D9"/>
            <w:noWrap/>
            <w:vAlign w:val="bottom"/>
            <w:hideMark/>
          </w:tcPr>
          <w:p w14:paraId="44F64844"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p</w:t>
            </w:r>
          </w:p>
        </w:tc>
      </w:tr>
      <w:tr w:rsidR="00EF113D" w:rsidRPr="0024326E" w14:paraId="2FEA09A8" w14:textId="77777777" w:rsidTr="00B368B8">
        <w:trPr>
          <w:trHeight w:val="300"/>
          <w:jc w:val="center"/>
        </w:trPr>
        <w:tc>
          <w:tcPr>
            <w:tcW w:w="3402" w:type="dxa"/>
            <w:tcBorders>
              <w:top w:val="single" w:sz="4" w:space="0" w:color="auto"/>
            </w:tcBorders>
            <w:shd w:val="clear" w:color="auto" w:fill="auto"/>
            <w:noWrap/>
            <w:vAlign w:val="center"/>
            <w:hideMark/>
          </w:tcPr>
          <w:p w14:paraId="0F8E2425" w14:textId="294483AE" w:rsidR="00EF113D" w:rsidRPr="0024326E" w:rsidRDefault="00B368B8" w:rsidP="00E37E60">
            <w:pPr>
              <w:spacing w:after="0" w:line="240" w:lineRule="auto"/>
              <w:rPr>
                <w:rFonts w:eastAsia="Times New Roman" w:cs="Calibri"/>
                <w:b/>
                <w:color w:val="000000"/>
                <w:lang w:eastAsia="fr-FR"/>
              </w:rPr>
            </w:pPr>
            <w:r>
              <w:rPr>
                <w:rFonts w:eastAsia="Times New Roman" w:cs="Calibri"/>
                <w:b/>
                <w:color w:val="000000"/>
                <w:lang w:eastAsia="fr-FR"/>
              </w:rPr>
              <w:t>New a</w:t>
            </w:r>
            <w:r w:rsidR="00EF113D" w:rsidRPr="0024326E">
              <w:rPr>
                <w:rFonts w:eastAsia="Times New Roman" w:cs="Calibri"/>
                <w:b/>
                <w:color w:val="000000"/>
                <w:lang w:eastAsia="fr-FR"/>
              </w:rPr>
              <w:t>nticoagulation (N=1596)</w:t>
            </w:r>
            <w:r w:rsidR="00EF113D">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5B0D52D7" w14:textId="77777777" w:rsidR="00EF113D" w:rsidRPr="0024326E" w:rsidRDefault="00EF113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292FF32D" w14:textId="77777777" w:rsidR="00EF113D" w:rsidRPr="0024326E" w:rsidRDefault="00EF113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2F90BC7F" w14:textId="77777777" w:rsidR="00EF113D" w:rsidRPr="0024326E" w:rsidRDefault="00EF113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5E9C21FC" w14:textId="77777777" w:rsidR="00EF113D" w:rsidRPr="0024326E" w:rsidRDefault="00EF113D" w:rsidP="00E37E60">
            <w:pPr>
              <w:spacing w:after="0" w:line="240" w:lineRule="auto"/>
              <w:rPr>
                <w:rFonts w:eastAsia="Times New Roman" w:cs="Calibri"/>
                <w:b/>
                <w:color w:val="000000"/>
                <w:lang w:eastAsia="fr-FR"/>
              </w:rPr>
            </w:pPr>
          </w:p>
        </w:tc>
        <w:tc>
          <w:tcPr>
            <w:tcW w:w="1175" w:type="dxa"/>
            <w:tcBorders>
              <w:top w:val="single" w:sz="4" w:space="0" w:color="auto"/>
            </w:tcBorders>
            <w:shd w:val="clear" w:color="auto" w:fill="auto"/>
            <w:noWrap/>
            <w:vAlign w:val="bottom"/>
            <w:hideMark/>
          </w:tcPr>
          <w:p w14:paraId="26D0B630" w14:textId="77777777" w:rsidR="00EF113D" w:rsidRPr="0024326E" w:rsidRDefault="00EF113D" w:rsidP="00E37E60">
            <w:pPr>
              <w:spacing w:after="0" w:line="240" w:lineRule="auto"/>
              <w:rPr>
                <w:rFonts w:eastAsia="Times New Roman" w:cs="Calibri"/>
                <w:b/>
                <w:color w:val="000000"/>
                <w:lang w:eastAsia="fr-FR"/>
              </w:rPr>
            </w:pPr>
          </w:p>
        </w:tc>
      </w:tr>
      <w:tr w:rsidR="00EF113D" w:rsidRPr="0024326E" w14:paraId="518B6BC1" w14:textId="77777777" w:rsidTr="00B368B8">
        <w:trPr>
          <w:trHeight w:val="300"/>
          <w:jc w:val="center"/>
        </w:trPr>
        <w:tc>
          <w:tcPr>
            <w:tcW w:w="3402" w:type="dxa"/>
            <w:shd w:val="clear" w:color="auto" w:fill="auto"/>
            <w:noWrap/>
            <w:vAlign w:val="center"/>
            <w:hideMark/>
          </w:tcPr>
          <w:p w14:paraId="4081510A" w14:textId="447C6900" w:rsidR="00EF113D" w:rsidRPr="0024326E" w:rsidRDefault="00EF113D" w:rsidP="00E37E60">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C0ED2C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135 (8.46%)</w:t>
            </w:r>
          </w:p>
        </w:tc>
        <w:tc>
          <w:tcPr>
            <w:tcW w:w="1701" w:type="dxa"/>
            <w:shd w:val="clear" w:color="auto" w:fill="auto"/>
            <w:noWrap/>
            <w:vAlign w:val="bottom"/>
            <w:hideMark/>
          </w:tcPr>
          <w:p w14:paraId="1FB84C6C"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135 (8.91%)</w:t>
            </w:r>
          </w:p>
        </w:tc>
        <w:tc>
          <w:tcPr>
            <w:tcW w:w="1701" w:type="dxa"/>
            <w:shd w:val="clear" w:color="auto" w:fill="auto"/>
            <w:noWrap/>
            <w:vAlign w:val="bottom"/>
            <w:hideMark/>
          </w:tcPr>
          <w:p w14:paraId="7C588CF1"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6C24053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3CE8FF00"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0.0053</w:t>
            </w:r>
          </w:p>
        </w:tc>
      </w:tr>
      <w:tr w:rsidR="00EF113D" w:rsidRPr="0024326E" w14:paraId="0EA5530A" w14:textId="77777777" w:rsidTr="00B368B8">
        <w:trPr>
          <w:trHeight w:val="300"/>
          <w:jc w:val="center"/>
        </w:trPr>
        <w:tc>
          <w:tcPr>
            <w:tcW w:w="3402" w:type="dxa"/>
            <w:shd w:val="clear" w:color="auto" w:fill="auto"/>
            <w:noWrap/>
            <w:vAlign w:val="center"/>
            <w:hideMark/>
          </w:tcPr>
          <w:p w14:paraId="6CB1B343" w14:textId="0A6DA41B" w:rsidR="00EF113D" w:rsidRPr="0024326E" w:rsidRDefault="00B368B8" w:rsidP="00E37E60">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sidR="00EF113D">
              <w:rPr>
                <w:rFonts w:eastAsia="Times New Roman" w:cs="Calibri"/>
                <w:color w:val="000000"/>
                <w:lang w:eastAsia="fr-FR"/>
              </w:rPr>
              <w:t xml:space="preserve"> </w:t>
            </w:r>
          </w:p>
        </w:tc>
        <w:tc>
          <w:tcPr>
            <w:tcW w:w="1701" w:type="dxa"/>
            <w:shd w:val="clear" w:color="auto" w:fill="auto"/>
            <w:noWrap/>
            <w:vAlign w:val="bottom"/>
            <w:hideMark/>
          </w:tcPr>
          <w:p w14:paraId="7836FD9C"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1461 (91.54%)</w:t>
            </w:r>
          </w:p>
        </w:tc>
        <w:tc>
          <w:tcPr>
            <w:tcW w:w="1701" w:type="dxa"/>
            <w:shd w:val="clear" w:color="auto" w:fill="auto"/>
            <w:noWrap/>
            <w:vAlign w:val="bottom"/>
            <w:hideMark/>
          </w:tcPr>
          <w:p w14:paraId="70AC35A4"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1381 (91.09%)</w:t>
            </w:r>
          </w:p>
        </w:tc>
        <w:tc>
          <w:tcPr>
            <w:tcW w:w="1701" w:type="dxa"/>
            <w:shd w:val="clear" w:color="auto" w:fill="auto"/>
            <w:noWrap/>
            <w:vAlign w:val="bottom"/>
            <w:hideMark/>
          </w:tcPr>
          <w:p w14:paraId="1992CB0B"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80 (100.00%)</w:t>
            </w:r>
          </w:p>
        </w:tc>
        <w:tc>
          <w:tcPr>
            <w:tcW w:w="1701" w:type="dxa"/>
            <w:shd w:val="clear" w:color="auto" w:fill="auto"/>
            <w:noWrap/>
            <w:vAlign w:val="bottom"/>
            <w:hideMark/>
          </w:tcPr>
          <w:p w14:paraId="2F841F3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1175" w:type="dxa"/>
            <w:shd w:val="clear" w:color="auto" w:fill="auto"/>
            <w:noWrap/>
            <w:vAlign w:val="bottom"/>
            <w:hideMark/>
          </w:tcPr>
          <w:p w14:paraId="7AAE5FFC" w14:textId="77777777" w:rsidR="00EF113D" w:rsidRPr="0024326E" w:rsidRDefault="00EF113D" w:rsidP="00E37E60">
            <w:pPr>
              <w:spacing w:after="0" w:line="240" w:lineRule="auto"/>
              <w:jc w:val="center"/>
              <w:rPr>
                <w:rFonts w:eastAsia="Times New Roman" w:cs="Calibri"/>
                <w:color w:val="000000"/>
                <w:lang w:eastAsia="fr-FR"/>
              </w:rPr>
            </w:pPr>
          </w:p>
        </w:tc>
      </w:tr>
      <w:tr w:rsidR="00EF113D" w:rsidRPr="0024326E" w14:paraId="3F73C2B3" w14:textId="77777777" w:rsidTr="00B368B8">
        <w:trPr>
          <w:trHeight w:val="300"/>
          <w:jc w:val="center"/>
        </w:trPr>
        <w:tc>
          <w:tcPr>
            <w:tcW w:w="3402" w:type="dxa"/>
            <w:shd w:val="clear" w:color="auto" w:fill="auto"/>
            <w:noWrap/>
            <w:vAlign w:val="center"/>
            <w:hideMark/>
          </w:tcPr>
          <w:p w14:paraId="776F7049" w14:textId="77777777" w:rsidR="00EF113D" w:rsidRPr="0024326E" w:rsidRDefault="00EF113D" w:rsidP="00E37E60">
            <w:pPr>
              <w:spacing w:after="0" w:line="240" w:lineRule="auto"/>
              <w:rPr>
                <w:rFonts w:eastAsia="Times New Roman" w:cs="Calibri"/>
                <w:b/>
                <w:color w:val="000000"/>
                <w:lang w:eastAsia="fr-FR"/>
              </w:rPr>
            </w:pPr>
            <w:r w:rsidRPr="0024326E">
              <w:rPr>
                <w:rFonts w:eastAsia="Times New Roman" w:cs="Calibri"/>
                <w:b/>
                <w:color w:val="000000"/>
                <w:lang w:eastAsia="fr-FR"/>
              </w:rPr>
              <w:t>Anticoagulation, type (N=1461)</w:t>
            </w:r>
            <w:r>
              <w:rPr>
                <w:rFonts w:eastAsia="Times New Roman" w:cs="Calibri"/>
                <w:b/>
                <w:color w:val="000000"/>
                <w:lang w:eastAsia="fr-FR"/>
              </w:rPr>
              <w:t xml:space="preserve"> </w:t>
            </w:r>
          </w:p>
        </w:tc>
        <w:tc>
          <w:tcPr>
            <w:tcW w:w="1701" w:type="dxa"/>
            <w:shd w:val="clear" w:color="auto" w:fill="auto"/>
            <w:noWrap/>
            <w:vAlign w:val="bottom"/>
            <w:hideMark/>
          </w:tcPr>
          <w:p w14:paraId="09338F91"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A17687F"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F109A2B"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AF728C9"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46E44D3C" w14:textId="77777777" w:rsidR="00EF113D" w:rsidRPr="0024326E" w:rsidRDefault="00EF113D" w:rsidP="00E37E60">
            <w:pPr>
              <w:spacing w:after="0" w:line="240" w:lineRule="auto"/>
              <w:rPr>
                <w:rFonts w:eastAsia="Times New Roman" w:cs="Calibri"/>
                <w:b/>
                <w:color w:val="000000"/>
                <w:lang w:eastAsia="fr-FR"/>
              </w:rPr>
            </w:pPr>
          </w:p>
        </w:tc>
      </w:tr>
      <w:tr w:rsidR="00633CE1" w:rsidRPr="0024326E" w14:paraId="2EEEF415" w14:textId="77777777" w:rsidTr="00B368B8">
        <w:trPr>
          <w:trHeight w:val="300"/>
          <w:jc w:val="center"/>
        </w:trPr>
        <w:tc>
          <w:tcPr>
            <w:tcW w:w="3402" w:type="dxa"/>
            <w:shd w:val="clear" w:color="auto" w:fill="auto"/>
            <w:noWrap/>
            <w:vAlign w:val="center"/>
            <w:hideMark/>
          </w:tcPr>
          <w:p w14:paraId="570126F1" w14:textId="4D5CEAD2" w:rsidR="00633CE1" w:rsidRPr="0024326E" w:rsidRDefault="00633CE1" w:rsidP="00633CE1">
            <w:pPr>
              <w:spacing w:after="0" w:line="240" w:lineRule="auto"/>
              <w:jc w:val="right"/>
              <w:rPr>
                <w:rFonts w:eastAsia="Times New Roman" w:cs="Calibri"/>
                <w:color w:val="000000"/>
                <w:lang w:eastAsia="fr-FR"/>
              </w:rPr>
            </w:pPr>
            <w:r w:rsidRPr="0024326E">
              <w:rPr>
                <w:rFonts w:eastAsia="Times New Roman" w:cs="Calibri"/>
                <w:color w:val="000000"/>
                <w:lang w:eastAsia="fr-FR"/>
              </w:rPr>
              <w:t>Curative</w:t>
            </w:r>
            <w:r>
              <w:rPr>
                <w:rFonts w:eastAsia="Times New Roman" w:cs="Calibri"/>
                <w:color w:val="000000"/>
                <w:lang w:eastAsia="fr-FR"/>
              </w:rPr>
              <w:t xml:space="preserve"> </w:t>
            </w:r>
          </w:p>
        </w:tc>
        <w:tc>
          <w:tcPr>
            <w:tcW w:w="1701" w:type="dxa"/>
            <w:shd w:val="clear" w:color="auto" w:fill="auto"/>
            <w:noWrap/>
            <w:vAlign w:val="bottom"/>
            <w:hideMark/>
          </w:tcPr>
          <w:p w14:paraId="623FC430"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367 (25.12%)</w:t>
            </w:r>
          </w:p>
        </w:tc>
        <w:tc>
          <w:tcPr>
            <w:tcW w:w="1701" w:type="dxa"/>
            <w:shd w:val="clear" w:color="auto" w:fill="auto"/>
            <w:noWrap/>
            <w:vAlign w:val="bottom"/>
            <w:hideMark/>
          </w:tcPr>
          <w:p w14:paraId="43566112"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347 (25.13%)</w:t>
            </w:r>
          </w:p>
        </w:tc>
        <w:tc>
          <w:tcPr>
            <w:tcW w:w="1701" w:type="dxa"/>
            <w:shd w:val="clear" w:color="auto" w:fill="auto"/>
            <w:noWrap/>
            <w:vAlign w:val="bottom"/>
            <w:hideMark/>
          </w:tcPr>
          <w:p w14:paraId="63D6BE23"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20 (25.00%)</w:t>
            </w:r>
          </w:p>
        </w:tc>
        <w:tc>
          <w:tcPr>
            <w:tcW w:w="1701" w:type="dxa"/>
            <w:shd w:val="clear" w:color="auto" w:fill="auto"/>
            <w:noWrap/>
            <w:vAlign w:val="bottom"/>
            <w:hideMark/>
          </w:tcPr>
          <w:p w14:paraId="4049334F"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53423B6F"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633CE1" w:rsidRPr="0024326E" w14:paraId="2164CFB4" w14:textId="77777777" w:rsidTr="00B368B8">
        <w:trPr>
          <w:trHeight w:val="300"/>
          <w:jc w:val="center"/>
        </w:trPr>
        <w:tc>
          <w:tcPr>
            <w:tcW w:w="3402" w:type="dxa"/>
            <w:shd w:val="clear" w:color="auto" w:fill="auto"/>
            <w:noWrap/>
            <w:vAlign w:val="center"/>
            <w:hideMark/>
          </w:tcPr>
          <w:p w14:paraId="20168C8B" w14:textId="78F0DFF8" w:rsidR="00633CE1" w:rsidRPr="0024326E" w:rsidRDefault="00633CE1" w:rsidP="00633CE1">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Pr</w:t>
            </w:r>
            <w:r>
              <w:rPr>
                <w:rFonts w:eastAsia="Times New Roman" w:cs="Calibri"/>
                <w:color w:val="000000"/>
                <w:lang w:eastAsia="fr-FR"/>
              </w:rPr>
              <w:t>e</w:t>
            </w:r>
            <w:r w:rsidRPr="0024326E">
              <w:rPr>
                <w:rFonts w:eastAsia="Times New Roman" w:cs="Calibri"/>
                <w:color w:val="000000"/>
                <w:lang w:eastAsia="fr-FR"/>
              </w:rPr>
              <w:t>ventive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C1A6BD8"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652 (44.63%)</w:t>
            </w:r>
          </w:p>
        </w:tc>
        <w:tc>
          <w:tcPr>
            <w:tcW w:w="1701" w:type="dxa"/>
            <w:shd w:val="clear" w:color="auto" w:fill="auto"/>
            <w:noWrap/>
            <w:vAlign w:val="bottom"/>
            <w:hideMark/>
          </w:tcPr>
          <w:p w14:paraId="3CA7EB8D"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643 (46.56%)</w:t>
            </w:r>
          </w:p>
        </w:tc>
        <w:tc>
          <w:tcPr>
            <w:tcW w:w="1701" w:type="dxa"/>
            <w:shd w:val="clear" w:color="auto" w:fill="auto"/>
            <w:noWrap/>
            <w:vAlign w:val="bottom"/>
            <w:hideMark/>
          </w:tcPr>
          <w:p w14:paraId="11044EE7"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9 (11.25%)</w:t>
            </w:r>
          </w:p>
        </w:tc>
        <w:tc>
          <w:tcPr>
            <w:tcW w:w="1701" w:type="dxa"/>
            <w:shd w:val="clear" w:color="auto" w:fill="auto"/>
            <w:noWrap/>
            <w:vAlign w:val="bottom"/>
            <w:hideMark/>
          </w:tcPr>
          <w:p w14:paraId="6D539CC0"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0.24 [0.11;0.54]</w:t>
            </w:r>
          </w:p>
        </w:tc>
        <w:tc>
          <w:tcPr>
            <w:tcW w:w="1175" w:type="dxa"/>
            <w:shd w:val="clear" w:color="auto" w:fill="auto"/>
            <w:noWrap/>
            <w:vAlign w:val="bottom"/>
            <w:hideMark/>
          </w:tcPr>
          <w:p w14:paraId="3BB171BA" w14:textId="77777777" w:rsidR="00633CE1" w:rsidRPr="0024326E" w:rsidRDefault="00633CE1" w:rsidP="00633CE1">
            <w:pPr>
              <w:spacing w:after="0" w:line="240" w:lineRule="auto"/>
              <w:jc w:val="center"/>
              <w:rPr>
                <w:rFonts w:eastAsia="Times New Roman" w:cs="Calibri"/>
                <w:color w:val="000000"/>
                <w:lang w:eastAsia="fr-FR"/>
              </w:rPr>
            </w:pPr>
          </w:p>
        </w:tc>
      </w:tr>
      <w:tr w:rsidR="00633CE1" w:rsidRPr="0024326E" w14:paraId="11869D7D" w14:textId="77777777" w:rsidTr="00B368B8">
        <w:trPr>
          <w:trHeight w:val="300"/>
          <w:jc w:val="center"/>
        </w:trPr>
        <w:tc>
          <w:tcPr>
            <w:tcW w:w="3402" w:type="dxa"/>
            <w:shd w:val="clear" w:color="auto" w:fill="auto"/>
            <w:noWrap/>
            <w:vAlign w:val="center"/>
            <w:hideMark/>
          </w:tcPr>
          <w:p w14:paraId="3380EBC8" w14:textId="1A5DCD97" w:rsidR="00633CE1" w:rsidRPr="0024326E" w:rsidRDefault="00633CE1" w:rsidP="00633CE1">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Intermediate</w:t>
            </w:r>
            <w:proofErr w:type="spellEnd"/>
            <w:r>
              <w:rPr>
                <w:rFonts w:eastAsia="Times New Roman" w:cs="Calibri"/>
                <w:color w:val="000000"/>
                <w:lang w:eastAsia="fr-FR"/>
              </w:rPr>
              <w:t xml:space="preserve"> dose </w:t>
            </w:r>
            <w:proofErr w:type="spellStart"/>
            <w:r>
              <w:rPr>
                <w:rFonts w:eastAsia="Times New Roman" w:cs="Calibri"/>
                <w:color w:val="000000"/>
                <w:lang w:eastAsia="fr-FR"/>
              </w:rPr>
              <w:t>preventive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73E224C1"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442 (30.25%)</w:t>
            </w:r>
          </w:p>
        </w:tc>
        <w:tc>
          <w:tcPr>
            <w:tcW w:w="1701" w:type="dxa"/>
            <w:shd w:val="clear" w:color="auto" w:fill="auto"/>
            <w:noWrap/>
            <w:vAlign w:val="bottom"/>
            <w:hideMark/>
          </w:tcPr>
          <w:p w14:paraId="45A8FCCB"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391 (28.31%)</w:t>
            </w:r>
          </w:p>
        </w:tc>
        <w:tc>
          <w:tcPr>
            <w:tcW w:w="1701" w:type="dxa"/>
            <w:shd w:val="clear" w:color="auto" w:fill="auto"/>
            <w:noWrap/>
            <w:vAlign w:val="bottom"/>
            <w:hideMark/>
          </w:tcPr>
          <w:p w14:paraId="7EF6DB2C"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51 (63.75%)</w:t>
            </w:r>
          </w:p>
        </w:tc>
        <w:tc>
          <w:tcPr>
            <w:tcW w:w="1701" w:type="dxa"/>
            <w:shd w:val="clear" w:color="auto" w:fill="auto"/>
            <w:noWrap/>
            <w:vAlign w:val="bottom"/>
            <w:hideMark/>
          </w:tcPr>
          <w:p w14:paraId="5F43289C"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2.26 [1.32;3.87]</w:t>
            </w:r>
          </w:p>
        </w:tc>
        <w:tc>
          <w:tcPr>
            <w:tcW w:w="1175" w:type="dxa"/>
            <w:shd w:val="clear" w:color="auto" w:fill="auto"/>
            <w:noWrap/>
            <w:vAlign w:val="bottom"/>
            <w:hideMark/>
          </w:tcPr>
          <w:p w14:paraId="2E79CBA7" w14:textId="77777777" w:rsidR="00633CE1" w:rsidRPr="0024326E" w:rsidRDefault="00633CE1" w:rsidP="00633CE1">
            <w:pPr>
              <w:spacing w:after="0" w:line="240" w:lineRule="auto"/>
              <w:jc w:val="center"/>
              <w:rPr>
                <w:rFonts w:eastAsia="Times New Roman" w:cs="Calibri"/>
                <w:color w:val="000000"/>
                <w:lang w:eastAsia="fr-FR"/>
              </w:rPr>
            </w:pPr>
          </w:p>
        </w:tc>
      </w:tr>
      <w:tr w:rsidR="00EF113D" w:rsidRPr="0024326E" w14:paraId="7D8D2425" w14:textId="77777777" w:rsidTr="00B368B8">
        <w:trPr>
          <w:trHeight w:val="300"/>
          <w:jc w:val="center"/>
        </w:trPr>
        <w:tc>
          <w:tcPr>
            <w:tcW w:w="3402" w:type="dxa"/>
            <w:shd w:val="clear" w:color="auto" w:fill="auto"/>
            <w:noWrap/>
            <w:vAlign w:val="center"/>
            <w:hideMark/>
          </w:tcPr>
          <w:p w14:paraId="74547363" w14:textId="148700BD" w:rsidR="00EF113D" w:rsidRPr="0024326E" w:rsidRDefault="00EF113D"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Cortico</w:t>
            </w:r>
            <w:r w:rsidR="00136FDD">
              <w:rPr>
                <w:rFonts w:eastAsia="Times New Roman" w:cs="Calibri"/>
                <w:b/>
                <w:color w:val="000000"/>
                <w:lang w:eastAsia="fr-FR"/>
              </w:rPr>
              <w:t>steroids</w:t>
            </w:r>
            <w:proofErr w:type="spellEnd"/>
          </w:p>
        </w:tc>
        <w:tc>
          <w:tcPr>
            <w:tcW w:w="1701" w:type="dxa"/>
            <w:shd w:val="clear" w:color="auto" w:fill="auto"/>
            <w:noWrap/>
            <w:vAlign w:val="bottom"/>
            <w:hideMark/>
          </w:tcPr>
          <w:p w14:paraId="66DB98E5"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18573AB"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7B31EDE"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DB409E2"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3EEBF7C5" w14:textId="77777777" w:rsidR="00EF113D" w:rsidRPr="0024326E" w:rsidRDefault="00EF113D" w:rsidP="00E37E60">
            <w:pPr>
              <w:spacing w:after="0" w:line="240" w:lineRule="auto"/>
              <w:rPr>
                <w:rFonts w:eastAsia="Times New Roman" w:cs="Calibri"/>
                <w:b/>
                <w:color w:val="000000"/>
                <w:lang w:eastAsia="fr-FR"/>
              </w:rPr>
            </w:pPr>
          </w:p>
        </w:tc>
      </w:tr>
      <w:tr w:rsidR="00B368B8" w:rsidRPr="0024326E" w14:paraId="2B9F3FF1" w14:textId="77777777" w:rsidTr="00B368B8">
        <w:trPr>
          <w:trHeight w:val="300"/>
          <w:jc w:val="center"/>
        </w:trPr>
        <w:tc>
          <w:tcPr>
            <w:tcW w:w="3402" w:type="dxa"/>
            <w:shd w:val="clear" w:color="auto" w:fill="auto"/>
            <w:noWrap/>
            <w:vAlign w:val="center"/>
            <w:hideMark/>
          </w:tcPr>
          <w:p w14:paraId="2AB088A4" w14:textId="6C678FB9"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5176D651"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746 (46.54%)</w:t>
            </w:r>
          </w:p>
        </w:tc>
        <w:tc>
          <w:tcPr>
            <w:tcW w:w="1701" w:type="dxa"/>
            <w:shd w:val="clear" w:color="auto" w:fill="auto"/>
            <w:noWrap/>
            <w:vAlign w:val="bottom"/>
            <w:hideMark/>
          </w:tcPr>
          <w:p w14:paraId="5708B9FD"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744 (48.85%)</w:t>
            </w:r>
          </w:p>
        </w:tc>
        <w:tc>
          <w:tcPr>
            <w:tcW w:w="1701" w:type="dxa"/>
            <w:shd w:val="clear" w:color="auto" w:fill="auto"/>
            <w:noWrap/>
            <w:vAlign w:val="bottom"/>
            <w:hideMark/>
          </w:tcPr>
          <w:p w14:paraId="04D4139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2 (2.50%)</w:t>
            </w:r>
          </w:p>
        </w:tc>
        <w:tc>
          <w:tcPr>
            <w:tcW w:w="1701" w:type="dxa"/>
            <w:shd w:val="clear" w:color="auto" w:fill="auto"/>
            <w:noWrap/>
            <w:vAlign w:val="bottom"/>
            <w:hideMark/>
          </w:tcPr>
          <w:p w14:paraId="56FFC11F"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2CA0B07C"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B368B8" w:rsidRPr="0024326E" w14:paraId="508109C9" w14:textId="77777777" w:rsidTr="00B368B8">
        <w:trPr>
          <w:trHeight w:val="300"/>
          <w:jc w:val="center"/>
        </w:trPr>
        <w:tc>
          <w:tcPr>
            <w:tcW w:w="3402" w:type="dxa"/>
            <w:shd w:val="clear" w:color="auto" w:fill="auto"/>
            <w:noWrap/>
            <w:vAlign w:val="center"/>
            <w:hideMark/>
          </w:tcPr>
          <w:p w14:paraId="1764D18D" w14:textId="47656823"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1C7CF43"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857 (53.46%)</w:t>
            </w:r>
          </w:p>
        </w:tc>
        <w:tc>
          <w:tcPr>
            <w:tcW w:w="1701" w:type="dxa"/>
            <w:shd w:val="clear" w:color="auto" w:fill="auto"/>
            <w:noWrap/>
            <w:vAlign w:val="bottom"/>
            <w:hideMark/>
          </w:tcPr>
          <w:p w14:paraId="39670A4B"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779 (51.15%)</w:t>
            </w:r>
          </w:p>
        </w:tc>
        <w:tc>
          <w:tcPr>
            <w:tcW w:w="1701" w:type="dxa"/>
            <w:shd w:val="clear" w:color="auto" w:fill="auto"/>
            <w:noWrap/>
            <w:vAlign w:val="bottom"/>
            <w:hideMark/>
          </w:tcPr>
          <w:p w14:paraId="4102A7A1"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78 (97.50%)</w:t>
            </w:r>
          </w:p>
        </w:tc>
        <w:tc>
          <w:tcPr>
            <w:tcW w:w="1701" w:type="dxa"/>
            <w:shd w:val="clear" w:color="auto" w:fill="auto"/>
            <w:noWrap/>
            <w:vAlign w:val="bottom"/>
            <w:hideMark/>
          </w:tcPr>
          <w:p w14:paraId="1DE590CD"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37.25 [9.12;152.13]</w:t>
            </w:r>
          </w:p>
        </w:tc>
        <w:tc>
          <w:tcPr>
            <w:tcW w:w="1175" w:type="dxa"/>
            <w:shd w:val="clear" w:color="auto" w:fill="auto"/>
            <w:noWrap/>
            <w:vAlign w:val="bottom"/>
            <w:hideMark/>
          </w:tcPr>
          <w:p w14:paraId="0AF0BCA0"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24326E" w14:paraId="7F2A6092" w14:textId="77777777" w:rsidTr="00B368B8">
        <w:trPr>
          <w:trHeight w:val="300"/>
          <w:jc w:val="center"/>
        </w:trPr>
        <w:tc>
          <w:tcPr>
            <w:tcW w:w="3402" w:type="dxa"/>
            <w:shd w:val="clear" w:color="auto" w:fill="auto"/>
            <w:noWrap/>
            <w:vAlign w:val="center"/>
            <w:hideMark/>
          </w:tcPr>
          <w:p w14:paraId="01613EB0" w14:textId="3E9A6EE1" w:rsidR="00EF113D" w:rsidRPr="0024326E" w:rsidRDefault="00136FDD" w:rsidP="00E37E60">
            <w:pPr>
              <w:spacing w:after="0" w:line="240" w:lineRule="auto"/>
              <w:rPr>
                <w:rFonts w:eastAsia="Times New Roman" w:cs="Calibri"/>
                <w:b/>
                <w:color w:val="000000"/>
                <w:lang w:eastAsia="fr-FR"/>
              </w:rPr>
            </w:pPr>
            <w:r>
              <w:rPr>
                <w:rFonts w:eastAsia="Times New Roman" w:cs="Calibri"/>
                <w:b/>
                <w:color w:val="000000"/>
                <w:lang w:eastAsia="fr-FR"/>
              </w:rPr>
              <w:t xml:space="preserve">Proton </w:t>
            </w:r>
            <w:proofErr w:type="spellStart"/>
            <w:r>
              <w:rPr>
                <w:rFonts w:eastAsia="Times New Roman" w:cs="Calibri"/>
                <w:b/>
                <w:color w:val="000000"/>
                <w:lang w:eastAsia="fr-FR"/>
              </w:rPr>
              <w:t>pump</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inhibitors</w:t>
            </w:r>
            <w:proofErr w:type="spellEnd"/>
            <w:r w:rsidR="00EF113D">
              <w:rPr>
                <w:rFonts w:eastAsia="Times New Roman" w:cs="Calibri"/>
                <w:b/>
                <w:color w:val="000000"/>
                <w:lang w:eastAsia="fr-FR"/>
              </w:rPr>
              <w:t xml:space="preserve"> </w:t>
            </w:r>
          </w:p>
        </w:tc>
        <w:tc>
          <w:tcPr>
            <w:tcW w:w="1701" w:type="dxa"/>
            <w:shd w:val="clear" w:color="auto" w:fill="auto"/>
            <w:noWrap/>
            <w:vAlign w:val="bottom"/>
            <w:hideMark/>
          </w:tcPr>
          <w:p w14:paraId="0AAE912D"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6041768"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602CEA1"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4BDD08D"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30F697CD" w14:textId="77777777" w:rsidR="00EF113D" w:rsidRPr="0024326E" w:rsidRDefault="00EF113D" w:rsidP="00E37E60">
            <w:pPr>
              <w:spacing w:after="0" w:line="240" w:lineRule="auto"/>
              <w:rPr>
                <w:rFonts w:eastAsia="Times New Roman" w:cs="Calibri"/>
                <w:b/>
                <w:color w:val="000000"/>
                <w:lang w:eastAsia="fr-FR"/>
              </w:rPr>
            </w:pPr>
          </w:p>
        </w:tc>
      </w:tr>
      <w:tr w:rsidR="00B368B8" w:rsidRPr="0024326E" w14:paraId="7FBE000A" w14:textId="77777777" w:rsidTr="00B368B8">
        <w:trPr>
          <w:trHeight w:val="300"/>
          <w:jc w:val="center"/>
        </w:trPr>
        <w:tc>
          <w:tcPr>
            <w:tcW w:w="3402" w:type="dxa"/>
            <w:shd w:val="clear" w:color="auto" w:fill="auto"/>
            <w:noWrap/>
            <w:vAlign w:val="center"/>
            <w:hideMark/>
          </w:tcPr>
          <w:p w14:paraId="17C7BDB9" w14:textId="18C975D6"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64C61F46"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1477 (92.14%)</w:t>
            </w:r>
          </w:p>
        </w:tc>
        <w:tc>
          <w:tcPr>
            <w:tcW w:w="1701" w:type="dxa"/>
            <w:shd w:val="clear" w:color="auto" w:fill="auto"/>
            <w:noWrap/>
            <w:vAlign w:val="bottom"/>
            <w:hideMark/>
          </w:tcPr>
          <w:p w14:paraId="1FAA9BB2"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1425 (93.57%)</w:t>
            </w:r>
          </w:p>
        </w:tc>
        <w:tc>
          <w:tcPr>
            <w:tcW w:w="1701" w:type="dxa"/>
            <w:shd w:val="clear" w:color="auto" w:fill="auto"/>
            <w:noWrap/>
            <w:vAlign w:val="bottom"/>
            <w:hideMark/>
          </w:tcPr>
          <w:p w14:paraId="6F23B847"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52 (65.00%)</w:t>
            </w:r>
          </w:p>
        </w:tc>
        <w:tc>
          <w:tcPr>
            <w:tcW w:w="1701" w:type="dxa"/>
            <w:shd w:val="clear" w:color="auto" w:fill="auto"/>
            <w:noWrap/>
            <w:vAlign w:val="bottom"/>
            <w:hideMark/>
          </w:tcPr>
          <w:p w14:paraId="486179F9"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5E911ACC"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B368B8" w:rsidRPr="0024326E" w14:paraId="01C3FA43" w14:textId="77777777" w:rsidTr="00B368B8">
        <w:trPr>
          <w:trHeight w:val="300"/>
          <w:jc w:val="center"/>
        </w:trPr>
        <w:tc>
          <w:tcPr>
            <w:tcW w:w="3402" w:type="dxa"/>
            <w:shd w:val="clear" w:color="auto" w:fill="auto"/>
            <w:noWrap/>
            <w:vAlign w:val="center"/>
            <w:hideMark/>
          </w:tcPr>
          <w:p w14:paraId="37146A1B" w14:textId="1E60AA48"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5376BFF"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126 (7.86%)</w:t>
            </w:r>
          </w:p>
        </w:tc>
        <w:tc>
          <w:tcPr>
            <w:tcW w:w="1701" w:type="dxa"/>
            <w:shd w:val="clear" w:color="auto" w:fill="auto"/>
            <w:noWrap/>
            <w:vAlign w:val="bottom"/>
            <w:hideMark/>
          </w:tcPr>
          <w:p w14:paraId="5A36D579"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98 (6.43%)</w:t>
            </w:r>
          </w:p>
        </w:tc>
        <w:tc>
          <w:tcPr>
            <w:tcW w:w="1701" w:type="dxa"/>
            <w:shd w:val="clear" w:color="auto" w:fill="auto"/>
            <w:noWrap/>
            <w:vAlign w:val="bottom"/>
            <w:hideMark/>
          </w:tcPr>
          <w:p w14:paraId="04A879DF"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28 (35.00%)</w:t>
            </w:r>
          </w:p>
        </w:tc>
        <w:tc>
          <w:tcPr>
            <w:tcW w:w="1701" w:type="dxa"/>
            <w:shd w:val="clear" w:color="auto" w:fill="auto"/>
            <w:noWrap/>
            <w:vAlign w:val="bottom"/>
            <w:hideMark/>
          </w:tcPr>
          <w:p w14:paraId="4E581D9A"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7.83 [4.73;12.95]</w:t>
            </w:r>
          </w:p>
        </w:tc>
        <w:tc>
          <w:tcPr>
            <w:tcW w:w="1175" w:type="dxa"/>
            <w:shd w:val="clear" w:color="auto" w:fill="auto"/>
            <w:noWrap/>
            <w:vAlign w:val="bottom"/>
            <w:hideMark/>
          </w:tcPr>
          <w:p w14:paraId="257482A0"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24326E" w14:paraId="5F9C2B2C" w14:textId="77777777" w:rsidTr="00B368B8">
        <w:trPr>
          <w:trHeight w:val="300"/>
          <w:jc w:val="center"/>
        </w:trPr>
        <w:tc>
          <w:tcPr>
            <w:tcW w:w="3402" w:type="dxa"/>
            <w:shd w:val="clear" w:color="auto" w:fill="auto"/>
            <w:noWrap/>
            <w:vAlign w:val="center"/>
            <w:hideMark/>
          </w:tcPr>
          <w:p w14:paraId="5664906A" w14:textId="514A0534" w:rsidR="00EF113D" w:rsidRPr="0024326E" w:rsidRDefault="00EF113D" w:rsidP="00E37E60">
            <w:pPr>
              <w:spacing w:after="0" w:line="240" w:lineRule="auto"/>
              <w:rPr>
                <w:rFonts w:eastAsia="Times New Roman" w:cs="Calibri"/>
                <w:b/>
                <w:color w:val="000000"/>
                <w:lang w:eastAsia="fr-FR"/>
              </w:rPr>
            </w:pPr>
            <w:r w:rsidRPr="0024326E">
              <w:rPr>
                <w:rFonts w:eastAsia="Times New Roman" w:cs="Calibri"/>
                <w:b/>
                <w:color w:val="000000"/>
                <w:lang w:eastAsia="fr-FR"/>
              </w:rPr>
              <w:t>Chloroquine</w:t>
            </w:r>
            <w:r w:rsidR="00136FDD">
              <w:rPr>
                <w:rFonts w:eastAsia="Times New Roman" w:cs="Calibri"/>
                <w:b/>
                <w:color w:val="000000"/>
                <w:lang w:eastAsia="fr-FR"/>
              </w:rPr>
              <w:t xml:space="preserve">/ </w:t>
            </w:r>
            <w:proofErr w:type="spellStart"/>
            <w:r w:rsidR="00136FDD">
              <w:rPr>
                <w:rFonts w:eastAsia="Times New Roman" w:cs="Calibri"/>
                <w:b/>
                <w:color w:val="000000"/>
                <w:lang w:eastAsia="fr-FR"/>
              </w:rPr>
              <w:t>Hydroxychloroquine</w:t>
            </w:r>
            <w:proofErr w:type="spellEnd"/>
            <w:r w:rsidRPr="0024326E">
              <w:rPr>
                <w:rFonts w:eastAsia="Times New Roman" w:cs="Calibri"/>
                <w:b/>
                <w:color w:val="000000"/>
                <w:lang w:eastAsia="fr-FR"/>
              </w:rPr>
              <w:t xml:space="preserve"> (N=1601)</w:t>
            </w:r>
            <w:r>
              <w:rPr>
                <w:rFonts w:eastAsia="Times New Roman" w:cs="Calibri"/>
                <w:b/>
                <w:color w:val="000000"/>
                <w:lang w:eastAsia="fr-FR"/>
              </w:rPr>
              <w:t xml:space="preserve"> </w:t>
            </w:r>
          </w:p>
        </w:tc>
        <w:tc>
          <w:tcPr>
            <w:tcW w:w="1701" w:type="dxa"/>
            <w:shd w:val="clear" w:color="auto" w:fill="auto"/>
            <w:noWrap/>
            <w:vAlign w:val="bottom"/>
            <w:hideMark/>
          </w:tcPr>
          <w:p w14:paraId="6B051590"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D192B1A"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9974C9B"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C6286B7"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3AD6DAFF" w14:textId="77777777" w:rsidR="00EF113D" w:rsidRPr="0024326E" w:rsidRDefault="00EF113D" w:rsidP="00E37E60">
            <w:pPr>
              <w:spacing w:after="0" w:line="240" w:lineRule="auto"/>
              <w:rPr>
                <w:rFonts w:eastAsia="Times New Roman" w:cs="Calibri"/>
                <w:b/>
                <w:color w:val="000000"/>
                <w:lang w:eastAsia="fr-FR"/>
              </w:rPr>
            </w:pPr>
          </w:p>
        </w:tc>
      </w:tr>
      <w:tr w:rsidR="00B368B8" w:rsidRPr="0024326E" w14:paraId="013D1434" w14:textId="77777777" w:rsidTr="00B368B8">
        <w:trPr>
          <w:trHeight w:val="300"/>
          <w:jc w:val="center"/>
        </w:trPr>
        <w:tc>
          <w:tcPr>
            <w:tcW w:w="3402" w:type="dxa"/>
            <w:shd w:val="clear" w:color="auto" w:fill="auto"/>
            <w:noWrap/>
            <w:vAlign w:val="center"/>
            <w:hideMark/>
          </w:tcPr>
          <w:p w14:paraId="05311C37" w14:textId="4E8F11C9"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8142CAB"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1525 (95.25%)</w:t>
            </w:r>
          </w:p>
        </w:tc>
        <w:tc>
          <w:tcPr>
            <w:tcW w:w="1701" w:type="dxa"/>
            <w:shd w:val="clear" w:color="auto" w:fill="auto"/>
            <w:noWrap/>
            <w:vAlign w:val="bottom"/>
            <w:hideMark/>
          </w:tcPr>
          <w:p w14:paraId="490268EC"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1445 (95.00%)</w:t>
            </w:r>
          </w:p>
        </w:tc>
        <w:tc>
          <w:tcPr>
            <w:tcW w:w="1701" w:type="dxa"/>
            <w:shd w:val="clear" w:color="auto" w:fill="auto"/>
            <w:noWrap/>
            <w:vAlign w:val="bottom"/>
            <w:hideMark/>
          </w:tcPr>
          <w:p w14:paraId="7C80068A"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80 (100.00%)</w:t>
            </w:r>
          </w:p>
        </w:tc>
        <w:tc>
          <w:tcPr>
            <w:tcW w:w="1701" w:type="dxa"/>
            <w:shd w:val="clear" w:color="auto" w:fill="auto"/>
            <w:noWrap/>
            <w:vAlign w:val="bottom"/>
            <w:hideMark/>
          </w:tcPr>
          <w:p w14:paraId="5687D00C"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33453633"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0.0298</w:t>
            </w:r>
          </w:p>
        </w:tc>
      </w:tr>
      <w:tr w:rsidR="00B368B8" w:rsidRPr="0024326E" w14:paraId="3D1C274D" w14:textId="77777777" w:rsidTr="00B368B8">
        <w:trPr>
          <w:trHeight w:val="300"/>
          <w:jc w:val="center"/>
        </w:trPr>
        <w:tc>
          <w:tcPr>
            <w:tcW w:w="3402" w:type="dxa"/>
            <w:shd w:val="clear" w:color="auto" w:fill="auto"/>
            <w:noWrap/>
            <w:vAlign w:val="center"/>
            <w:hideMark/>
          </w:tcPr>
          <w:p w14:paraId="1F3CC1EB" w14:textId="5A91B707"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78E82298"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76 (4.75%)</w:t>
            </w:r>
          </w:p>
        </w:tc>
        <w:tc>
          <w:tcPr>
            <w:tcW w:w="1701" w:type="dxa"/>
            <w:shd w:val="clear" w:color="auto" w:fill="auto"/>
            <w:noWrap/>
            <w:vAlign w:val="bottom"/>
            <w:hideMark/>
          </w:tcPr>
          <w:p w14:paraId="7C841ED5"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76 (5.00%)</w:t>
            </w:r>
          </w:p>
        </w:tc>
        <w:tc>
          <w:tcPr>
            <w:tcW w:w="1701" w:type="dxa"/>
            <w:shd w:val="clear" w:color="auto" w:fill="auto"/>
            <w:noWrap/>
            <w:vAlign w:val="bottom"/>
            <w:hideMark/>
          </w:tcPr>
          <w:p w14:paraId="739FD25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5554D195"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1175" w:type="dxa"/>
            <w:shd w:val="clear" w:color="auto" w:fill="auto"/>
            <w:noWrap/>
            <w:vAlign w:val="bottom"/>
            <w:hideMark/>
          </w:tcPr>
          <w:p w14:paraId="31F91EB7"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24326E" w14:paraId="381F37FD" w14:textId="77777777" w:rsidTr="00B368B8">
        <w:trPr>
          <w:trHeight w:val="300"/>
          <w:jc w:val="center"/>
        </w:trPr>
        <w:tc>
          <w:tcPr>
            <w:tcW w:w="3402" w:type="dxa"/>
            <w:shd w:val="clear" w:color="auto" w:fill="auto"/>
            <w:noWrap/>
            <w:vAlign w:val="center"/>
            <w:hideMark/>
          </w:tcPr>
          <w:p w14:paraId="7C1C801F" w14:textId="77777777" w:rsidR="00EF113D" w:rsidRPr="0024326E" w:rsidRDefault="00EF113D"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Anakinra</w:t>
            </w:r>
            <w:proofErr w:type="spellEnd"/>
            <w:r w:rsidRPr="0024326E">
              <w:rPr>
                <w:rFonts w:eastAsia="Times New Roman" w:cs="Calibri"/>
                <w:b/>
                <w:color w:val="000000"/>
                <w:lang w:eastAsia="fr-FR"/>
              </w:rPr>
              <w:t xml:space="preserve"> (N=1599)</w:t>
            </w:r>
            <w:r>
              <w:rPr>
                <w:rFonts w:eastAsia="Times New Roman" w:cs="Calibri"/>
                <w:b/>
                <w:color w:val="000000"/>
                <w:lang w:eastAsia="fr-FR"/>
              </w:rPr>
              <w:t xml:space="preserve"> </w:t>
            </w:r>
          </w:p>
        </w:tc>
        <w:tc>
          <w:tcPr>
            <w:tcW w:w="1701" w:type="dxa"/>
            <w:shd w:val="clear" w:color="auto" w:fill="auto"/>
            <w:noWrap/>
            <w:vAlign w:val="bottom"/>
            <w:hideMark/>
          </w:tcPr>
          <w:p w14:paraId="6C6C2C94"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CF72B9F"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1511E00"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FF8920F"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1E081BCD" w14:textId="77777777" w:rsidR="00EF113D" w:rsidRPr="0024326E" w:rsidRDefault="00EF113D" w:rsidP="00E37E60">
            <w:pPr>
              <w:spacing w:after="0" w:line="240" w:lineRule="auto"/>
              <w:rPr>
                <w:rFonts w:eastAsia="Times New Roman" w:cs="Calibri"/>
                <w:b/>
                <w:color w:val="000000"/>
                <w:lang w:eastAsia="fr-FR"/>
              </w:rPr>
            </w:pPr>
          </w:p>
        </w:tc>
      </w:tr>
      <w:tr w:rsidR="00B368B8" w:rsidRPr="0024326E" w14:paraId="4B78F354" w14:textId="77777777" w:rsidTr="00B368B8">
        <w:trPr>
          <w:trHeight w:val="300"/>
          <w:jc w:val="center"/>
        </w:trPr>
        <w:tc>
          <w:tcPr>
            <w:tcW w:w="3402" w:type="dxa"/>
            <w:shd w:val="clear" w:color="auto" w:fill="auto"/>
            <w:noWrap/>
            <w:vAlign w:val="center"/>
            <w:hideMark/>
          </w:tcPr>
          <w:p w14:paraId="20B3C30F" w14:textId="63450E2F"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B4EE606"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1541 (96.37%)</w:t>
            </w:r>
          </w:p>
        </w:tc>
        <w:tc>
          <w:tcPr>
            <w:tcW w:w="1701" w:type="dxa"/>
            <w:shd w:val="clear" w:color="auto" w:fill="auto"/>
            <w:noWrap/>
            <w:vAlign w:val="bottom"/>
            <w:hideMark/>
          </w:tcPr>
          <w:p w14:paraId="0CDB4A47"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1461 (96.18%)</w:t>
            </w:r>
          </w:p>
        </w:tc>
        <w:tc>
          <w:tcPr>
            <w:tcW w:w="1701" w:type="dxa"/>
            <w:shd w:val="clear" w:color="auto" w:fill="auto"/>
            <w:noWrap/>
            <w:vAlign w:val="bottom"/>
            <w:hideMark/>
          </w:tcPr>
          <w:p w14:paraId="53BD2DF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80 (100.00%)</w:t>
            </w:r>
          </w:p>
        </w:tc>
        <w:tc>
          <w:tcPr>
            <w:tcW w:w="1701" w:type="dxa"/>
            <w:shd w:val="clear" w:color="auto" w:fill="auto"/>
            <w:noWrap/>
            <w:vAlign w:val="bottom"/>
            <w:hideMark/>
          </w:tcPr>
          <w:p w14:paraId="1B98D145"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50A0FF8F"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0.11</w:t>
            </w:r>
          </w:p>
        </w:tc>
      </w:tr>
      <w:tr w:rsidR="00B368B8" w:rsidRPr="0024326E" w14:paraId="0DEB9E95" w14:textId="77777777" w:rsidTr="00B368B8">
        <w:trPr>
          <w:trHeight w:val="300"/>
          <w:jc w:val="center"/>
        </w:trPr>
        <w:tc>
          <w:tcPr>
            <w:tcW w:w="3402" w:type="dxa"/>
            <w:shd w:val="clear" w:color="auto" w:fill="auto"/>
            <w:noWrap/>
            <w:vAlign w:val="center"/>
            <w:hideMark/>
          </w:tcPr>
          <w:p w14:paraId="7A1BCA4F" w14:textId="482542C2"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72D2F0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58 (3.63%)</w:t>
            </w:r>
          </w:p>
        </w:tc>
        <w:tc>
          <w:tcPr>
            <w:tcW w:w="1701" w:type="dxa"/>
            <w:shd w:val="clear" w:color="auto" w:fill="auto"/>
            <w:noWrap/>
            <w:vAlign w:val="bottom"/>
            <w:hideMark/>
          </w:tcPr>
          <w:p w14:paraId="3B7158BD"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58 (3.82%)</w:t>
            </w:r>
          </w:p>
        </w:tc>
        <w:tc>
          <w:tcPr>
            <w:tcW w:w="1701" w:type="dxa"/>
            <w:shd w:val="clear" w:color="auto" w:fill="auto"/>
            <w:noWrap/>
            <w:vAlign w:val="bottom"/>
            <w:hideMark/>
          </w:tcPr>
          <w:p w14:paraId="06660B8D"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13D5DF3E"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1175" w:type="dxa"/>
            <w:shd w:val="clear" w:color="auto" w:fill="auto"/>
            <w:noWrap/>
            <w:vAlign w:val="bottom"/>
            <w:hideMark/>
          </w:tcPr>
          <w:p w14:paraId="0EE1F7C9"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24326E" w14:paraId="1F63134C" w14:textId="77777777" w:rsidTr="00B368B8">
        <w:trPr>
          <w:trHeight w:val="300"/>
          <w:jc w:val="center"/>
        </w:trPr>
        <w:tc>
          <w:tcPr>
            <w:tcW w:w="3402" w:type="dxa"/>
            <w:shd w:val="clear" w:color="auto" w:fill="auto"/>
            <w:noWrap/>
            <w:vAlign w:val="center"/>
            <w:hideMark/>
          </w:tcPr>
          <w:p w14:paraId="232F7553" w14:textId="35F98508" w:rsidR="00EF113D" w:rsidRPr="0024326E" w:rsidRDefault="00136FDD"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Lopinavir</w:t>
            </w:r>
            <w:proofErr w:type="spellEnd"/>
            <w:r>
              <w:rPr>
                <w:rFonts w:eastAsia="Times New Roman" w:cs="Calibri"/>
                <w:b/>
                <w:color w:val="000000"/>
                <w:lang w:eastAsia="fr-FR"/>
              </w:rPr>
              <w:t>/</w:t>
            </w:r>
            <w:proofErr w:type="spellStart"/>
            <w:r>
              <w:rPr>
                <w:rFonts w:eastAsia="Times New Roman" w:cs="Calibri"/>
                <w:b/>
                <w:color w:val="000000"/>
                <w:lang w:eastAsia="fr-FR"/>
              </w:rPr>
              <w:t>ritonavir</w:t>
            </w:r>
            <w:proofErr w:type="spellEnd"/>
            <w:r w:rsidR="00EF113D" w:rsidRPr="0024326E">
              <w:rPr>
                <w:rFonts w:eastAsia="Times New Roman" w:cs="Calibri"/>
                <w:b/>
                <w:color w:val="000000"/>
                <w:lang w:eastAsia="fr-FR"/>
              </w:rPr>
              <w:t xml:space="preserve"> (N=1597)</w:t>
            </w:r>
            <w:r w:rsidR="00EF113D">
              <w:rPr>
                <w:rFonts w:eastAsia="Times New Roman" w:cs="Calibri"/>
                <w:b/>
                <w:color w:val="000000"/>
                <w:lang w:eastAsia="fr-FR"/>
              </w:rPr>
              <w:t xml:space="preserve"> </w:t>
            </w:r>
          </w:p>
        </w:tc>
        <w:tc>
          <w:tcPr>
            <w:tcW w:w="1701" w:type="dxa"/>
            <w:shd w:val="clear" w:color="auto" w:fill="auto"/>
            <w:noWrap/>
            <w:vAlign w:val="bottom"/>
            <w:hideMark/>
          </w:tcPr>
          <w:p w14:paraId="6EB4B7A8"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5F6A550"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230BC84"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2BCCE40"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40412CDE" w14:textId="77777777" w:rsidR="00EF113D" w:rsidRPr="0024326E" w:rsidRDefault="00EF113D" w:rsidP="00E37E60">
            <w:pPr>
              <w:spacing w:after="0" w:line="240" w:lineRule="auto"/>
              <w:rPr>
                <w:rFonts w:eastAsia="Times New Roman" w:cs="Calibri"/>
                <w:b/>
                <w:color w:val="000000"/>
                <w:lang w:eastAsia="fr-FR"/>
              </w:rPr>
            </w:pPr>
          </w:p>
        </w:tc>
      </w:tr>
      <w:tr w:rsidR="00B368B8" w:rsidRPr="0024326E" w14:paraId="1FDD140B" w14:textId="77777777" w:rsidTr="00B368B8">
        <w:trPr>
          <w:trHeight w:val="300"/>
          <w:jc w:val="center"/>
        </w:trPr>
        <w:tc>
          <w:tcPr>
            <w:tcW w:w="3402" w:type="dxa"/>
            <w:shd w:val="clear" w:color="auto" w:fill="auto"/>
            <w:noWrap/>
            <w:vAlign w:val="center"/>
            <w:hideMark/>
          </w:tcPr>
          <w:p w14:paraId="36E80B80" w14:textId="79277F8C"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7F0DEC83"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1593 (99.75%)</w:t>
            </w:r>
          </w:p>
        </w:tc>
        <w:tc>
          <w:tcPr>
            <w:tcW w:w="1701" w:type="dxa"/>
            <w:shd w:val="clear" w:color="auto" w:fill="auto"/>
            <w:noWrap/>
            <w:vAlign w:val="bottom"/>
            <w:hideMark/>
          </w:tcPr>
          <w:p w14:paraId="54375493"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1513 (99.74%)</w:t>
            </w:r>
          </w:p>
        </w:tc>
        <w:tc>
          <w:tcPr>
            <w:tcW w:w="1701" w:type="dxa"/>
            <w:shd w:val="clear" w:color="auto" w:fill="auto"/>
            <w:noWrap/>
            <w:vAlign w:val="bottom"/>
            <w:hideMark/>
          </w:tcPr>
          <w:p w14:paraId="69B47653"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80 (100.00%)</w:t>
            </w:r>
          </w:p>
        </w:tc>
        <w:tc>
          <w:tcPr>
            <w:tcW w:w="1701" w:type="dxa"/>
            <w:shd w:val="clear" w:color="auto" w:fill="auto"/>
            <w:noWrap/>
            <w:vAlign w:val="bottom"/>
            <w:hideMark/>
          </w:tcPr>
          <w:p w14:paraId="4B2C2FB5"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792F1F9F"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&gt;0.99</w:t>
            </w:r>
          </w:p>
        </w:tc>
      </w:tr>
      <w:tr w:rsidR="00B368B8" w:rsidRPr="0024326E" w14:paraId="4C45F0AB" w14:textId="77777777" w:rsidTr="00B368B8">
        <w:trPr>
          <w:trHeight w:val="300"/>
          <w:jc w:val="center"/>
        </w:trPr>
        <w:tc>
          <w:tcPr>
            <w:tcW w:w="3402" w:type="dxa"/>
            <w:shd w:val="clear" w:color="auto" w:fill="auto"/>
            <w:noWrap/>
            <w:vAlign w:val="center"/>
            <w:hideMark/>
          </w:tcPr>
          <w:p w14:paraId="7F56B871" w14:textId="0A978730"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CEECE12"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4 (0.25%)</w:t>
            </w:r>
          </w:p>
        </w:tc>
        <w:tc>
          <w:tcPr>
            <w:tcW w:w="1701" w:type="dxa"/>
            <w:shd w:val="clear" w:color="auto" w:fill="auto"/>
            <w:noWrap/>
            <w:vAlign w:val="bottom"/>
            <w:hideMark/>
          </w:tcPr>
          <w:p w14:paraId="30646E85"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4 (0.26%)</w:t>
            </w:r>
          </w:p>
        </w:tc>
        <w:tc>
          <w:tcPr>
            <w:tcW w:w="1701" w:type="dxa"/>
            <w:shd w:val="clear" w:color="auto" w:fill="auto"/>
            <w:noWrap/>
            <w:vAlign w:val="bottom"/>
            <w:hideMark/>
          </w:tcPr>
          <w:p w14:paraId="17F09FF6"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05356A53"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1175" w:type="dxa"/>
            <w:shd w:val="clear" w:color="auto" w:fill="auto"/>
            <w:noWrap/>
            <w:vAlign w:val="bottom"/>
            <w:hideMark/>
          </w:tcPr>
          <w:p w14:paraId="6D3CB057"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24326E" w14:paraId="77E3C3CA" w14:textId="77777777" w:rsidTr="00B368B8">
        <w:trPr>
          <w:trHeight w:val="300"/>
          <w:jc w:val="center"/>
        </w:trPr>
        <w:tc>
          <w:tcPr>
            <w:tcW w:w="3402" w:type="dxa"/>
            <w:shd w:val="clear" w:color="auto" w:fill="auto"/>
            <w:noWrap/>
            <w:vAlign w:val="center"/>
            <w:hideMark/>
          </w:tcPr>
          <w:p w14:paraId="322E9BBA" w14:textId="77777777" w:rsidR="00EF113D" w:rsidRPr="0024326E" w:rsidRDefault="00EF113D"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Sarilumab</w:t>
            </w:r>
            <w:proofErr w:type="spellEnd"/>
            <w:r w:rsidRPr="0024326E">
              <w:rPr>
                <w:rFonts w:eastAsia="Times New Roman" w:cs="Calibri"/>
                <w:b/>
                <w:color w:val="000000"/>
                <w:lang w:eastAsia="fr-FR"/>
              </w:rPr>
              <w:t xml:space="preserve"> (N=1601)</w:t>
            </w:r>
            <w:r>
              <w:rPr>
                <w:rFonts w:eastAsia="Times New Roman" w:cs="Calibri"/>
                <w:b/>
                <w:color w:val="000000"/>
                <w:lang w:eastAsia="fr-FR"/>
              </w:rPr>
              <w:t xml:space="preserve"> </w:t>
            </w:r>
          </w:p>
        </w:tc>
        <w:tc>
          <w:tcPr>
            <w:tcW w:w="1701" w:type="dxa"/>
            <w:shd w:val="clear" w:color="auto" w:fill="auto"/>
            <w:noWrap/>
            <w:vAlign w:val="bottom"/>
            <w:hideMark/>
          </w:tcPr>
          <w:p w14:paraId="4118EC9C"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43A05CB"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0FD36E0"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D2F326D" w14:textId="77777777" w:rsidR="00EF113D" w:rsidRPr="0024326E" w:rsidRDefault="00EF113D" w:rsidP="00E37E60">
            <w:pPr>
              <w:spacing w:after="0" w:line="240" w:lineRule="auto"/>
              <w:rPr>
                <w:rFonts w:eastAsia="Times New Roman" w:cs="Calibri"/>
                <w:b/>
                <w:color w:val="000000"/>
                <w:lang w:eastAsia="fr-FR"/>
              </w:rPr>
            </w:pPr>
          </w:p>
        </w:tc>
        <w:tc>
          <w:tcPr>
            <w:tcW w:w="1175" w:type="dxa"/>
            <w:shd w:val="clear" w:color="auto" w:fill="auto"/>
            <w:noWrap/>
            <w:vAlign w:val="bottom"/>
            <w:hideMark/>
          </w:tcPr>
          <w:p w14:paraId="56AE4D99" w14:textId="77777777" w:rsidR="00EF113D" w:rsidRPr="0024326E" w:rsidRDefault="00EF113D" w:rsidP="00E37E60">
            <w:pPr>
              <w:spacing w:after="0" w:line="240" w:lineRule="auto"/>
              <w:rPr>
                <w:rFonts w:eastAsia="Times New Roman" w:cs="Calibri"/>
                <w:b/>
                <w:color w:val="000000"/>
                <w:lang w:eastAsia="fr-FR"/>
              </w:rPr>
            </w:pPr>
          </w:p>
        </w:tc>
      </w:tr>
      <w:tr w:rsidR="00B368B8" w:rsidRPr="0024326E" w14:paraId="7AC8CA14" w14:textId="77777777" w:rsidTr="00B368B8">
        <w:trPr>
          <w:trHeight w:val="300"/>
          <w:jc w:val="center"/>
        </w:trPr>
        <w:tc>
          <w:tcPr>
            <w:tcW w:w="3402" w:type="dxa"/>
            <w:shd w:val="clear" w:color="auto" w:fill="auto"/>
            <w:noWrap/>
            <w:vAlign w:val="center"/>
            <w:hideMark/>
          </w:tcPr>
          <w:p w14:paraId="77DB1B15" w14:textId="0B5D99CF"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2BAAFAD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1590 (99.31%)</w:t>
            </w:r>
          </w:p>
        </w:tc>
        <w:tc>
          <w:tcPr>
            <w:tcW w:w="1701" w:type="dxa"/>
            <w:shd w:val="clear" w:color="auto" w:fill="auto"/>
            <w:noWrap/>
            <w:vAlign w:val="bottom"/>
            <w:hideMark/>
          </w:tcPr>
          <w:p w14:paraId="596556C7"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1512 (99.28%)</w:t>
            </w:r>
          </w:p>
        </w:tc>
        <w:tc>
          <w:tcPr>
            <w:tcW w:w="1701" w:type="dxa"/>
            <w:shd w:val="clear" w:color="auto" w:fill="auto"/>
            <w:noWrap/>
            <w:vAlign w:val="bottom"/>
            <w:hideMark/>
          </w:tcPr>
          <w:p w14:paraId="1FBF003D"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78 (100.00%)</w:t>
            </w:r>
          </w:p>
        </w:tc>
        <w:tc>
          <w:tcPr>
            <w:tcW w:w="1701" w:type="dxa"/>
            <w:shd w:val="clear" w:color="auto" w:fill="auto"/>
            <w:noWrap/>
            <w:vAlign w:val="bottom"/>
            <w:hideMark/>
          </w:tcPr>
          <w:p w14:paraId="7D78E5DE"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22178151"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&gt;0.99</w:t>
            </w:r>
          </w:p>
        </w:tc>
      </w:tr>
      <w:tr w:rsidR="00B368B8" w:rsidRPr="0024326E" w14:paraId="06D1937D" w14:textId="77777777" w:rsidTr="00B368B8">
        <w:trPr>
          <w:trHeight w:val="300"/>
          <w:jc w:val="center"/>
        </w:trPr>
        <w:tc>
          <w:tcPr>
            <w:tcW w:w="3402" w:type="dxa"/>
            <w:shd w:val="clear" w:color="auto" w:fill="auto"/>
            <w:noWrap/>
            <w:vAlign w:val="center"/>
            <w:hideMark/>
          </w:tcPr>
          <w:p w14:paraId="03FD5050" w14:textId="23E7A1BD"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7FEC7E2"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11 (0.69%)</w:t>
            </w:r>
          </w:p>
        </w:tc>
        <w:tc>
          <w:tcPr>
            <w:tcW w:w="1701" w:type="dxa"/>
            <w:shd w:val="clear" w:color="auto" w:fill="auto"/>
            <w:noWrap/>
            <w:vAlign w:val="bottom"/>
            <w:hideMark/>
          </w:tcPr>
          <w:p w14:paraId="7446F321"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11 (0.72%)</w:t>
            </w:r>
          </w:p>
        </w:tc>
        <w:tc>
          <w:tcPr>
            <w:tcW w:w="1701" w:type="dxa"/>
            <w:shd w:val="clear" w:color="auto" w:fill="auto"/>
            <w:noWrap/>
            <w:vAlign w:val="bottom"/>
            <w:hideMark/>
          </w:tcPr>
          <w:p w14:paraId="60EA2482"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1187823F"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1175" w:type="dxa"/>
            <w:shd w:val="clear" w:color="auto" w:fill="auto"/>
            <w:noWrap/>
            <w:vAlign w:val="bottom"/>
            <w:hideMark/>
          </w:tcPr>
          <w:p w14:paraId="169C5766"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09503D" w14:paraId="4D9619B7" w14:textId="77777777" w:rsidTr="00B368B8">
        <w:trPr>
          <w:trHeight w:val="300"/>
          <w:jc w:val="center"/>
        </w:trPr>
        <w:tc>
          <w:tcPr>
            <w:tcW w:w="3402" w:type="dxa"/>
            <w:shd w:val="clear" w:color="auto" w:fill="auto"/>
            <w:noWrap/>
            <w:vAlign w:val="center"/>
            <w:hideMark/>
          </w:tcPr>
          <w:p w14:paraId="3113D510" w14:textId="663F363E" w:rsidR="00EF113D" w:rsidRPr="00136FDD" w:rsidRDefault="00136FDD"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Standard supplemental oxygen (days)</w:t>
            </w:r>
            <w:r w:rsidR="00EF113D" w:rsidRPr="00136FDD">
              <w:rPr>
                <w:rFonts w:eastAsia="Times New Roman" w:cs="Calibri"/>
                <w:b/>
                <w:color w:val="000000"/>
                <w:lang w:val="en-US" w:eastAsia="fr-FR"/>
              </w:rPr>
              <w:t xml:space="preserve"> (N=1584) </w:t>
            </w:r>
          </w:p>
        </w:tc>
        <w:tc>
          <w:tcPr>
            <w:tcW w:w="1701" w:type="dxa"/>
            <w:shd w:val="clear" w:color="auto" w:fill="auto"/>
            <w:noWrap/>
            <w:vAlign w:val="bottom"/>
            <w:hideMark/>
          </w:tcPr>
          <w:p w14:paraId="60E1988F"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9A6864F"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47B4ECE"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98B00F6" w14:textId="77777777" w:rsidR="00EF113D" w:rsidRPr="00136FDD" w:rsidRDefault="00EF113D" w:rsidP="00E37E60">
            <w:pPr>
              <w:spacing w:after="0" w:line="240" w:lineRule="auto"/>
              <w:rPr>
                <w:rFonts w:eastAsia="Times New Roman" w:cs="Calibri"/>
                <w:b/>
                <w:color w:val="000000"/>
                <w:lang w:val="en-US" w:eastAsia="fr-FR"/>
              </w:rPr>
            </w:pPr>
          </w:p>
        </w:tc>
        <w:tc>
          <w:tcPr>
            <w:tcW w:w="1175" w:type="dxa"/>
            <w:shd w:val="clear" w:color="auto" w:fill="auto"/>
            <w:noWrap/>
            <w:vAlign w:val="bottom"/>
            <w:hideMark/>
          </w:tcPr>
          <w:p w14:paraId="44B0CC30" w14:textId="77777777" w:rsidR="00EF113D" w:rsidRPr="00136FDD" w:rsidRDefault="00EF113D" w:rsidP="00E37E60">
            <w:pPr>
              <w:spacing w:after="0" w:line="240" w:lineRule="auto"/>
              <w:rPr>
                <w:rFonts w:eastAsia="Times New Roman" w:cs="Calibri"/>
                <w:b/>
                <w:color w:val="000000"/>
                <w:lang w:val="en-US" w:eastAsia="fr-FR"/>
              </w:rPr>
            </w:pPr>
          </w:p>
        </w:tc>
      </w:tr>
      <w:tr w:rsidR="00EF113D" w:rsidRPr="0024326E" w14:paraId="7DCB0C25" w14:textId="77777777" w:rsidTr="00B368B8">
        <w:trPr>
          <w:trHeight w:val="300"/>
          <w:jc w:val="center"/>
        </w:trPr>
        <w:tc>
          <w:tcPr>
            <w:tcW w:w="3402" w:type="dxa"/>
            <w:shd w:val="clear" w:color="auto" w:fill="auto"/>
            <w:noWrap/>
            <w:vAlign w:val="center"/>
            <w:hideMark/>
          </w:tcPr>
          <w:p w14:paraId="126557E0"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54E8F069"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4.00 [2.00;8.00]</w:t>
            </w:r>
          </w:p>
        </w:tc>
        <w:tc>
          <w:tcPr>
            <w:tcW w:w="1701" w:type="dxa"/>
            <w:shd w:val="clear" w:color="auto" w:fill="auto"/>
            <w:noWrap/>
            <w:vAlign w:val="bottom"/>
            <w:hideMark/>
          </w:tcPr>
          <w:p w14:paraId="075BC34A"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4.00 [2.00;7.00]</w:t>
            </w:r>
          </w:p>
        </w:tc>
        <w:tc>
          <w:tcPr>
            <w:tcW w:w="1701" w:type="dxa"/>
            <w:shd w:val="clear" w:color="auto" w:fill="auto"/>
            <w:noWrap/>
            <w:vAlign w:val="bottom"/>
            <w:hideMark/>
          </w:tcPr>
          <w:p w14:paraId="665FAADF"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8.00 [5.00;12.00]</w:t>
            </w:r>
          </w:p>
        </w:tc>
        <w:tc>
          <w:tcPr>
            <w:tcW w:w="1701" w:type="dxa"/>
            <w:shd w:val="clear" w:color="auto" w:fill="auto"/>
            <w:noWrap/>
            <w:vAlign w:val="bottom"/>
            <w:hideMark/>
          </w:tcPr>
          <w:p w14:paraId="7F2B27AA" w14:textId="77777777" w:rsidR="00EF113D" w:rsidRPr="0024326E" w:rsidRDefault="00EF113D" w:rsidP="00E37E60">
            <w:pPr>
              <w:spacing w:after="0" w:line="240" w:lineRule="auto"/>
              <w:jc w:val="center"/>
              <w:rPr>
                <w:rFonts w:eastAsia="Times New Roman" w:cs="Calibri"/>
                <w:color w:val="000000"/>
                <w:lang w:eastAsia="fr-FR"/>
              </w:rPr>
            </w:pPr>
          </w:p>
        </w:tc>
        <w:tc>
          <w:tcPr>
            <w:tcW w:w="1175" w:type="dxa"/>
            <w:shd w:val="clear" w:color="auto" w:fill="auto"/>
            <w:noWrap/>
            <w:vAlign w:val="bottom"/>
            <w:hideMark/>
          </w:tcPr>
          <w:p w14:paraId="359DB239"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EF113D" w:rsidRPr="0009503D" w14:paraId="2BC0CCB9" w14:textId="77777777" w:rsidTr="00B368B8">
        <w:trPr>
          <w:trHeight w:val="300"/>
          <w:jc w:val="center"/>
        </w:trPr>
        <w:tc>
          <w:tcPr>
            <w:tcW w:w="3402" w:type="dxa"/>
            <w:shd w:val="clear" w:color="auto" w:fill="auto"/>
            <w:noWrap/>
            <w:vAlign w:val="center"/>
            <w:hideMark/>
          </w:tcPr>
          <w:p w14:paraId="719DE6AB" w14:textId="32EC35C7" w:rsidR="00EF113D" w:rsidRPr="00136FDD" w:rsidRDefault="00136FDD" w:rsidP="00E37E60">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t>High flow nasal oxygen (HFNO)</w:t>
            </w:r>
            <w:r w:rsidR="00EF113D" w:rsidRPr="00136FDD">
              <w:rPr>
                <w:rFonts w:eastAsia="Times New Roman" w:cs="Calibri"/>
                <w:b/>
                <w:color w:val="000000"/>
                <w:lang w:val="en-US" w:eastAsia="fr-FR"/>
              </w:rPr>
              <w:t xml:space="preserve"> (N=1595) </w:t>
            </w:r>
          </w:p>
        </w:tc>
        <w:tc>
          <w:tcPr>
            <w:tcW w:w="1701" w:type="dxa"/>
            <w:shd w:val="clear" w:color="auto" w:fill="auto"/>
            <w:noWrap/>
            <w:vAlign w:val="bottom"/>
            <w:hideMark/>
          </w:tcPr>
          <w:p w14:paraId="51A7184B"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25BDDED"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95D770E"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1AD4980" w14:textId="77777777" w:rsidR="00EF113D" w:rsidRPr="00136FDD" w:rsidRDefault="00EF113D" w:rsidP="00E37E60">
            <w:pPr>
              <w:spacing w:after="0" w:line="240" w:lineRule="auto"/>
              <w:rPr>
                <w:rFonts w:eastAsia="Times New Roman" w:cs="Calibri"/>
                <w:b/>
                <w:color w:val="000000"/>
                <w:lang w:val="en-US" w:eastAsia="fr-FR"/>
              </w:rPr>
            </w:pPr>
          </w:p>
        </w:tc>
        <w:tc>
          <w:tcPr>
            <w:tcW w:w="1175" w:type="dxa"/>
            <w:shd w:val="clear" w:color="auto" w:fill="auto"/>
            <w:noWrap/>
            <w:vAlign w:val="bottom"/>
            <w:hideMark/>
          </w:tcPr>
          <w:p w14:paraId="2FE97F2E" w14:textId="77777777" w:rsidR="00EF113D" w:rsidRPr="00136FDD" w:rsidRDefault="00EF113D" w:rsidP="00E37E60">
            <w:pPr>
              <w:spacing w:after="0" w:line="240" w:lineRule="auto"/>
              <w:rPr>
                <w:rFonts w:eastAsia="Times New Roman" w:cs="Calibri"/>
                <w:b/>
                <w:color w:val="000000"/>
                <w:lang w:val="en-US" w:eastAsia="fr-FR"/>
              </w:rPr>
            </w:pPr>
          </w:p>
        </w:tc>
      </w:tr>
      <w:tr w:rsidR="00B368B8" w:rsidRPr="0024326E" w14:paraId="4ED7685A" w14:textId="77777777" w:rsidTr="00B368B8">
        <w:trPr>
          <w:trHeight w:val="300"/>
          <w:jc w:val="center"/>
        </w:trPr>
        <w:tc>
          <w:tcPr>
            <w:tcW w:w="3402" w:type="dxa"/>
            <w:shd w:val="clear" w:color="auto" w:fill="auto"/>
            <w:noWrap/>
            <w:vAlign w:val="center"/>
            <w:hideMark/>
          </w:tcPr>
          <w:p w14:paraId="1E7A93D9" w14:textId="7D61AC45" w:rsidR="00B368B8" w:rsidRPr="0024326E" w:rsidRDefault="00B368B8" w:rsidP="00B368B8">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5F86BFFA"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1473 (92.35%)</w:t>
            </w:r>
          </w:p>
        </w:tc>
        <w:tc>
          <w:tcPr>
            <w:tcW w:w="1701" w:type="dxa"/>
            <w:shd w:val="clear" w:color="auto" w:fill="auto"/>
            <w:noWrap/>
            <w:vAlign w:val="bottom"/>
            <w:hideMark/>
          </w:tcPr>
          <w:p w14:paraId="4F7FB2FC"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1415 (93.34%)</w:t>
            </w:r>
          </w:p>
        </w:tc>
        <w:tc>
          <w:tcPr>
            <w:tcW w:w="1701" w:type="dxa"/>
            <w:shd w:val="clear" w:color="auto" w:fill="auto"/>
            <w:noWrap/>
            <w:vAlign w:val="bottom"/>
            <w:hideMark/>
          </w:tcPr>
          <w:p w14:paraId="71024D3A"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58 (73.42%)</w:t>
            </w:r>
          </w:p>
        </w:tc>
        <w:tc>
          <w:tcPr>
            <w:tcW w:w="1701" w:type="dxa"/>
            <w:shd w:val="clear" w:color="auto" w:fill="auto"/>
            <w:noWrap/>
            <w:vAlign w:val="bottom"/>
            <w:hideMark/>
          </w:tcPr>
          <w:p w14:paraId="0059A88E"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1175" w:type="dxa"/>
            <w:shd w:val="clear" w:color="auto" w:fill="auto"/>
            <w:noWrap/>
            <w:vAlign w:val="bottom"/>
            <w:hideMark/>
          </w:tcPr>
          <w:p w14:paraId="0AA3F41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B368B8" w:rsidRPr="0024326E" w14:paraId="7EC9D677" w14:textId="77777777" w:rsidTr="00B368B8">
        <w:trPr>
          <w:trHeight w:val="300"/>
          <w:jc w:val="center"/>
        </w:trPr>
        <w:tc>
          <w:tcPr>
            <w:tcW w:w="3402" w:type="dxa"/>
            <w:shd w:val="clear" w:color="auto" w:fill="auto"/>
            <w:noWrap/>
            <w:vAlign w:val="center"/>
            <w:hideMark/>
          </w:tcPr>
          <w:p w14:paraId="38CB18AE" w14:textId="48565033" w:rsidR="00B368B8" w:rsidRPr="0024326E" w:rsidRDefault="00B368B8" w:rsidP="00B368B8">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627EAD8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122 (7.65%)</w:t>
            </w:r>
          </w:p>
        </w:tc>
        <w:tc>
          <w:tcPr>
            <w:tcW w:w="1701" w:type="dxa"/>
            <w:shd w:val="clear" w:color="auto" w:fill="auto"/>
            <w:noWrap/>
            <w:vAlign w:val="bottom"/>
            <w:hideMark/>
          </w:tcPr>
          <w:p w14:paraId="30D386C8"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101 (6.66%)</w:t>
            </w:r>
          </w:p>
        </w:tc>
        <w:tc>
          <w:tcPr>
            <w:tcW w:w="1701" w:type="dxa"/>
            <w:shd w:val="clear" w:color="auto" w:fill="auto"/>
            <w:noWrap/>
            <w:vAlign w:val="bottom"/>
            <w:hideMark/>
          </w:tcPr>
          <w:p w14:paraId="3DE67ABA"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21 (26.58%)</w:t>
            </w:r>
          </w:p>
        </w:tc>
        <w:tc>
          <w:tcPr>
            <w:tcW w:w="1701" w:type="dxa"/>
            <w:shd w:val="clear" w:color="auto" w:fill="auto"/>
            <w:noWrap/>
            <w:vAlign w:val="bottom"/>
            <w:hideMark/>
          </w:tcPr>
          <w:p w14:paraId="4DFF03C4" w14:textId="77777777" w:rsidR="00B368B8" w:rsidRPr="0024326E" w:rsidRDefault="00B368B8" w:rsidP="00B368B8">
            <w:pPr>
              <w:spacing w:after="0" w:line="240" w:lineRule="auto"/>
              <w:jc w:val="center"/>
              <w:rPr>
                <w:rFonts w:eastAsia="Times New Roman" w:cs="Calibri"/>
                <w:color w:val="000000"/>
                <w:lang w:eastAsia="fr-FR"/>
              </w:rPr>
            </w:pPr>
            <w:r w:rsidRPr="0024326E">
              <w:rPr>
                <w:rFonts w:eastAsia="Times New Roman" w:cs="Calibri"/>
                <w:color w:val="000000"/>
                <w:lang w:eastAsia="fr-FR"/>
              </w:rPr>
              <w:t>5.07 [2.96;8.69]</w:t>
            </w:r>
          </w:p>
        </w:tc>
        <w:tc>
          <w:tcPr>
            <w:tcW w:w="1175" w:type="dxa"/>
            <w:shd w:val="clear" w:color="auto" w:fill="auto"/>
            <w:noWrap/>
            <w:vAlign w:val="bottom"/>
            <w:hideMark/>
          </w:tcPr>
          <w:p w14:paraId="4B405A02" w14:textId="77777777" w:rsidR="00B368B8" w:rsidRPr="0024326E" w:rsidRDefault="00B368B8" w:rsidP="00B368B8">
            <w:pPr>
              <w:spacing w:after="0" w:line="240" w:lineRule="auto"/>
              <w:jc w:val="center"/>
              <w:rPr>
                <w:rFonts w:eastAsia="Times New Roman" w:cs="Calibri"/>
                <w:color w:val="000000"/>
                <w:lang w:eastAsia="fr-FR"/>
              </w:rPr>
            </w:pPr>
          </w:p>
        </w:tc>
      </w:tr>
      <w:tr w:rsidR="00EF113D" w:rsidRPr="0009503D" w14:paraId="44633058" w14:textId="77777777" w:rsidTr="00B368B8">
        <w:trPr>
          <w:trHeight w:val="300"/>
          <w:jc w:val="center"/>
        </w:trPr>
        <w:tc>
          <w:tcPr>
            <w:tcW w:w="3402" w:type="dxa"/>
            <w:shd w:val="clear" w:color="auto" w:fill="auto"/>
            <w:noWrap/>
            <w:vAlign w:val="center"/>
            <w:hideMark/>
          </w:tcPr>
          <w:p w14:paraId="203587F9" w14:textId="7AE82DCB" w:rsidR="00EF113D" w:rsidRPr="00136FDD" w:rsidRDefault="00136FDD"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If HFNO</w:t>
            </w:r>
            <w:r w:rsidR="00EF113D" w:rsidRPr="00136FDD">
              <w:rPr>
                <w:rFonts w:eastAsia="Times New Roman" w:cs="Calibri"/>
                <w:b/>
                <w:color w:val="000000"/>
                <w:lang w:val="en-US" w:eastAsia="fr-FR"/>
              </w:rPr>
              <w:t xml:space="preserve">, </w:t>
            </w:r>
            <w:r w:rsidRPr="00136FDD">
              <w:rPr>
                <w:rFonts w:eastAsia="Times New Roman" w:cs="Calibri"/>
                <w:b/>
                <w:color w:val="000000"/>
                <w:lang w:val="en-US" w:eastAsia="fr-FR"/>
              </w:rPr>
              <w:t>length(day</w:t>
            </w:r>
            <w:r w:rsidR="00EF113D" w:rsidRPr="00136FDD">
              <w:rPr>
                <w:rFonts w:eastAsia="Times New Roman" w:cs="Calibri"/>
                <w:b/>
                <w:color w:val="000000"/>
                <w:lang w:val="en-US" w:eastAsia="fr-FR"/>
              </w:rPr>
              <w:t xml:space="preserve">s) (N=120) </w:t>
            </w:r>
          </w:p>
        </w:tc>
        <w:tc>
          <w:tcPr>
            <w:tcW w:w="1701" w:type="dxa"/>
            <w:shd w:val="clear" w:color="auto" w:fill="auto"/>
            <w:noWrap/>
            <w:vAlign w:val="bottom"/>
            <w:hideMark/>
          </w:tcPr>
          <w:p w14:paraId="40AE0EC8"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079F8C1"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248E5BF"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1A29DF1" w14:textId="77777777" w:rsidR="00EF113D" w:rsidRPr="00136FDD" w:rsidRDefault="00EF113D" w:rsidP="00E37E60">
            <w:pPr>
              <w:spacing w:after="0" w:line="240" w:lineRule="auto"/>
              <w:rPr>
                <w:rFonts w:eastAsia="Times New Roman" w:cs="Calibri"/>
                <w:b/>
                <w:color w:val="000000"/>
                <w:lang w:val="en-US" w:eastAsia="fr-FR"/>
              </w:rPr>
            </w:pPr>
          </w:p>
        </w:tc>
        <w:tc>
          <w:tcPr>
            <w:tcW w:w="1175" w:type="dxa"/>
            <w:shd w:val="clear" w:color="auto" w:fill="auto"/>
            <w:noWrap/>
            <w:vAlign w:val="bottom"/>
            <w:hideMark/>
          </w:tcPr>
          <w:p w14:paraId="2691D9F4" w14:textId="77777777" w:rsidR="00EF113D" w:rsidRPr="00136FDD" w:rsidRDefault="00EF113D" w:rsidP="00E37E60">
            <w:pPr>
              <w:spacing w:after="0" w:line="240" w:lineRule="auto"/>
              <w:rPr>
                <w:rFonts w:eastAsia="Times New Roman" w:cs="Calibri"/>
                <w:b/>
                <w:color w:val="000000"/>
                <w:lang w:val="en-US" w:eastAsia="fr-FR"/>
              </w:rPr>
            </w:pPr>
          </w:p>
        </w:tc>
      </w:tr>
      <w:tr w:rsidR="00EF113D" w:rsidRPr="0024326E" w14:paraId="4CCCE507" w14:textId="77777777" w:rsidTr="00B368B8">
        <w:trPr>
          <w:trHeight w:val="300"/>
          <w:jc w:val="center"/>
        </w:trPr>
        <w:tc>
          <w:tcPr>
            <w:tcW w:w="3402" w:type="dxa"/>
            <w:shd w:val="clear" w:color="auto" w:fill="auto"/>
            <w:noWrap/>
            <w:vAlign w:val="center"/>
            <w:hideMark/>
          </w:tcPr>
          <w:p w14:paraId="2C427D7B"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0DD4A58A"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5.00 [3.00;8.00]</w:t>
            </w:r>
          </w:p>
        </w:tc>
        <w:tc>
          <w:tcPr>
            <w:tcW w:w="1701" w:type="dxa"/>
            <w:shd w:val="clear" w:color="auto" w:fill="auto"/>
            <w:noWrap/>
            <w:vAlign w:val="bottom"/>
            <w:hideMark/>
          </w:tcPr>
          <w:p w14:paraId="31DF480B"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5.00 [2.00;7.00]</w:t>
            </w:r>
          </w:p>
        </w:tc>
        <w:tc>
          <w:tcPr>
            <w:tcW w:w="1701" w:type="dxa"/>
            <w:shd w:val="clear" w:color="auto" w:fill="auto"/>
            <w:noWrap/>
            <w:vAlign w:val="bottom"/>
            <w:hideMark/>
          </w:tcPr>
          <w:p w14:paraId="5DDBAE94"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7.00 [4.00;10.00]</w:t>
            </w:r>
          </w:p>
        </w:tc>
        <w:tc>
          <w:tcPr>
            <w:tcW w:w="1701" w:type="dxa"/>
            <w:shd w:val="clear" w:color="auto" w:fill="auto"/>
            <w:noWrap/>
            <w:vAlign w:val="bottom"/>
            <w:hideMark/>
          </w:tcPr>
          <w:p w14:paraId="4FC542C6" w14:textId="77777777" w:rsidR="00EF113D" w:rsidRPr="0024326E" w:rsidRDefault="00EF113D" w:rsidP="00E37E60">
            <w:pPr>
              <w:spacing w:after="0" w:line="240" w:lineRule="auto"/>
              <w:jc w:val="center"/>
              <w:rPr>
                <w:rFonts w:eastAsia="Times New Roman" w:cs="Calibri"/>
                <w:color w:val="000000"/>
                <w:lang w:eastAsia="fr-FR"/>
              </w:rPr>
            </w:pPr>
          </w:p>
        </w:tc>
        <w:tc>
          <w:tcPr>
            <w:tcW w:w="1175" w:type="dxa"/>
            <w:shd w:val="clear" w:color="auto" w:fill="auto"/>
            <w:noWrap/>
            <w:vAlign w:val="bottom"/>
            <w:hideMark/>
          </w:tcPr>
          <w:p w14:paraId="5D9F8C0E"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0.0037</w:t>
            </w:r>
          </w:p>
        </w:tc>
      </w:tr>
      <w:tr w:rsidR="00EF113D" w:rsidRPr="0009503D" w14:paraId="4874DE5E" w14:textId="77777777" w:rsidTr="00B368B8">
        <w:trPr>
          <w:trHeight w:val="300"/>
          <w:jc w:val="center"/>
        </w:trPr>
        <w:tc>
          <w:tcPr>
            <w:tcW w:w="3402" w:type="dxa"/>
            <w:shd w:val="clear" w:color="auto" w:fill="auto"/>
            <w:noWrap/>
            <w:vAlign w:val="center"/>
            <w:hideMark/>
          </w:tcPr>
          <w:p w14:paraId="6B7B259E" w14:textId="6A5544D2" w:rsidR="00EF113D" w:rsidRPr="00136FDD" w:rsidRDefault="00136FDD"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Length of hospital stay</w:t>
            </w:r>
            <w:r w:rsidR="00EF113D" w:rsidRPr="00136FDD">
              <w:rPr>
                <w:rFonts w:eastAsia="Times New Roman" w:cs="Calibri"/>
                <w:b/>
                <w:color w:val="000000"/>
                <w:lang w:val="en-US" w:eastAsia="fr-FR"/>
              </w:rPr>
              <w:t xml:space="preserve"> (</w:t>
            </w:r>
            <w:r>
              <w:rPr>
                <w:rFonts w:eastAsia="Times New Roman" w:cs="Calibri"/>
                <w:b/>
                <w:color w:val="000000"/>
                <w:lang w:val="en-US" w:eastAsia="fr-FR"/>
              </w:rPr>
              <w:t>days)</w:t>
            </w:r>
            <w:r w:rsidR="00EF113D" w:rsidRPr="00136FDD">
              <w:rPr>
                <w:rFonts w:eastAsia="Times New Roman" w:cs="Calibri"/>
                <w:b/>
                <w:color w:val="000000"/>
                <w:lang w:val="en-US" w:eastAsia="fr-FR"/>
              </w:rPr>
              <w:t xml:space="preserve"> (N=1601) </w:t>
            </w:r>
          </w:p>
        </w:tc>
        <w:tc>
          <w:tcPr>
            <w:tcW w:w="1701" w:type="dxa"/>
            <w:shd w:val="clear" w:color="auto" w:fill="auto"/>
            <w:noWrap/>
            <w:vAlign w:val="bottom"/>
            <w:hideMark/>
          </w:tcPr>
          <w:p w14:paraId="6E5F03B3"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E1DDA0B"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A42C71D" w14:textId="77777777" w:rsidR="00EF113D" w:rsidRPr="00136FDD"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EDD8BB0" w14:textId="77777777" w:rsidR="00EF113D" w:rsidRPr="00136FDD" w:rsidRDefault="00EF113D" w:rsidP="00E37E60">
            <w:pPr>
              <w:spacing w:after="0" w:line="240" w:lineRule="auto"/>
              <w:rPr>
                <w:rFonts w:eastAsia="Times New Roman" w:cs="Calibri"/>
                <w:b/>
                <w:color w:val="000000"/>
                <w:lang w:val="en-US" w:eastAsia="fr-FR"/>
              </w:rPr>
            </w:pPr>
          </w:p>
        </w:tc>
        <w:tc>
          <w:tcPr>
            <w:tcW w:w="1175" w:type="dxa"/>
            <w:shd w:val="clear" w:color="auto" w:fill="auto"/>
            <w:noWrap/>
            <w:vAlign w:val="bottom"/>
            <w:hideMark/>
          </w:tcPr>
          <w:p w14:paraId="3444A4D9" w14:textId="77777777" w:rsidR="00EF113D" w:rsidRPr="00136FDD" w:rsidRDefault="00EF113D" w:rsidP="00E37E60">
            <w:pPr>
              <w:spacing w:after="0" w:line="240" w:lineRule="auto"/>
              <w:rPr>
                <w:rFonts w:eastAsia="Times New Roman" w:cs="Calibri"/>
                <w:b/>
                <w:color w:val="000000"/>
                <w:lang w:val="en-US" w:eastAsia="fr-FR"/>
              </w:rPr>
            </w:pPr>
          </w:p>
        </w:tc>
      </w:tr>
      <w:tr w:rsidR="00EF113D" w:rsidRPr="0024326E" w14:paraId="4ED31B5B" w14:textId="77777777" w:rsidTr="00B368B8">
        <w:trPr>
          <w:trHeight w:val="300"/>
          <w:jc w:val="center"/>
        </w:trPr>
        <w:tc>
          <w:tcPr>
            <w:tcW w:w="3402" w:type="dxa"/>
            <w:shd w:val="clear" w:color="auto" w:fill="auto"/>
            <w:noWrap/>
            <w:vAlign w:val="center"/>
            <w:hideMark/>
          </w:tcPr>
          <w:p w14:paraId="46838534"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3E99F98D"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7.00 [4.00;11.00]</w:t>
            </w:r>
          </w:p>
        </w:tc>
        <w:tc>
          <w:tcPr>
            <w:tcW w:w="1701" w:type="dxa"/>
            <w:shd w:val="clear" w:color="auto" w:fill="auto"/>
            <w:noWrap/>
            <w:vAlign w:val="bottom"/>
            <w:hideMark/>
          </w:tcPr>
          <w:p w14:paraId="3407720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7.00 [4.00;11.00]</w:t>
            </w:r>
          </w:p>
        </w:tc>
        <w:tc>
          <w:tcPr>
            <w:tcW w:w="1701" w:type="dxa"/>
            <w:shd w:val="clear" w:color="auto" w:fill="auto"/>
            <w:noWrap/>
            <w:vAlign w:val="bottom"/>
            <w:hideMark/>
          </w:tcPr>
          <w:p w14:paraId="1CADA420"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10.00 [7.00;17.00]</w:t>
            </w:r>
          </w:p>
        </w:tc>
        <w:tc>
          <w:tcPr>
            <w:tcW w:w="1701" w:type="dxa"/>
            <w:shd w:val="clear" w:color="auto" w:fill="auto"/>
            <w:noWrap/>
            <w:vAlign w:val="bottom"/>
            <w:hideMark/>
          </w:tcPr>
          <w:p w14:paraId="4C7E1A98" w14:textId="77777777" w:rsidR="00EF113D" w:rsidRPr="0024326E" w:rsidRDefault="00EF113D" w:rsidP="00E37E60">
            <w:pPr>
              <w:spacing w:after="0" w:line="240" w:lineRule="auto"/>
              <w:jc w:val="center"/>
              <w:rPr>
                <w:rFonts w:eastAsia="Times New Roman" w:cs="Calibri"/>
                <w:color w:val="000000"/>
                <w:lang w:eastAsia="fr-FR"/>
              </w:rPr>
            </w:pPr>
          </w:p>
        </w:tc>
        <w:tc>
          <w:tcPr>
            <w:tcW w:w="1175" w:type="dxa"/>
            <w:shd w:val="clear" w:color="auto" w:fill="auto"/>
            <w:noWrap/>
            <w:vAlign w:val="bottom"/>
            <w:hideMark/>
          </w:tcPr>
          <w:p w14:paraId="1CCF1130"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bl>
    <w:p w14:paraId="7030A8C6" w14:textId="77777777" w:rsidR="004616F4" w:rsidRDefault="004616F4">
      <w:pPr>
        <w:rPr>
          <w:lang w:val="en-US"/>
        </w:rPr>
      </w:pPr>
      <w:r>
        <w:rPr>
          <w:lang w:val="en-US"/>
        </w:rPr>
        <w:br w:type="page"/>
      </w:r>
    </w:p>
    <w:p w14:paraId="15C7A29A" w14:textId="2C2421DA" w:rsidR="004616F4" w:rsidRDefault="00FA11E0" w:rsidP="004616F4">
      <w:pPr>
        <w:rPr>
          <w:lang w:val="en-US"/>
        </w:rPr>
      </w:pPr>
      <w:r>
        <w:rPr>
          <w:u w:val="single"/>
          <w:lang w:val="en-US"/>
        </w:rPr>
        <w:lastRenderedPageBreak/>
        <w:t>Supplementary table 5</w:t>
      </w:r>
      <w:r w:rsidR="004616F4" w:rsidRPr="008A32C4">
        <w:rPr>
          <w:lang w:val="en-US"/>
        </w:rPr>
        <w:t>: Evolution during hospital stay: patient only requiring ICU admission (“ICU group”</w:t>
      </w:r>
      <w:proofErr w:type="gramStart"/>
      <w:r w:rsidR="004616F4" w:rsidRPr="008A32C4">
        <w:rPr>
          <w:lang w:val="en-US"/>
        </w:rPr>
        <w:t>) :</w:t>
      </w:r>
      <w:proofErr w:type="gramEnd"/>
      <w:r w:rsidR="004616F4" w:rsidRPr="008A32C4">
        <w:rPr>
          <w:lang w:val="en-US"/>
        </w:rPr>
        <w:t xml:space="preserve"> </w:t>
      </w:r>
      <w:proofErr w:type="spellStart"/>
      <w:r w:rsidR="004616F4" w:rsidRPr="008A32C4">
        <w:rPr>
          <w:lang w:val="en-US"/>
        </w:rPr>
        <w:t>Tocilizumab</w:t>
      </w:r>
      <w:proofErr w:type="spellEnd"/>
      <w:r w:rsidR="004616F4" w:rsidRPr="008A32C4">
        <w:rPr>
          <w:lang w:val="en-US"/>
        </w:rPr>
        <w:t xml:space="preserve"> vs no </w:t>
      </w:r>
      <w:proofErr w:type="spellStart"/>
      <w:r w:rsidR="004616F4" w:rsidRPr="008A32C4">
        <w:rPr>
          <w:lang w:val="en-US"/>
        </w:rPr>
        <w:t>Tocilizumab</w:t>
      </w:r>
      <w:proofErr w:type="spellEnd"/>
    </w:p>
    <w:tbl>
      <w:tblPr>
        <w:tblW w:w="1106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863"/>
      </w:tblGrid>
      <w:tr w:rsidR="00EF113D" w:rsidRPr="0024326E" w14:paraId="25AC0237" w14:textId="77777777" w:rsidTr="00E37E60">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26B5AC5D" w14:textId="77777777" w:rsidR="00EF113D" w:rsidRPr="00633CE1" w:rsidRDefault="00EF113D" w:rsidP="00E37E60">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22A22B0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Total (N=984)</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42596AB5" w14:textId="58EA24FB" w:rsidR="00EF113D" w:rsidRPr="0024326E" w:rsidRDefault="00633CE1" w:rsidP="00E37E60">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00EF113D" w:rsidRPr="0024326E">
              <w:rPr>
                <w:rFonts w:eastAsia="Times New Roman" w:cs="Calibri"/>
                <w:color w:val="000000"/>
                <w:lang w:eastAsia="fr-FR"/>
              </w:rPr>
              <w:t>ocilizumab</w:t>
            </w:r>
            <w:proofErr w:type="spellEnd"/>
            <w:r w:rsidR="00EF113D" w:rsidRPr="0024326E">
              <w:rPr>
                <w:rFonts w:eastAsia="Times New Roman" w:cs="Calibri"/>
                <w:color w:val="000000"/>
                <w:lang w:eastAsia="fr-FR"/>
              </w:rPr>
              <w:t xml:space="preserve"> (N=872)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B5F804F" w14:textId="77777777" w:rsidR="00EF113D" w:rsidRPr="0024326E" w:rsidRDefault="00EF113D" w:rsidP="00E37E60">
            <w:pPr>
              <w:spacing w:after="0" w:line="240" w:lineRule="auto"/>
              <w:jc w:val="center"/>
              <w:rPr>
                <w:rFonts w:eastAsia="Times New Roman" w:cs="Calibri"/>
                <w:color w:val="000000"/>
                <w:lang w:eastAsia="fr-FR"/>
              </w:rPr>
            </w:pPr>
            <w:proofErr w:type="spellStart"/>
            <w:r w:rsidRPr="0024326E">
              <w:rPr>
                <w:rFonts w:eastAsia="Times New Roman" w:cs="Calibri"/>
                <w:color w:val="000000"/>
                <w:lang w:eastAsia="fr-FR"/>
              </w:rPr>
              <w:t>Tocilizumab</w:t>
            </w:r>
            <w:proofErr w:type="spellEnd"/>
            <w:r w:rsidRPr="0024326E">
              <w:rPr>
                <w:rFonts w:eastAsia="Times New Roman" w:cs="Calibri"/>
                <w:color w:val="000000"/>
                <w:lang w:eastAsia="fr-FR"/>
              </w:rPr>
              <w:t xml:space="preserve"> (N=112)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9CA5FBF"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OR [IC95%]</w:t>
            </w:r>
          </w:p>
        </w:tc>
        <w:tc>
          <w:tcPr>
            <w:tcW w:w="863" w:type="dxa"/>
            <w:tcBorders>
              <w:top w:val="single" w:sz="4" w:space="0" w:color="auto"/>
              <w:bottom w:val="single" w:sz="4" w:space="0" w:color="auto"/>
            </w:tcBorders>
            <w:shd w:val="clear" w:color="auto" w:fill="D9D9D9" w:themeFill="background1" w:themeFillShade="D9"/>
            <w:noWrap/>
            <w:vAlign w:val="bottom"/>
            <w:hideMark/>
          </w:tcPr>
          <w:p w14:paraId="03C7DE69"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p</w:t>
            </w:r>
          </w:p>
        </w:tc>
      </w:tr>
      <w:tr w:rsidR="00EF113D" w:rsidRPr="0024326E" w14:paraId="615E115D" w14:textId="77777777" w:rsidTr="00E37E60">
        <w:trPr>
          <w:trHeight w:val="300"/>
          <w:jc w:val="center"/>
        </w:trPr>
        <w:tc>
          <w:tcPr>
            <w:tcW w:w="3402" w:type="dxa"/>
            <w:tcBorders>
              <w:top w:val="single" w:sz="4" w:space="0" w:color="auto"/>
            </w:tcBorders>
            <w:shd w:val="clear" w:color="auto" w:fill="auto"/>
            <w:noWrap/>
            <w:vAlign w:val="center"/>
            <w:hideMark/>
          </w:tcPr>
          <w:p w14:paraId="52DDC7EE" w14:textId="77777777" w:rsidR="00EF113D" w:rsidRPr="0024326E" w:rsidRDefault="00EF113D" w:rsidP="00E37E60">
            <w:pPr>
              <w:spacing w:after="0" w:line="240" w:lineRule="auto"/>
              <w:rPr>
                <w:rFonts w:eastAsia="Times New Roman" w:cs="Calibri"/>
                <w:b/>
                <w:color w:val="000000"/>
                <w:lang w:eastAsia="fr-FR"/>
              </w:rPr>
            </w:pPr>
            <w:r w:rsidRPr="0024326E">
              <w:rPr>
                <w:rFonts w:eastAsia="Times New Roman" w:cs="Calibri"/>
                <w:b/>
                <w:color w:val="000000"/>
                <w:lang w:eastAsia="fr-FR"/>
              </w:rPr>
              <w:t>Anticoagulation (N=976)</w:t>
            </w:r>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214BC809" w14:textId="77777777" w:rsidR="00EF113D" w:rsidRPr="0024326E" w:rsidRDefault="00EF113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7345BB30" w14:textId="77777777" w:rsidR="00EF113D" w:rsidRPr="0024326E" w:rsidRDefault="00EF113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552B09F0" w14:textId="77777777" w:rsidR="00EF113D" w:rsidRPr="0024326E" w:rsidRDefault="00EF113D" w:rsidP="00E37E60">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6F290C6F" w14:textId="77777777" w:rsidR="00EF113D" w:rsidRPr="0024326E" w:rsidRDefault="00EF113D" w:rsidP="00E37E60">
            <w:pPr>
              <w:spacing w:after="0" w:line="240" w:lineRule="auto"/>
              <w:rPr>
                <w:rFonts w:eastAsia="Times New Roman" w:cs="Calibri"/>
                <w:b/>
                <w:color w:val="000000"/>
                <w:lang w:eastAsia="fr-FR"/>
              </w:rPr>
            </w:pPr>
          </w:p>
        </w:tc>
        <w:tc>
          <w:tcPr>
            <w:tcW w:w="863" w:type="dxa"/>
            <w:tcBorders>
              <w:top w:val="single" w:sz="4" w:space="0" w:color="auto"/>
            </w:tcBorders>
            <w:shd w:val="clear" w:color="auto" w:fill="auto"/>
            <w:noWrap/>
            <w:vAlign w:val="bottom"/>
            <w:hideMark/>
          </w:tcPr>
          <w:p w14:paraId="14CEECC5"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7989D89B" w14:textId="77777777" w:rsidTr="00E37E60">
        <w:trPr>
          <w:trHeight w:val="300"/>
          <w:jc w:val="center"/>
        </w:trPr>
        <w:tc>
          <w:tcPr>
            <w:tcW w:w="3402" w:type="dxa"/>
            <w:shd w:val="clear" w:color="auto" w:fill="auto"/>
            <w:noWrap/>
            <w:vAlign w:val="center"/>
            <w:hideMark/>
          </w:tcPr>
          <w:p w14:paraId="70CD07C8" w14:textId="1F08CD8C"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04B06C2F"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170 (17.42%)</w:t>
            </w:r>
          </w:p>
        </w:tc>
        <w:tc>
          <w:tcPr>
            <w:tcW w:w="1701" w:type="dxa"/>
            <w:shd w:val="clear" w:color="auto" w:fill="auto"/>
            <w:noWrap/>
            <w:vAlign w:val="bottom"/>
            <w:hideMark/>
          </w:tcPr>
          <w:p w14:paraId="7F33098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169 (19.56%)</w:t>
            </w:r>
          </w:p>
        </w:tc>
        <w:tc>
          <w:tcPr>
            <w:tcW w:w="1701" w:type="dxa"/>
            <w:shd w:val="clear" w:color="auto" w:fill="auto"/>
            <w:noWrap/>
            <w:vAlign w:val="bottom"/>
            <w:hideMark/>
          </w:tcPr>
          <w:p w14:paraId="6401AB07"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 (0.89%)</w:t>
            </w:r>
          </w:p>
        </w:tc>
        <w:tc>
          <w:tcPr>
            <w:tcW w:w="1701" w:type="dxa"/>
            <w:shd w:val="clear" w:color="auto" w:fill="auto"/>
            <w:noWrap/>
            <w:vAlign w:val="bottom"/>
            <w:hideMark/>
          </w:tcPr>
          <w:p w14:paraId="2F0B18B7"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57BFF0E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8A32C4" w:rsidRPr="0024326E" w14:paraId="6BEC382E" w14:textId="77777777" w:rsidTr="00E37E60">
        <w:trPr>
          <w:trHeight w:val="300"/>
          <w:jc w:val="center"/>
        </w:trPr>
        <w:tc>
          <w:tcPr>
            <w:tcW w:w="3402" w:type="dxa"/>
            <w:shd w:val="clear" w:color="auto" w:fill="auto"/>
            <w:noWrap/>
            <w:vAlign w:val="center"/>
            <w:hideMark/>
          </w:tcPr>
          <w:p w14:paraId="3847BAD4" w14:textId="48770860"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2D72EE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806 (82.58%)</w:t>
            </w:r>
          </w:p>
        </w:tc>
        <w:tc>
          <w:tcPr>
            <w:tcW w:w="1701" w:type="dxa"/>
            <w:shd w:val="clear" w:color="auto" w:fill="auto"/>
            <w:noWrap/>
            <w:vAlign w:val="bottom"/>
            <w:hideMark/>
          </w:tcPr>
          <w:p w14:paraId="042F569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695 (80.44%)</w:t>
            </w:r>
          </w:p>
        </w:tc>
        <w:tc>
          <w:tcPr>
            <w:tcW w:w="1701" w:type="dxa"/>
            <w:shd w:val="clear" w:color="auto" w:fill="auto"/>
            <w:noWrap/>
            <w:vAlign w:val="bottom"/>
            <w:hideMark/>
          </w:tcPr>
          <w:p w14:paraId="2719D6AB"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111 (99.11%)</w:t>
            </w:r>
          </w:p>
        </w:tc>
        <w:tc>
          <w:tcPr>
            <w:tcW w:w="1701" w:type="dxa"/>
            <w:shd w:val="clear" w:color="auto" w:fill="auto"/>
            <w:noWrap/>
            <w:vAlign w:val="bottom"/>
            <w:hideMark/>
          </w:tcPr>
          <w:p w14:paraId="254D229C"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26.99 [3.74;194.70]</w:t>
            </w:r>
          </w:p>
        </w:tc>
        <w:tc>
          <w:tcPr>
            <w:tcW w:w="863" w:type="dxa"/>
            <w:shd w:val="clear" w:color="auto" w:fill="auto"/>
            <w:noWrap/>
            <w:vAlign w:val="bottom"/>
            <w:hideMark/>
          </w:tcPr>
          <w:p w14:paraId="1B356EE6"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24326E" w14:paraId="42F98669" w14:textId="77777777" w:rsidTr="00E37E60">
        <w:trPr>
          <w:trHeight w:val="300"/>
          <w:jc w:val="center"/>
        </w:trPr>
        <w:tc>
          <w:tcPr>
            <w:tcW w:w="3402" w:type="dxa"/>
            <w:shd w:val="clear" w:color="auto" w:fill="auto"/>
            <w:noWrap/>
            <w:vAlign w:val="center"/>
            <w:hideMark/>
          </w:tcPr>
          <w:p w14:paraId="6034399D" w14:textId="77777777" w:rsidR="00EF113D" w:rsidRPr="0024326E" w:rsidRDefault="00EF113D" w:rsidP="00E37E60">
            <w:pPr>
              <w:spacing w:after="0" w:line="240" w:lineRule="auto"/>
              <w:rPr>
                <w:rFonts w:eastAsia="Times New Roman" w:cs="Calibri"/>
                <w:b/>
                <w:color w:val="000000"/>
                <w:lang w:eastAsia="fr-FR"/>
              </w:rPr>
            </w:pPr>
            <w:r w:rsidRPr="0024326E">
              <w:rPr>
                <w:rFonts w:eastAsia="Times New Roman" w:cs="Calibri"/>
                <w:b/>
                <w:color w:val="000000"/>
                <w:lang w:eastAsia="fr-FR"/>
              </w:rPr>
              <w:t>Anticoagulation, type (N=806)</w:t>
            </w:r>
            <w:r>
              <w:rPr>
                <w:rFonts w:eastAsia="Times New Roman" w:cs="Calibri"/>
                <w:b/>
                <w:color w:val="000000"/>
                <w:lang w:eastAsia="fr-FR"/>
              </w:rPr>
              <w:t xml:space="preserve"> </w:t>
            </w:r>
          </w:p>
        </w:tc>
        <w:tc>
          <w:tcPr>
            <w:tcW w:w="1701" w:type="dxa"/>
            <w:shd w:val="clear" w:color="auto" w:fill="auto"/>
            <w:noWrap/>
            <w:vAlign w:val="bottom"/>
            <w:hideMark/>
          </w:tcPr>
          <w:p w14:paraId="4E933472"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04FCF49"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0CFDD25"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1637BB5"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308D977E" w14:textId="77777777" w:rsidR="00EF113D" w:rsidRPr="0024326E" w:rsidRDefault="00EF113D" w:rsidP="00E37E60">
            <w:pPr>
              <w:spacing w:after="0" w:line="240" w:lineRule="auto"/>
              <w:rPr>
                <w:rFonts w:eastAsia="Times New Roman" w:cs="Calibri"/>
                <w:b/>
                <w:color w:val="000000"/>
                <w:lang w:eastAsia="fr-FR"/>
              </w:rPr>
            </w:pPr>
          </w:p>
        </w:tc>
      </w:tr>
      <w:tr w:rsidR="00633CE1" w:rsidRPr="0024326E" w14:paraId="2B77A8E8" w14:textId="77777777" w:rsidTr="00E37E60">
        <w:trPr>
          <w:trHeight w:val="300"/>
          <w:jc w:val="center"/>
        </w:trPr>
        <w:tc>
          <w:tcPr>
            <w:tcW w:w="3402" w:type="dxa"/>
            <w:shd w:val="clear" w:color="auto" w:fill="auto"/>
            <w:noWrap/>
            <w:vAlign w:val="center"/>
            <w:hideMark/>
          </w:tcPr>
          <w:p w14:paraId="79A63AB0" w14:textId="7A331B73" w:rsidR="00633CE1" w:rsidRPr="0024326E" w:rsidRDefault="00633CE1" w:rsidP="00633CE1">
            <w:pPr>
              <w:spacing w:after="0" w:line="240" w:lineRule="auto"/>
              <w:jc w:val="right"/>
              <w:rPr>
                <w:rFonts w:eastAsia="Times New Roman" w:cs="Calibri"/>
                <w:color w:val="000000"/>
                <w:lang w:eastAsia="fr-FR"/>
              </w:rPr>
            </w:pPr>
            <w:r w:rsidRPr="0024326E">
              <w:rPr>
                <w:rFonts w:eastAsia="Times New Roman" w:cs="Calibri"/>
                <w:color w:val="000000"/>
                <w:lang w:eastAsia="fr-FR"/>
              </w:rPr>
              <w:t>Curative</w:t>
            </w:r>
            <w:r>
              <w:rPr>
                <w:rFonts w:eastAsia="Times New Roman" w:cs="Calibri"/>
                <w:color w:val="000000"/>
                <w:lang w:eastAsia="fr-FR"/>
              </w:rPr>
              <w:t xml:space="preserve"> </w:t>
            </w:r>
          </w:p>
        </w:tc>
        <w:tc>
          <w:tcPr>
            <w:tcW w:w="1701" w:type="dxa"/>
            <w:shd w:val="clear" w:color="auto" w:fill="auto"/>
            <w:noWrap/>
            <w:vAlign w:val="bottom"/>
            <w:hideMark/>
          </w:tcPr>
          <w:p w14:paraId="79267C41"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262 (32.51%)</w:t>
            </w:r>
          </w:p>
        </w:tc>
        <w:tc>
          <w:tcPr>
            <w:tcW w:w="1701" w:type="dxa"/>
            <w:shd w:val="clear" w:color="auto" w:fill="auto"/>
            <w:noWrap/>
            <w:vAlign w:val="bottom"/>
            <w:hideMark/>
          </w:tcPr>
          <w:p w14:paraId="5479AF4A"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233 (33.53%)</w:t>
            </w:r>
          </w:p>
        </w:tc>
        <w:tc>
          <w:tcPr>
            <w:tcW w:w="1701" w:type="dxa"/>
            <w:shd w:val="clear" w:color="auto" w:fill="auto"/>
            <w:noWrap/>
            <w:vAlign w:val="bottom"/>
            <w:hideMark/>
          </w:tcPr>
          <w:p w14:paraId="5B469674"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29 (26.13%)</w:t>
            </w:r>
          </w:p>
        </w:tc>
        <w:tc>
          <w:tcPr>
            <w:tcW w:w="1701" w:type="dxa"/>
            <w:shd w:val="clear" w:color="auto" w:fill="auto"/>
            <w:noWrap/>
            <w:vAlign w:val="bottom"/>
            <w:hideMark/>
          </w:tcPr>
          <w:p w14:paraId="3E06C18C"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243BF6CC"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0.0060</w:t>
            </w:r>
          </w:p>
        </w:tc>
      </w:tr>
      <w:tr w:rsidR="00633CE1" w:rsidRPr="0024326E" w14:paraId="7894D83F" w14:textId="77777777" w:rsidTr="00E37E60">
        <w:trPr>
          <w:trHeight w:val="300"/>
          <w:jc w:val="center"/>
        </w:trPr>
        <w:tc>
          <w:tcPr>
            <w:tcW w:w="3402" w:type="dxa"/>
            <w:shd w:val="clear" w:color="auto" w:fill="auto"/>
            <w:noWrap/>
            <w:vAlign w:val="center"/>
            <w:hideMark/>
          </w:tcPr>
          <w:p w14:paraId="289799FC" w14:textId="4221E666" w:rsidR="00633CE1" w:rsidRPr="0024326E" w:rsidRDefault="00633CE1" w:rsidP="00633CE1">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Pr</w:t>
            </w:r>
            <w:r>
              <w:rPr>
                <w:rFonts w:eastAsia="Times New Roman" w:cs="Calibri"/>
                <w:color w:val="000000"/>
                <w:lang w:eastAsia="fr-FR"/>
              </w:rPr>
              <w:t>e</w:t>
            </w:r>
            <w:r w:rsidRPr="0024326E">
              <w:rPr>
                <w:rFonts w:eastAsia="Times New Roman" w:cs="Calibri"/>
                <w:color w:val="000000"/>
                <w:lang w:eastAsia="fr-FR"/>
              </w:rPr>
              <w:t>ventive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5AFB19E2"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122 (15.14%)</w:t>
            </w:r>
          </w:p>
        </w:tc>
        <w:tc>
          <w:tcPr>
            <w:tcW w:w="1701" w:type="dxa"/>
            <w:shd w:val="clear" w:color="auto" w:fill="auto"/>
            <w:noWrap/>
            <w:vAlign w:val="bottom"/>
            <w:hideMark/>
          </w:tcPr>
          <w:p w14:paraId="6E1CDBEC"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113 (16.26%)</w:t>
            </w:r>
          </w:p>
        </w:tc>
        <w:tc>
          <w:tcPr>
            <w:tcW w:w="1701" w:type="dxa"/>
            <w:shd w:val="clear" w:color="auto" w:fill="auto"/>
            <w:noWrap/>
            <w:vAlign w:val="bottom"/>
            <w:hideMark/>
          </w:tcPr>
          <w:p w14:paraId="642DF15B"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9 (8.11%)</w:t>
            </w:r>
          </w:p>
        </w:tc>
        <w:tc>
          <w:tcPr>
            <w:tcW w:w="1701" w:type="dxa"/>
            <w:shd w:val="clear" w:color="auto" w:fill="auto"/>
            <w:noWrap/>
            <w:vAlign w:val="bottom"/>
            <w:hideMark/>
          </w:tcPr>
          <w:p w14:paraId="51911D3A"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0.64 [0.29;1.40]</w:t>
            </w:r>
          </w:p>
        </w:tc>
        <w:tc>
          <w:tcPr>
            <w:tcW w:w="863" w:type="dxa"/>
            <w:shd w:val="clear" w:color="auto" w:fill="auto"/>
            <w:noWrap/>
            <w:vAlign w:val="bottom"/>
            <w:hideMark/>
          </w:tcPr>
          <w:p w14:paraId="471B2CDC" w14:textId="77777777" w:rsidR="00633CE1" w:rsidRPr="0024326E" w:rsidRDefault="00633CE1" w:rsidP="00633CE1">
            <w:pPr>
              <w:spacing w:after="0" w:line="240" w:lineRule="auto"/>
              <w:jc w:val="center"/>
              <w:rPr>
                <w:rFonts w:eastAsia="Times New Roman" w:cs="Calibri"/>
                <w:color w:val="000000"/>
                <w:lang w:eastAsia="fr-FR"/>
              </w:rPr>
            </w:pPr>
          </w:p>
        </w:tc>
      </w:tr>
      <w:tr w:rsidR="00633CE1" w:rsidRPr="0024326E" w14:paraId="05ADFC26" w14:textId="77777777" w:rsidTr="00E37E60">
        <w:trPr>
          <w:trHeight w:val="300"/>
          <w:jc w:val="center"/>
        </w:trPr>
        <w:tc>
          <w:tcPr>
            <w:tcW w:w="3402" w:type="dxa"/>
            <w:shd w:val="clear" w:color="auto" w:fill="auto"/>
            <w:noWrap/>
            <w:vAlign w:val="center"/>
            <w:hideMark/>
          </w:tcPr>
          <w:p w14:paraId="0138F169" w14:textId="2EE1F2BC" w:rsidR="00633CE1" w:rsidRPr="0024326E" w:rsidRDefault="00633CE1" w:rsidP="00633CE1">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Intermediate</w:t>
            </w:r>
            <w:proofErr w:type="spellEnd"/>
            <w:r>
              <w:rPr>
                <w:rFonts w:eastAsia="Times New Roman" w:cs="Calibri"/>
                <w:color w:val="000000"/>
                <w:lang w:eastAsia="fr-FR"/>
              </w:rPr>
              <w:t xml:space="preserve"> dose </w:t>
            </w:r>
            <w:proofErr w:type="spellStart"/>
            <w:r>
              <w:rPr>
                <w:rFonts w:eastAsia="Times New Roman" w:cs="Calibri"/>
                <w:color w:val="000000"/>
                <w:lang w:eastAsia="fr-FR"/>
              </w:rPr>
              <w:t>preventive</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091FAAD"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422 (52.36%)</w:t>
            </w:r>
          </w:p>
        </w:tc>
        <w:tc>
          <w:tcPr>
            <w:tcW w:w="1701" w:type="dxa"/>
            <w:shd w:val="clear" w:color="auto" w:fill="auto"/>
            <w:noWrap/>
            <w:vAlign w:val="bottom"/>
            <w:hideMark/>
          </w:tcPr>
          <w:p w14:paraId="7B4A74CB"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349 (50.22%)</w:t>
            </w:r>
          </w:p>
        </w:tc>
        <w:tc>
          <w:tcPr>
            <w:tcW w:w="1701" w:type="dxa"/>
            <w:shd w:val="clear" w:color="auto" w:fill="auto"/>
            <w:noWrap/>
            <w:vAlign w:val="bottom"/>
            <w:hideMark/>
          </w:tcPr>
          <w:p w14:paraId="726F930E"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73 (65.77%)</w:t>
            </w:r>
          </w:p>
        </w:tc>
        <w:tc>
          <w:tcPr>
            <w:tcW w:w="1701" w:type="dxa"/>
            <w:shd w:val="clear" w:color="auto" w:fill="auto"/>
            <w:noWrap/>
            <w:vAlign w:val="bottom"/>
            <w:hideMark/>
          </w:tcPr>
          <w:p w14:paraId="3D69629E" w14:textId="77777777" w:rsidR="00633CE1" w:rsidRPr="0024326E" w:rsidRDefault="00633CE1" w:rsidP="00633CE1">
            <w:pPr>
              <w:spacing w:after="0" w:line="240" w:lineRule="auto"/>
              <w:jc w:val="center"/>
              <w:rPr>
                <w:rFonts w:eastAsia="Times New Roman" w:cs="Calibri"/>
                <w:color w:val="000000"/>
                <w:lang w:eastAsia="fr-FR"/>
              </w:rPr>
            </w:pPr>
            <w:r w:rsidRPr="0024326E">
              <w:rPr>
                <w:rFonts w:eastAsia="Times New Roman" w:cs="Calibri"/>
                <w:color w:val="000000"/>
                <w:lang w:eastAsia="fr-FR"/>
              </w:rPr>
              <w:t>1.68 [1.06;2.66]</w:t>
            </w:r>
          </w:p>
        </w:tc>
        <w:tc>
          <w:tcPr>
            <w:tcW w:w="863" w:type="dxa"/>
            <w:shd w:val="clear" w:color="auto" w:fill="auto"/>
            <w:noWrap/>
            <w:vAlign w:val="bottom"/>
            <w:hideMark/>
          </w:tcPr>
          <w:p w14:paraId="0EF91BD9" w14:textId="77777777" w:rsidR="00633CE1" w:rsidRPr="0024326E" w:rsidRDefault="00633CE1" w:rsidP="00633CE1">
            <w:pPr>
              <w:spacing w:after="0" w:line="240" w:lineRule="auto"/>
              <w:jc w:val="center"/>
              <w:rPr>
                <w:rFonts w:eastAsia="Times New Roman" w:cs="Calibri"/>
                <w:color w:val="000000"/>
                <w:lang w:eastAsia="fr-FR"/>
              </w:rPr>
            </w:pPr>
          </w:p>
        </w:tc>
      </w:tr>
      <w:tr w:rsidR="00EF113D" w:rsidRPr="0024326E" w14:paraId="23D88259" w14:textId="77777777" w:rsidTr="00E37E60">
        <w:trPr>
          <w:trHeight w:val="300"/>
          <w:jc w:val="center"/>
        </w:trPr>
        <w:tc>
          <w:tcPr>
            <w:tcW w:w="3402" w:type="dxa"/>
            <w:shd w:val="clear" w:color="auto" w:fill="auto"/>
            <w:noWrap/>
            <w:vAlign w:val="center"/>
            <w:hideMark/>
          </w:tcPr>
          <w:p w14:paraId="7EAEE6A3" w14:textId="33DBC065" w:rsidR="00EF113D" w:rsidRPr="0024326E" w:rsidRDefault="00EF113D"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Cortico</w:t>
            </w:r>
            <w:r w:rsidR="00633CE1">
              <w:rPr>
                <w:rFonts w:eastAsia="Times New Roman" w:cs="Calibri"/>
                <w:b/>
                <w:color w:val="000000"/>
                <w:lang w:eastAsia="fr-FR"/>
              </w:rPr>
              <w:t>steroids</w:t>
            </w:r>
            <w:proofErr w:type="spellEnd"/>
            <w:r>
              <w:rPr>
                <w:rFonts w:eastAsia="Times New Roman" w:cs="Calibri"/>
                <w:b/>
                <w:color w:val="000000"/>
                <w:lang w:eastAsia="fr-FR"/>
              </w:rPr>
              <w:t xml:space="preserve"> </w:t>
            </w:r>
          </w:p>
        </w:tc>
        <w:tc>
          <w:tcPr>
            <w:tcW w:w="1701" w:type="dxa"/>
            <w:shd w:val="clear" w:color="auto" w:fill="auto"/>
            <w:noWrap/>
            <w:vAlign w:val="bottom"/>
            <w:hideMark/>
          </w:tcPr>
          <w:p w14:paraId="16D2FB32"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6FB69EF"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61BB536"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003CC15"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3CB917F2"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694C1A65" w14:textId="77777777" w:rsidTr="00E37E60">
        <w:trPr>
          <w:trHeight w:val="300"/>
          <w:jc w:val="center"/>
        </w:trPr>
        <w:tc>
          <w:tcPr>
            <w:tcW w:w="3402" w:type="dxa"/>
            <w:shd w:val="clear" w:color="auto" w:fill="auto"/>
            <w:noWrap/>
            <w:vAlign w:val="center"/>
            <w:hideMark/>
          </w:tcPr>
          <w:p w14:paraId="440D453B" w14:textId="314770B7"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C25CB6A"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364 (36.99%)</w:t>
            </w:r>
          </w:p>
        </w:tc>
        <w:tc>
          <w:tcPr>
            <w:tcW w:w="1701" w:type="dxa"/>
            <w:shd w:val="clear" w:color="auto" w:fill="auto"/>
            <w:noWrap/>
            <w:vAlign w:val="bottom"/>
            <w:hideMark/>
          </w:tcPr>
          <w:p w14:paraId="60F97952"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361 (41.40%)</w:t>
            </w:r>
          </w:p>
        </w:tc>
        <w:tc>
          <w:tcPr>
            <w:tcW w:w="1701" w:type="dxa"/>
            <w:shd w:val="clear" w:color="auto" w:fill="auto"/>
            <w:noWrap/>
            <w:vAlign w:val="bottom"/>
            <w:hideMark/>
          </w:tcPr>
          <w:p w14:paraId="5DB03A7F"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3 (2.68%)</w:t>
            </w:r>
          </w:p>
        </w:tc>
        <w:tc>
          <w:tcPr>
            <w:tcW w:w="1701" w:type="dxa"/>
            <w:shd w:val="clear" w:color="auto" w:fill="auto"/>
            <w:noWrap/>
            <w:vAlign w:val="bottom"/>
            <w:hideMark/>
          </w:tcPr>
          <w:p w14:paraId="4CC0EFB4"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20B8B6DE"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8A32C4" w:rsidRPr="0024326E" w14:paraId="5E7F75A5" w14:textId="77777777" w:rsidTr="00E37E60">
        <w:trPr>
          <w:trHeight w:val="300"/>
          <w:jc w:val="center"/>
        </w:trPr>
        <w:tc>
          <w:tcPr>
            <w:tcW w:w="3402" w:type="dxa"/>
            <w:shd w:val="clear" w:color="auto" w:fill="auto"/>
            <w:noWrap/>
            <w:vAlign w:val="center"/>
            <w:hideMark/>
          </w:tcPr>
          <w:p w14:paraId="279D73ED" w14:textId="72303618"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5E751FC4"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620 (63.01%)</w:t>
            </w:r>
          </w:p>
        </w:tc>
        <w:tc>
          <w:tcPr>
            <w:tcW w:w="1701" w:type="dxa"/>
            <w:shd w:val="clear" w:color="auto" w:fill="auto"/>
            <w:noWrap/>
            <w:vAlign w:val="bottom"/>
            <w:hideMark/>
          </w:tcPr>
          <w:p w14:paraId="4E5085C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511 (58.60%)</w:t>
            </w:r>
          </w:p>
        </w:tc>
        <w:tc>
          <w:tcPr>
            <w:tcW w:w="1701" w:type="dxa"/>
            <w:shd w:val="clear" w:color="auto" w:fill="auto"/>
            <w:noWrap/>
            <w:vAlign w:val="bottom"/>
            <w:hideMark/>
          </w:tcPr>
          <w:p w14:paraId="022932DC"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109 (97.32%)</w:t>
            </w:r>
          </w:p>
        </w:tc>
        <w:tc>
          <w:tcPr>
            <w:tcW w:w="1701" w:type="dxa"/>
            <w:shd w:val="clear" w:color="auto" w:fill="auto"/>
            <w:noWrap/>
            <w:vAlign w:val="bottom"/>
            <w:hideMark/>
          </w:tcPr>
          <w:p w14:paraId="0190D64D"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25.67 [8.09;81.47]</w:t>
            </w:r>
          </w:p>
        </w:tc>
        <w:tc>
          <w:tcPr>
            <w:tcW w:w="863" w:type="dxa"/>
            <w:shd w:val="clear" w:color="auto" w:fill="auto"/>
            <w:noWrap/>
            <w:vAlign w:val="bottom"/>
            <w:hideMark/>
          </w:tcPr>
          <w:p w14:paraId="2C79FA2E"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24326E" w14:paraId="4D5B561C" w14:textId="77777777" w:rsidTr="00E37E60">
        <w:trPr>
          <w:trHeight w:val="300"/>
          <w:jc w:val="center"/>
        </w:trPr>
        <w:tc>
          <w:tcPr>
            <w:tcW w:w="3402" w:type="dxa"/>
            <w:shd w:val="clear" w:color="auto" w:fill="auto"/>
            <w:noWrap/>
            <w:vAlign w:val="center"/>
            <w:hideMark/>
          </w:tcPr>
          <w:p w14:paraId="5AD117DA" w14:textId="2407B8AF" w:rsidR="00EF113D" w:rsidRPr="0024326E" w:rsidRDefault="00633CE1" w:rsidP="00E37E60">
            <w:pPr>
              <w:spacing w:after="0" w:line="240" w:lineRule="auto"/>
              <w:rPr>
                <w:rFonts w:eastAsia="Times New Roman" w:cs="Calibri"/>
                <w:b/>
                <w:color w:val="000000"/>
                <w:lang w:eastAsia="fr-FR"/>
              </w:rPr>
            </w:pPr>
            <w:r>
              <w:rPr>
                <w:rFonts w:eastAsia="Times New Roman" w:cs="Calibri"/>
                <w:b/>
                <w:color w:val="000000"/>
                <w:lang w:eastAsia="fr-FR"/>
              </w:rPr>
              <w:t xml:space="preserve">Proton </w:t>
            </w:r>
            <w:proofErr w:type="spellStart"/>
            <w:r>
              <w:rPr>
                <w:rFonts w:eastAsia="Times New Roman" w:cs="Calibri"/>
                <w:b/>
                <w:color w:val="000000"/>
                <w:lang w:eastAsia="fr-FR"/>
              </w:rPr>
              <w:t>pump</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inhibitors</w:t>
            </w:r>
            <w:proofErr w:type="spellEnd"/>
            <w:r w:rsidR="00EF113D" w:rsidRPr="0024326E">
              <w:rPr>
                <w:rFonts w:eastAsia="Times New Roman" w:cs="Calibri"/>
                <w:b/>
                <w:color w:val="000000"/>
                <w:lang w:eastAsia="fr-FR"/>
              </w:rPr>
              <w:t xml:space="preserve"> (N=983)</w:t>
            </w:r>
            <w:r w:rsidR="00EF113D">
              <w:rPr>
                <w:rFonts w:eastAsia="Times New Roman" w:cs="Calibri"/>
                <w:b/>
                <w:color w:val="000000"/>
                <w:lang w:eastAsia="fr-FR"/>
              </w:rPr>
              <w:t xml:space="preserve"> </w:t>
            </w:r>
          </w:p>
        </w:tc>
        <w:tc>
          <w:tcPr>
            <w:tcW w:w="1701" w:type="dxa"/>
            <w:shd w:val="clear" w:color="auto" w:fill="auto"/>
            <w:noWrap/>
            <w:vAlign w:val="bottom"/>
            <w:hideMark/>
          </w:tcPr>
          <w:p w14:paraId="228CE907"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2D47B6D"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C8FBBD1"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1253C1C"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7C7FC952"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679F35EF" w14:textId="77777777" w:rsidTr="00E37E60">
        <w:trPr>
          <w:trHeight w:val="300"/>
          <w:jc w:val="center"/>
        </w:trPr>
        <w:tc>
          <w:tcPr>
            <w:tcW w:w="3402" w:type="dxa"/>
            <w:shd w:val="clear" w:color="auto" w:fill="auto"/>
            <w:noWrap/>
            <w:vAlign w:val="center"/>
            <w:hideMark/>
          </w:tcPr>
          <w:p w14:paraId="44034BA9" w14:textId="6A6D77A4"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D7A63EB"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860 (87.49%)</w:t>
            </w:r>
          </w:p>
        </w:tc>
        <w:tc>
          <w:tcPr>
            <w:tcW w:w="1701" w:type="dxa"/>
            <w:shd w:val="clear" w:color="auto" w:fill="auto"/>
            <w:noWrap/>
            <w:vAlign w:val="bottom"/>
            <w:hideMark/>
          </w:tcPr>
          <w:p w14:paraId="6B57F9D2"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792 (90.93%)</w:t>
            </w:r>
          </w:p>
        </w:tc>
        <w:tc>
          <w:tcPr>
            <w:tcW w:w="1701" w:type="dxa"/>
            <w:shd w:val="clear" w:color="auto" w:fill="auto"/>
            <w:noWrap/>
            <w:vAlign w:val="bottom"/>
            <w:hideMark/>
          </w:tcPr>
          <w:p w14:paraId="2917EA1F"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68 (60.71%)</w:t>
            </w:r>
          </w:p>
        </w:tc>
        <w:tc>
          <w:tcPr>
            <w:tcW w:w="1701" w:type="dxa"/>
            <w:shd w:val="clear" w:color="auto" w:fill="auto"/>
            <w:noWrap/>
            <w:vAlign w:val="bottom"/>
            <w:hideMark/>
          </w:tcPr>
          <w:p w14:paraId="157D7245"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08956DBA"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&lt;0.0001</w:t>
            </w:r>
          </w:p>
        </w:tc>
      </w:tr>
      <w:tr w:rsidR="008A32C4" w:rsidRPr="0024326E" w14:paraId="1EABA83E" w14:textId="77777777" w:rsidTr="00E37E60">
        <w:trPr>
          <w:trHeight w:val="300"/>
          <w:jc w:val="center"/>
        </w:trPr>
        <w:tc>
          <w:tcPr>
            <w:tcW w:w="3402" w:type="dxa"/>
            <w:shd w:val="clear" w:color="auto" w:fill="auto"/>
            <w:noWrap/>
            <w:vAlign w:val="center"/>
            <w:hideMark/>
          </w:tcPr>
          <w:p w14:paraId="61E508F5" w14:textId="3581DF8E"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A9597DD"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123 (12.51%)</w:t>
            </w:r>
          </w:p>
        </w:tc>
        <w:tc>
          <w:tcPr>
            <w:tcW w:w="1701" w:type="dxa"/>
            <w:shd w:val="clear" w:color="auto" w:fill="auto"/>
            <w:noWrap/>
            <w:vAlign w:val="bottom"/>
            <w:hideMark/>
          </w:tcPr>
          <w:p w14:paraId="47EFD29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79 (9.07%)</w:t>
            </w:r>
          </w:p>
        </w:tc>
        <w:tc>
          <w:tcPr>
            <w:tcW w:w="1701" w:type="dxa"/>
            <w:shd w:val="clear" w:color="auto" w:fill="auto"/>
            <w:noWrap/>
            <w:vAlign w:val="bottom"/>
            <w:hideMark/>
          </w:tcPr>
          <w:p w14:paraId="566F2533"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44 (39.29%)</w:t>
            </w:r>
          </w:p>
        </w:tc>
        <w:tc>
          <w:tcPr>
            <w:tcW w:w="1701" w:type="dxa"/>
            <w:shd w:val="clear" w:color="auto" w:fill="auto"/>
            <w:noWrap/>
            <w:vAlign w:val="bottom"/>
            <w:hideMark/>
          </w:tcPr>
          <w:p w14:paraId="00F30BC5"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6.49 [4.16;10.11]</w:t>
            </w:r>
          </w:p>
        </w:tc>
        <w:tc>
          <w:tcPr>
            <w:tcW w:w="863" w:type="dxa"/>
            <w:shd w:val="clear" w:color="auto" w:fill="auto"/>
            <w:noWrap/>
            <w:vAlign w:val="bottom"/>
            <w:hideMark/>
          </w:tcPr>
          <w:p w14:paraId="071729CF"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24326E" w14:paraId="07106127" w14:textId="77777777" w:rsidTr="00E37E60">
        <w:trPr>
          <w:trHeight w:val="300"/>
          <w:jc w:val="center"/>
        </w:trPr>
        <w:tc>
          <w:tcPr>
            <w:tcW w:w="3402" w:type="dxa"/>
            <w:shd w:val="clear" w:color="auto" w:fill="auto"/>
            <w:noWrap/>
            <w:vAlign w:val="center"/>
            <w:hideMark/>
          </w:tcPr>
          <w:p w14:paraId="3A6220C9" w14:textId="508FFA43" w:rsidR="00EF113D" w:rsidRPr="0024326E" w:rsidRDefault="00EF113D" w:rsidP="00E37E60">
            <w:pPr>
              <w:spacing w:after="0" w:line="240" w:lineRule="auto"/>
              <w:rPr>
                <w:rFonts w:eastAsia="Times New Roman" w:cs="Calibri"/>
                <w:b/>
                <w:color w:val="000000"/>
                <w:lang w:eastAsia="fr-FR"/>
              </w:rPr>
            </w:pPr>
            <w:r w:rsidRPr="0024326E">
              <w:rPr>
                <w:rFonts w:eastAsia="Times New Roman" w:cs="Calibri"/>
                <w:b/>
                <w:color w:val="000000"/>
                <w:lang w:eastAsia="fr-FR"/>
              </w:rPr>
              <w:t>Chloroquine</w:t>
            </w:r>
            <w:r>
              <w:rPr>
                <w:rFonts w:eastAsia="Times New Roman" w:cs="Calibri"/>
                <w:b/>
                <w:color w:val="000000"/>
                <w:lang w:eastAsia="fr-FR"/>
              </w:rPr>
              <w:t xml:space="preserve"> </w:t>
            </w:r>
            <w:r w:rsidR="00633CE1">
              <w:rPr>
                <w:rFonts w:eastAsia="Times New Roman" w:cs="Calibri"/>
                <w:b/>
                <w:color w:val="000000"/>
                <w:lang w:eastAsia="fr-FR"/>
              </w:rPr>
              <w:t xml:space="preserve">/ </w:t>
            </w:r>
            <w:proofErr w:type="spellStart"/>
            <w:r w:rsidR="00633CE1">
              <w:rPr>
                <w:rFonts w:eastAsia="Times New Roman" w:cs="Calibri"/>
                <w:b/>
                <w:color w:val="000000"/>
                <w:lang w:eastAsia="fr-FR"/>
              </w:rPr>
              <w:t>hydroxychloroquine</w:t>
            </w:r>
            <w:proofErr w:type="spellEnd"/>
          </w:p>
        </w:tc>
        <w:tc>
          <w:tcPr>
            <w:tcW w:w="1701" w:type="dxa"/>
            <w:shd w:val="clear" w:color="auto" w:fill="auto"/>
            <w:noWrap/>
            <w:vAlign w:val="bottom"/>
            <w:hideMark/>
          </w:tcPr>
          <w:p w14:paraId="6190A170"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48E22D4"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BDACA06"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3852C0E"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56F81A28"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7E56F0D2" w14:textId="77777777" w:rsidTr="00E37E60">
        <w:trPr>
          <w:trHeight w:val="300"/>
          <w:jc w:val="center"/>
        </w:trPr>
        <w:tc>
          <w:tcPr>
            <w:tcW w:w="3402" w:type="dxa"/>
            <w:shd w:val="clear" w:color="auto" w:fill="auto"/>
            <w:noWrap/>
            <w:vAlign w:val="center"/>
            <w:hideMark/>
          </w:tcPr>
          <w:p w14:paraId="1A6BC8DF" w14:textId="332DF2FE"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405D33A"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943 (95.83%)</w:t>
            </w:r>
          </w:p>
        </w:tc>
        <w:tc>
          <w:tcPr>
            <w:tcW w:w="1701" w:type="dxa"/>
            <w:shd w:val="clear" w:color="auto" w:fill="auto"/>
            <w:noWrap/>
            <w:vAlign w:val="bottom"/>
            <w:hideMark/>
          </w:tcPr>
          <w:p w14:paraId="5E85251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831 (95.30%)</w:t>
            </w:r>
          </w:p>
        </w:tc>
        <w:tc>
          <w:tcPr>
            <w:tcW w:w="1701" w:type="dxa"/>
            <w:shd w:val="clear" w:color="auto" w:fill="auto"/>
            <w:noWrap/>
            <w:vAlign w:val="bottom"/>
            <w:hideMark/>
          </w:tcPr>
          <w:p w14:paraId="34ECFF6F"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112 (100.00%)</w:t>
            </w:r>
          </w:p>
        </w:tc>
        <w:tc>
          <w:tcPr>
            <w:tcW w:w="1701" w:type="dxa"/>
            <w:shd w:val="clear" w:color="auto" w:fill="auto"/>
            <w:noWrap/>
            <w:vAlign w:val="bottom"/>
            <w:hideMark/>
          </w:tcPr>
          <w:p w14:paraId="03100684"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18D6AA7B"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0.0105</w:t>
            </w:r>
          </w:p>
        </w:tc>
      </w:tr>
      <w:tr w:rsidR="008A32C4" w:rsidRPr="0024326E" w14:paraId="54352EA8" w14:textId="77777777" w:rsidTr="00E37E60">
        <w:trPr>
          <w:trHeight w:val="300"/>
          <w:jc w:val="center"/>
        </w:trPr>
        <w:tc>
          <w:tcPr>
            <w:tcW w:w="3402" w:type="dxa"/>
            <w:shd w:val="clear" w:color="auto" w:fill="auto"/>
            <w:noWrap/>
            <w:vAlign w:val="center"/>
            <w:hideMark/>
          </w:tcPr>
          <w:p w14:paraId="6861ABB6" w14:textId="347F08E8"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60555E3"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41 (4.17%)</w:t>
            </w:r>
          </w:p>
        </w:tc>
        <w:tc>
          <w:tcPr>
            <w:tcW w:w="1701" w:type="dxa"/>
            <w:shd w:val="clear" w:color="auto" w:fill="auto"/>
            <w:noWrap/>
            <w:vAlign w:val="bottom"/>
            <w:hideMark/>
          </w:tcPr>
          <w:p w14:paraId="15BCA71B"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41 (4.70%)</w:t>
            </w:r>
          </w:p>
        </w:tc>
        <w:tc>
          <w:tcPr>
            <w:tcW w:w="1701" w:type="dxa"/>
            <w:shd w:val="clear" w:color="auto" w:fill="auto"/>
            <w:noWrap/>
            <w:vAlign w:val="bottom"/>
            <w:hideMark/>
          </w:tcPr>
          <w:p w14:paraId="01636EC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5E9DBC6E"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863" w:type="dxa"/>
            <w:shd w:val="clear" w:color="auto" w:fill="auto"/>
            <w:noWrap/>
            <w:vAlign w:val="bottom"/>
            <w:hideMark/>
          </w:tcPr>
          <w:p w14:paraId="6452B6A1"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24326E" w14:paraId="230C6375" w14:textId="77777777" w:rsidTr="00E37E60">
        <w:trPr>
          <w:trHeight w:val="300"/>
          <w:jc w:val="center"/>
        </w:trPr>
        <w:tc>
          <w:tcPr>
            <w:tcW w:w="3402" w:type="dxa"/>
            <w:shd w:val="clear" w:color="auto" w:fill="auto"/>
            <w:noWrap/>
            <w:vAlign w:val="center"/>
            <w:hideMark/>
          </w:tcPr>
          <w:p w14:paraId="174BB9A7" w14:textId="77777777" w:rsidR="00EF113D" w:rsidRPr="0024326E" w:rsidRDefault="00EF113D"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Anakinra</w:t>
            </w:r>
            <w:proofErr w:type="spellEnd"/>
            <w:r>
              <w:rPr>
                <w:rFonts w:eastAsia="Times New Roman" w:cs="Calibri"/>
                <w:b/>
                <w:color w:val="000000"/>
                <w:lang w:eastAsia="fr-FR"/>
              </w:rPr>
              <w:t xml:space="preserve"> </w:t>
            </w:r>
          </w:p>
        </w:tc>
        <w:tc>
          <w:tcPr>
            <w:tcW w:w="1701" w:type="dxa"/>
            <w:shd w:val="clear" w:color="auto" w:fill="auto"/>
            <w:noWrap/>
            <w:vAlign w:val="bottom"/>
            <w:hideMark/>
          </w:tcPr>
          <w:p w14:paraId="4F1DEE3E"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4A49B1AA"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0831AB3E"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74830CE3"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6292567A"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0618DA48" w14:textId="77777777" w:rsidTr="00E37E60">
        <w:trPr>
          <w:trHeight w:val="300"/>
          <w:jc w:val="center"/>
        </w:trPr>
        <w:tc>
          <w:tcPr>
            <w:tcW w:w="3402" w:type="dxa"/>
            <w:shd w:val="clear" w:color="auto" w:fill="auto"/>
            <w:noWrap/>
            <w:vAlign w:val="center"/>
            <w:hideMark/>
          </w:tcPr>
          <w:p w14:paraId="2D5050E1" w14:textId="2F3A342F"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7D3B8540"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966 (98.17%)</w:t>
            </w:r>
          </w:p>
        </w:tc>
        <w:tc>
          <w:tcPr>
            <w:tcW w:w="1701" w:type="dxa"/>
            <w:shd w:val="clear" w:color="auto" w:fill="auto"/>
            <w:noWrap/>
            <w:vAlign w:val="bottom"/>
            <w:hideMark/>
          </w:tcPr>
          <w:p w14:paraId="6F73ED52"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854 (97.94%)</w:t>
            </w:r>
          </w:p>
        </w:tc>
        <w:tc>
          <w:tcPr>
            <w:tcW w:w="1701" w:type="dxa"/>
            <w:shd w:val="clear" w:color="auto" w:fill="auto"/>
            <w:noWrap/>
            <w:vAlign w:val="bottom"/>
            <w:hideMark/>
          </w:tcPr>
          <w:p w14:paraId="4D64536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112 (100.00%)</w:t>
            </w:r>
          </w:p>
        </w:tc>
        <w:tc>
          <w:tcPr>
            <w:tcW w:w="1701" w:type="dxa"/>
            <w:shd w:val="clear" w:color="auto" w:fill="auto"/>
            <w:noWrap/>
            <w:vAlign w:val="bottom"/>
            <w:hideMark/>
          </w:tcPr>
          <w:p w14:paraId="1CE096EC"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6F0AA2EA"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0.25</w:t>
            </w:r>
          </w:p>
        </w:tc>
      </w:tr>
      <w:tr w:rsidR="008A32C4" w:rsidRPr="0024326E" w14:paraId="7753689D" w14:textId="77777777" w:rsidTr="00E37E60">
        <w:trPr>
          <w:trHeight w:val="300"/>
          <w:jc w:val="center"/>
        </w:trPr>
        <w:tc>
          <w:tcPr>
            <w:tcW w:w="3402" w:type="dxa"/>
            <w:shd w:val="clear" w:color="auto" w:fill="auto"/>
            <w:noWrap/>
            <w:vAlign w:val="center"/>
            <w:hideMark/>
          </w:tcPr>
          <w:p w14:paraId="027AA598" w14:textId="3A57C8C9"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62F7CDB"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18 (1.83%)</w:t>
            </w:r>
          </w:p>
        </w:tc>
        <w:tc>
          <w:tcPr>
            <w:tcW w:w="1701" w:type="dxa"/>
            <w:shd w:val="clear" w:color="auto" w:fill="auto"/>
            <w:noWrap/>
            <w:vAlign w:val="bottom"/>
            <w:hideMark/>
          </w:tcPr>
          <w:p w14:paraId="56D59FB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18 (2.06%)</w:t>
            </w:r>
          </w:p>
        </w:tc>
        <w:tc>
          <w:tcPr>
            <w:tcW w:w="1701" w:type="dxa"/>
            <w:shd w:val="clear" w:color="auto" w:fill="auto"/>
            <w:noWrap/>
            <w:vAlign w:val="bottom"/>
            <w:hideMark/>
          </w:tcPr>
          <w:p w14:paraId="5C5D5598"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03A99CD0"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863" w:type="dxa"/>
            <w:shd w:val="clear" w:color="auto" w:fill="auto"/>
            <w:noWrap/>
            <w:vAlign w:val="bottom"/>
            <w:hideMark/>
          </w:tcPr>
          <w:p w14:paraId="1CF17CF4"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24326E" w14:paraId="5FEB26A0" w14:textId="77777777" w:rsidTr="00E37E60">
        <w:trPr>
          <w:trHeight w:val="300"/>
          <w:jc w:val="center"/>
        </w:trPr>
        <w:tc>
          <w:tcPr>
            <w:tcW w:w="3402" w:type="dxa"/>
            <w:shd w:val="clear" w:color="auto" w:fill="auto"/>
            <w:noWrap/>
            <w:vAlign w:val="center"/>
            <w:hideMark/>
          </w:tcPr>
          <w:p w14:paraId="55E15648" w14:textId="78AA1646" w:rsidR="00EF113D" w:rsidRPr="0024326E" w:rsidRDefault="00633CE1" w:rsidP="00E37E60">
            <w:pPr>
              <w:spacing w:after="0" w:line="240" w:lineRule="auto"/>
              <w:rPr>
                <w:rFonts w:eastAsia="Times New Roman" w:cs="Calibri"/>
                <w:b/>
                <w:color w:val="000000"/>
                <w:lang w:eastAsia="fr-FR"/>
              </w:rPr>
            </w:pPr>
            <w:proofErr w:type="spellStart"/>
            <w:r>
              <w:rPr>
                <w:rFonts w:eastAsia="Times New Roman" w:cs="Calibri"/>
                <w:b/>
                <w:color w:val="000000"/>
                <w:lang w:eastAsia="fr-FR"/>
              </w:rPr>
              <w:t>Lopinavir</w:t>
            </w:r>
            <w:proofErr w:type="spellEnd"/>
            <w:r>
              <w:rPr>
                <w:rFonts w:eastAsia="Times New Roman" w:cs="Calibri"/>
                <w:b/>
                <w:color w:val="000000"/>
                <w:lang w:eastAsia="fr-FR"/>
              </w:rPr>
              <w:t>/</w:t>
            </w:r>
            <w:proofErr w:type="spellStart"/>
            <w:r>
              <w:rPr>
                <w:rFonts w:eastAsia="Times New Roman" w:cs="Calibri"/>
                <w:b/>
                <w:color w:val="000000"/>
                <w:lang w:eastAsia="fr-FR"/>
              </w:rPr>
              <w:t>ritonavir</w:t>
            </w:r>
            <w:proofErr w:type="spellEnd"/>
            <w:r w:rsidR="00EF113D" w:rsidRPr="0024326E">
              <w:rPr>
                <w:rFonts w:eastAsia="Times New Roman" w:cs="Calibri"/>
                <w:b/>
                <w:color w:val="000000"/>
                <w:lang w:eastAsia="fr-FR"/>
              </w:rPr>
              <w:t xml:space="preserve"> (N=983)</w:t>
            </w:r>
            <w:r w:rsidR="00EF113D">
              <w:rPr>
                <w:rFonts w:eastAsia="Times New Roman" w:cs="Calibri"/>
                <w:b/>
                <w:color w:val="000000"/>
                <w:lang w:eastAsia="fr-FR"/>
              </w:rPr>
              <w:t xml:space="preserve"> </w:t>
            </w:r>
          </w:p>
        </w:tc>
        <w:tc>
          <w:tcPr>
            <w:tcW w:w="1701" w:type="dxa"/>
            <w:shd w:val="clear" w:color="auto" w:fill="auto"/>
            <w:noWrap/>
            <w:vAlign w:val="bottom"/>
            <w:hideMark/>
          </w:tcPr>
          <w:p w14:paraId="40B7DCC0"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689C8E5C"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590E4CBE"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14A2EF64"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49C6850D"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18C1C5EB" w14:textId="77777777" w:rsidTr="00E37E60">
        <w:trPr>
          <w:trHeight w:val="300"/>
          <w:jc w:val="center"/>
        </w:trPr>
        <w:tc>
          <w:tcPr>
            <w:tcW w:w="3402" w:type="dxa"/>
            <w:shd w:val="clear" w:color="auto" w:fill="auto"/>
            <w:noWrap/>
            <w:vAlign w:val="center"/>
            <w:hideMark/>
          </w:tcPr>
          <w:p w14:paraId="5B35BF56" w14:textId="5484ECBD"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7FA1FB5"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968 (98.47%)</w:t>
            </w:r>
          </w:p>
        </w:tc>
        <w:tc>
          <w:tcPr>
            <w:tcW w:w="1701" w:type="dxa"/>
            <w:shd w:val="clear" w:color="auto" w:fill="auto"/>
            <w:noWrap/>
            <w:vAlign w:val="bottom"/>
            <w:hideMark/>
          </w:tcPr>
          <w:p w14:paraId="119F37F3"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857 (98.39%)</w:t>
            </w:r>
          </w:p>
        </w:tc>
        <w:tc>
          <w:tcPr>
            <w:tcW w:w="1701" w:type="dxa"/>
            <w:shd w:val="clear" w:color="auto" w:fill="auto"/>
            <w:noWrap/>
            <w:vAlign w:val="bottom"/>
            <w:hideMark/>
          </w:tcPr>
          <w:p w14:paraId="24322CE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111 (99.11%)</w:t>
            </w:r>
          </w:p>
        </w:tc>
        <w:tc>
          <w:tcPr>
            <w:tcW w:w="1701" w:type="dxa"/>
            <w:shd w:val="clear" w:color="auto" w:fill="auto"/>
            <w:noWrap/>
            <w:vAlign w:val="bottom"/>
            <w:hideMark/>
          </w:tcPr>
          <w:p w14:paraId="33F1B2FF"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5A6CBDFF"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&gt;0.99</w:t>
            </w:r>
          </w:p>
        </w:tc>
      </w:tr>
      <w:tr w:rsidR="008A32C4" w:rsidRPr="0024326E" w14:paraId="1D3B2BA7" w14:textId="77777777" w:rsidTr="00E37E60">
        <w:trPr>
          <w:trHeight w:val="300"/>
          <w:jc w:val="center"/>
        </w:trPr>
        <w:tc>
          <w:tcPr>
            <w:tcW w:w="3402" w:type="dxa"/>
            <w:shd w:val="clear" w:color="auto" w:fill="auto"/>
            <w:noWrap/>
            <w:vAlign w:val="center"/>
            <w:hideMark/>
          </w:tcPr>
          <w:p w14:paraId="5CD27986" w14:textId="2A38D106"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18CE984"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15 (1.53%)</w:t>
            </w:r>
          </w:p>
        </w:tc>
        <w:tc>
          <w:tcPr>
            <w:tcW w:w="1701" w:type="dxa"/>
            <w:shd w:val="clear" w:color="auto" w:fill="auto"/>
            <w:noWrap/>
            <w:vAlign w:val="bottom"/>
            <w:hideMark/>
          </w:tcPr>
          <w:p w14:paraId="65E72CA4"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14 (1.61%)</w:t>
            </w:r>
          </w:p>
        </w:tc>
        <w:tc>
          <w:tcPr>
            <w:tcW w:w="1701" w:type="dxa"/>
            <w:shd w:val="clear" w:color="auto" w:fill="auto"/>
            <w:noWrap/>
            <w:vAlign w:val="bottom"/>
            <w:hideMark/>
          </w:tcPr>
          <w:p w14:paraId="70A8788D"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 (0.89%)</w:t>
            </w:r>
          </w:p>
        </w:tc>
        <w:tc>
          <w:tcPr>
            <w:tcW w:w="1701" w:type="dxa"/>
            <w:shd w:val="clear" w:color="auto" w:fill="auto"/>
            <w:noWrap/>
            <w:vAlign w:val="bottom"/>
            <w:hideMark/>
          </w:tcPr>
          <w:p w14:paraId="0A25A56C"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0.55 [0.07;4.23]</w:t>
            </w:r>
          </w:p>
        </w:tc>
        <w:tc>
          <w:tcPr>
            <w:tcW w:w="863" w:type="dxa"/>
            <w:shd w:val="clear" w:color="auto" w:fill="auto"/>
            <w:noWrap/>
            <w:vAlign w:val="bottom"/>
            <w:hideMark/>
          </w:tcPr>
          <w:p w14:paraId="6147DECC"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24326E" w14:paraId="65578236" w14:textId="77777777" w:rsidTr="00E37E60">
        <w:trPr>
          <w:trHeight w:val="300"/>
          <w:jc w:val="center"/>
        </w:trPr>
        <w:tc>
          <w:tcPr>
            <w:tcW w:w="3402" w:type="dxa"/>
            <w:shd w:val="clear" w:color="auto" w:fill="auto"/>
            <w:noWrap/>
            <w:vAlign w:val="center"/>
            <w:hideMark/>
          </w:tcPr>
          <w:p w14:paraId="02065C98" w14:textId="77777777" w:rsidR="00EF113D" w:rsidRPr="0024326E" w:rsidRDefault="00EF113D" w:rsidP="00E37E60">
            <w:pPr>
              <w:spacing w:after="0" w:line="240" w:lineRule="auto"/>
              <w:rPr>
                <w:rFonts w:eastAsia="Times New Roman" w:cs="Calibri"/>
                <w:b/>
                <w:color w:val="000000"/>
                <w:lang w:eastAsia="fr-FR"/>
              </w:rPr>
            </w:pPr>
            <w:proofErr w:type="spellStart"/>
            <w:r w:rsidRPr="0024326E">
              <w:rPr>
                <w:rFonts w:eastAsia="Times New Roman" w:cs="Calibri"/>
                <w:b/>
                <w:color w:val="000000"/>
                <w:lang w:eastAsia="fr-FR"/>
              </w:rPr>
              <w:t>Sarilumab</w:t>
            </w:r>
            <w:proofErr w:type="spellEnd"/>
            <w:r w:rsidRPr="0024326E">
              <w:rPr>
                <w:rFonts w:eastAsia="Times New Roman" w:cs="Calibri"/>
                <w:b/>
                <w:color w:val="000000"/>
                <w:lang w:eastAsia="fr-FR"/>
              </w:rPr>
              <w:t xml:space="preserve"> (N=975)</w:t>
            </w:r>
            <w:r>
              <w:rPr>
                <w:rFonts w:eastAsia="Times New Roman" w:cs="Calibri"/>
                <w:b/>
                <w:color w:val="000000"/>
                <w:lang w:eastAsia="fr-FR"/>
              </w:rPr>
              <w:t xml:space="preserve"> </w:t>
            </w:r>
          </w:p>
        </w:tc>
        <w:tc>
          <w:tcPr>
            <w:tcW w:w="1701" w:type="dxa"/>
            <w:shd w:val="clear" w:color="auto" w:fill="auto"/>
            <w:noWrap/>
            <w:vAlign w:val="bottom"/>
            <w:hideMark/>
          </w:tcPr>
          <w:p w14:paraId="491AEC2A"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8E2E2E6"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232761A8" w14:textId="77777777" w:rsidR="00EF113D" w:rsidRPr="0024326E" w:rsidRDefault="00EF113D" w:rsidP="00E37E60">
            <w:pPr>
              <w:spacing w:after="0" w:line="240" w:lineRule="auto"/>
              <w:rPr>
                <w:rFonts w:eastAsia="Times New Roman" w:cs="Calibri"/>
                <w:b/>
                <w:color w:val="000000"/>
                <w:lang w:eastAsia="fr-FR"/>
              </w:rPr>
            </w:pPr>
          </w:p>
        </w:tc>
        <w:tc>
          <w:tcPr>
            <w:tcW w:w="1701" w:type="dxa"/>
            <w:shd w:val="clear" w:color="auto" w:fill="auto"/>
            <w:noWrap/>
            <w:vAlign w:val="bottom"/>
            <w:hideMark/>
          </w:tcPr>
          <w:p w14:paraId="38DA242D" w14:textId="77777777" w:rsidR="00EF113D" w:rsidRPr="0024326E" w:rsidRDefault="00EF113D" w:rsidP="00E37E60">
            <w:pPr>
              <w:spacing w:after="0" w:line="240" w:lineRule="auto"/>
              <w:rPr>
                <w:rFonts w:eastAsia="Times New Roman" w:cs="Calibri"/>
                <w:b/>
                <w:color w:val="000000"/>
                <w:lang w:eastAsia="fr-FR"/>
              </w:rPr>
            </w:pPr>
          </w:p>
        </w:tc>
        <w:tc>
          <w:tcPr>
            <w:tcW w:w="863" w:type="dxa"/>
            <w:shd w:val="clear" w:color="auto" w:fill="auto"/>
            <w:noWrap/>
            <w:vAlign w:val="bottom"/>
            <w:hideMark/>
          </w:tcPr>
          <w:p w14:paraId="23AAAA64" w14:textId="77777777" w:rsidR="00EF113D" w:rsidRPr="0024326E" w:rsidRDefault="00EF113D" w:rsidP="00E37E60">
            <w:pPr>
              <w:spacing w:after="0" w:line="240" w:lineRule="auto"/>
              <w:rPr>
                <w:rFonts w:eastAsia="Times New Roman" w:cs="Calibri"/>
                <w:b/>
                <w:color w:val="000000"/>
                <w:lang w:eastAsia="fr-FR"/>
              </w:rPr>
            </w:pPr>
          </w:p>
        </w:tc>
      </w:tr>
      <w:tr w:rsidR="008A32C4" w:rsidRPr="0024326E" w14:paraId="41A40377" w14:textId="77777777" w:rsidTr="00E37E60">
        <w:trPr>
          <w:trHeight w:val="300"/>
          <w:jc w:val="center"/>
        </w:trPr>
        <w:tc>
          <w:tcPr>
            <w:tcW w:w="3402" w:type="dxa"/>
            <w:shd w:val="clear" w:color="auto" w:fill="auto"/>
            <w:noWrap/>
            <w:vAlign w:val="center"/>
            <w:hideMark/>
          </w:tcPr>
          <w:p w14:paraId="692B412F" w14:textId="189AB537"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3B7093AC"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954 (97.85%)</w:t>
            </w:r>
          </w:p>
        </w:tc>
        <w:tc>
          <w:tcPr>
            <w:tcW w:w="1701" w:type="dxa"/>
            <w:shd w:val="clear" w:color="auto" w:fill="auto"/>
            <w:noWrap/>
            <w:vAlign w:val="bottom"/>
            <w:hideMark/>
          </w:tcPr>
          <w:p w14:paraId="68DE0107"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851 (97.59%)</w:t>
            </w:r>
          </w:p>
        </w:tc>
        <w:tc>
          <w:tcPr>
            <w:tcW w:w="1701" w:type="dxa"/>
            <w:shd w:val="clear" w:color="auto" w:fill="auto"/>
            <w:noWrap/>
            <w:vAlign w:val="bottom"/>
            <w:hideMark/>
          </w:tcPr>
          <w:p w14:paraId="27DA57B0"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103 (100.00%)</w:t>
            </w:r>
          </w:p>
        </w:tc>
        <w:tc>
          <w:tcPr>
            <w:tcW w:w="1701" w:type="dxa"/>
            <w:shd w:val="clear" w:color="auto" w:fill="auto"/>
            <w:noWrap/>
            <w:vAlign w:val="bottom"/>
            <w:hideMark/>
          </w:tcPr>
          <w:p w14:paraId="7E62D53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309AE731"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0.15</w:t>
            </w:r>
          </w:p>
        </w:tc>
      </w:tr>
      <w:tr w:rsidR="008A32C4" w:rsidRPr="0024326E" w14:paraId="72AA2CB2" w14:textId="77777777" w:rsidTr="00E37E60">
        <w:trPr>
          <w:trHeight w:val="300"/>
          <w:jc w:val="center"/>
        </w:trPr>
        <w:tc>
          <w:tcPr>
            <w:tcW w:w="3402" w:type="dxa"/>
            <w:shd w:val="clear" w:color="auto" w:fill="auto"/>
            <w:noWrap/>
            <w:vAlign w:val="center"/>
            <w:hideMark/>
          </w:tcPr>
          <w:p w14:paraId="4C25BCB4" w14:textId="231FF297"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5EC52260"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21 (2.15%)</w:t>
            </w:r>
          </w:p>
        </w:tc>
        <w:tc>
          <w:tcPr>
            <w:tcW w:w="1701" w:type="dxa"/>
            <w:shd w:val="clear" w:color="auto" w:fill="auto"/>
            <w:noWrap/>
            <w:vAlign w:val="bottom"/>
            <w:hideMark/>
          </w:tcPr>
          <w:p w14:paraId="4BC4A6AC"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21 (2.41%)</w:t>
            </w:r>
          </w:p>
        </w:tc>
        <w:tc>
          <w:tcPr>
            <w:tcW w:w="1701" w:type="dxa"/>
            <w:shd w:val="clear" w:color="auto" w:fill="auto"/>
            <w:noWrap/>
            <w:vAlign w:val="bottom"/>
            <w:hideMark/>
          </w:tcPr>
          <w:p w14:paraId="523B009B"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 (0.00%)</w:t>
            </w:r>
          </w:p>
        </w:tc>
        <w:tc>
          <w:tcPr>
            <w:tcW w:w="1701" w:type="dxa"/>
            <w:shd w:val="clear" w:color="auto" w:fill="auto"/>
            <w:noWrap/>
            <w:vAlign w:val="bottom"/>
            <w:hideMark/>
          </w:tcPr>
          <w:p w14:paraId="3C931845"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w:t>
            </w:r>
          </w:p>
        </w:tc>
        <w:tc>
          <w:tcPr>
            <w:tcW w:w="863" w:type="dxa"/>
            <w:shd w:val="clear" w:color="auto" w:fill="auto"/>
            <w:noWrap/>
            <w:vAlign w:val="bottom"/>
            <w:hideMark/>
          </w:tcPr>
          <w:p w14:paraId="7216E05C"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09503D" w14:paraId="02A6EC4A" w14:textId="77777777" w:rsidTr="00E37E60">
        <w:trPr>
          <w:trHeight w:val="300"/>
          <w:jc w:val="center"/>
        </w:trPr>
        <w:tc>
          <w:tcPr>
            <w:tcW w:w="3402" w:type="dxa"/>
            <w:shd w:val="clear" w:color="auto" w:fill="auto"/>
            <w:noWrap/>
            <w:vAlign w:val="center"/>
            <w:hideMark/>
          </w:tcPr>
          <w:p w14:paraId="05818B80" w14:textId="37D47BF8" w:rsidR="00EF113D" w:rsidRPr="00633CE1" w:rsidRDefault="00633CE1"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 xml:space="preserve">Standard supplemental oxygen (days) </w:t>
            </w:r>
            <w:r w:rsidR="00EF113D" w:rsidRPr="00633CE1">
              <w:rPr>
                <w:rFonts w:eastAsia="Times New Roman" w:cs="Calibri"/>
                <w:b/>
                <w:color w:val="000000"/>
                <w:lang w:val="en-US" w:eastAsia="fr-FR"/>
              </w:rPr>
              <w:t xml:space="preserve">(N=975) </w:t>
            </w:r>
          </w:p>
        </w:tc>
        <w:tc>
          <w:tcPr>
            <w:tcW w:w="1701" w:type="dxa"/>
            <w:shd w:val="clear" w:color="auto" w:fill="auto"/>
            <w:noWrap/>
            <w:vAlign w:val="bottom"/>
            <w:hideMark/>
          </w:tcPr>
          <w:p w14:paraId="55D15117"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A20C3E8"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6089258"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1E30580"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7D56B692" w14:textId="77777777" w:rsidR="00EF113D" w:rsidRPr="00633CE1" w:rsidRDefault="00EF113D" w:rsidP="00E37E60">
            <w:pPr>
              <w:spacing w:after="0" w:line="240" w:lineRule="auto"/>
              <w:rPr>
                <w:rFonts w:eastAsia="Times New Roman" w:cs="Calibri"/>
                <w:b/>
                <w:color w:val="000000"/>
                <w:lang w:val="en-US" w:eastAsia="fr-FR"/>
              </w:rPr>
            </w:pPr>
          </w:p>
        </w:tc>
      </w:tr>
      <w:tr w:rsidR="00EF113D" w:rsidRPr="0024326E" w14:paraId="0A994F7F" w14:textId="77777777" w:rsidTr="00E37E60">
        <w:trPr>
          <w:trHeight w:val="300"/>
          <w:jc w:val="center"/>
        </w:trPr>
        <w:tc>
          <w:tcPr>
            <w:tcW w:w="3402" w:type="dxa"/>
            <w:shd w:val="clear" w:color="auto" w:fill="auto"/>
            <w:noWrap/>
            <w:vAlign w:val="center"/>
            <w:hideMark/>
          </w:tcPr>
          <w:p w14:paraId="58C396D7"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627EACA5"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 [1.00;3.00]</w:t>
            </w:r>
          </w:p>
        </w:tc>
        <w:tc>
          <w:tcPr>
            <w:tcW w:w="1701" w:type="dxa"/>
            <w:shd w:val="clear" w:color="auto" w:fill="auto"/>
            <w:noWrap/>
            <w:vAlign w:val="bottom"/>
            <w:hideMark/>
          </w:tcPr>
          <w:p w14:paraId="30B20E0F"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 [1.00;3.00]</w:t>
            </w:r>
          </w:p>
        </w:tc>
        <w:tc>
          <w:tcPr>
            <w:tcW w:w="1701" w:type="dxa"/>
            <w:shd w:val="clear" w:color="auto" w:fill="auto"/>
            <w:noWrap/>
            <w:vAlign w:val="bottom"/>
            <w:hideMark/>
          </w:tcPr>
          <w:p w14:paraId="39D2204E"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1.50 [1.00;3.00]</w:t>
            </w:r>
          </w:p>
        </w:tc>
        <w:tc>
          <w:tcPr>
            <w:tcW w:w="1701" w:type="dxa"/>
            <w:shd w:val="clear" w:color="auto" w:fill="auto"/>
            <w:noWrap/>
            <w:vAlign w:val="bottom"/>
            <w:hideMark/>
          </w:tcPr>
          <w:p w14:paraId="4D2E156B" w14:textId="77777777" w:rsidR="00EF113D" w:rsidRPr="0024326E" w:rsidRDefault="00EF113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7BF895D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0.0163</w:t>
            </w:r>
          </w:p>
        </w:tc>
      </w:tr>
      <w:tr w:rsidR="00EF113D" w:rsidRPr="0009503D" w14:paraId="708E64F5" w14:textId="77777777" w:rsidTr="00E37E60">
        <w:trPr>
          <w:trHeight w:val="300"/>
          <w:jc w:val="center"/>
        </w:trPr>
        <w:tc>
          <w:tcPr>
            <w:tcW w:w="3402" w:type="dxa"/>
            <w:shd w:val="clear" w:color="auto" w:fill="auto"/>
            <w:noWrap/>
            <w:vAlign w:val="center"/>
            <w:hideMark/>
          </w:tcPr>
          <w:p w14:paraId="368B6E50" w14:textId="017B0D42" w:rsidR="00EF113D" w:rsidRPr="00633CE1" w:rsidRDefault="00633CE1" w:rsidP="00E37E60">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t>High flow nasal oxygen (HFNO)</w:t>
            </w:r>
            <w:r w:rsidRPr="00136FDD">
              <w:rPr>
                <w:rFonts w:eastAsia="Times New Roman" w:cs="Calibri"/>
                <w:b/>
                <w:color w:val="000000"/>
                <w:lang w:val="en-US" w:eastAsia="fr-FR"/>
              </w:rPr>
              <w:t xml:space="preserve"> </w:t>
            </w:r>
            <w:r w:rsidR="00EF113D" w:rsidRPr="00633CE1">
              <w:rPr>
                <w:rFonts w:eastAsia="Times New Roman" w:cs="Calibri"/>
                <w:b/>
                <w:color w:val="000000"/>
                <w:lang w:val="en-US" w:eastAsia="fr-FR"/>
              </w:rPr>
              <w:t xml:space="preserve">(N=979) </w:t>
            </w:r>
          </w:p>
        </w:tc>
        <w:tc>
          <w:tcPr>
            <w:tcW w:w="1701" w:type="dxa"/>
            <w:shd w:val="clear" w:color="auto" w:fill="auto"/>
            <w:noWrap/>
            <w:vAlign w:val="bottom"/>
            <w:hideMark/>
          </w:tcPr>
          <w:p w14:paraId="1E13CF3A"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901A794"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F86CBDB"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1476A67"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2BC99CBA" w14:textId="77777777" w:rsidR="00EF113D" w:rsidRPr="00633CE1" w:rsidRDefault="00EF113D" w:rsidP="00E37E60">
            <w:pPr>
              <w:spacing w:after="0" w:line="240" w:lineRule="auto"/>
              <w:rPr>
                <w:rFonts w:eastAsia="Times New Roman" w:cs="Calibri"/>
                <w:b/>
                <w:color w:val="000000"/>
                <w:lang w:val="en-US" w:eastAsia="fr-FR"/>
              </w:rPr>
            </w:pPr>
          </w:p>
        </w:tc>
      </w:tr>
      <w:tr w:rsidR="008A32C4" w:rsidRPr="0024326E" w14:paraId="3B3031A5" w14:textId="77777777" w:rsidTr="00E37E60">
        <w:trPr>
          <w:trHeight w:val="300"/>
          <w:jc w:val="center"/>
        </w:trPr>
        <w:tc>
          <w:tcPr>
            <w:tcW w:w="3402" w:type="dxa"/>
            <w:shd w:val="clear" w:color="auto" w:fill="auto"/>
            <w:noWrap/>
            <w:vAlign w:val="center"/>
            <w:hideMark/>
          </w:tcPr>
          <w:p w14:paraId="21C40B19" w14:textId="13FA28B7" w:rsidR="008A32C4" w:rsidRPr="0024326E" w:rsidRDefault="008A32C4" w:rsidP="008A32C4">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78EA7227"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820 (83.76%)</w:t>
            </w:r>
          </w:p>
        </w:tc>
        <w:tc>
          <w:tcPr>
            <w:tcW w:w="1701" w:type="dxa"/>
            <w:shd w:val="clear" w:color="auto" w:fill="auto"/>
            <w:noWrap/>
            <w:vAlign w:val="bottom"/>
            <w:hideMark/>
          </w:tcPr>
          <w:p w14:paraId="552A4B96"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739 (85.14%)</w:t>
            </w:r>
          </w:p>
        </w:tc>
        <w:tc>
          <w:tcPr>
            <w:tcW w:w="1701" w:type="dxa"/>
            <w:shd w:val="clear" w:color="auto" w:fill="auto"/>
            <w:noWrap/>
            <w:vAlign w:val="bottom"/>
            <w:hideMark/>
          </w:tcPr>
          <w:p w14:paraId="52A29847"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81 (72.97%)</w:t>
            </w:r>
          </w:p>
        </w:tc>
        <w:tc>
          <w:tcPr>
            <w:tcW w:w="1701" w:type="dxa"/>
            <w:shd w:val="clear" w:color="auto" w:fill="auto"/>
            <w:noWrap/>
            <w:vAlign w:val="bottom"/>
            <w:hideMark/>
          </w:tcPr>
          <w:p w14:paraId="42B8AD04"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1.00</w:t>
            </w:r>
          </w:p>
        </w:tc>
        <w:tc>
          <w:tcPr>
            <w:tcW w:w="863" w:type="dxa"/>
            <w:shd w:val="clear" w:color="auto" w:fill="auto"/>
            <w:noWrap/>
            <w:vAlign w:val="bottom"/>
            <w:hideMark/>
          </w:tcPr>
          <w:p w14:paraId="41D24865"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0.0011</w:t>
            </w:r>
          </w:p>
        </w:tc>
      </w:tr>
      <w:tr w:rsidR="008A32C4" w:rsidRPr="0024326E" w14:paraId="6BE339F9" w14:textId="77777777" w:rsidTr="00E37E60">
        <w:trPr>
          <w:trHeight w:val="300"/>
          <w:jc w:val="center"/>
        </w:trPr>
        <w:tc>
          <w:tcPr>
            <w:tcW w:w="3402" w:type="dxa"/>
            <w:shd w:val="clear" w:color="auto" w:fill="auto"/>
            <w:noWrap/>
            <w:vAlign w:val="center"/>
            <w:hideMark/>
          </w:tcPr>
          <w:p w14:paraId="42ED5072" w14:textId="246FD241" w:rsidR="008A32C4" w:rsidRPr="0024326E" w:rsidRDefault="008A32C4" w:rsidP="008A32C4">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25340686"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159 (16.24%)</w:t>
            </w:r>
          </w:p>
        </w:tc>
        <w:tc>
          <w:tcPr>
            <w:tcW w:w="1701" w:type="dxa"/>
            <w:shd w:val="clear" w:color="auto" w:fill="auto"/>
            <w:noWrap/>
            <w:vAlign w:val="bottom"/>
            <w:hideMark/>
          </w:tcPr>
          <w:p w14:paraId="57EB05BD"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129 (14.86%)</w:t>
            </w:r>
          </w:p>
        </w:tc>
        <w:tc>
          <w:tcPr>
            <w:tcW w:w="1701" w:type="dxa"/>
            <w:shd w:val="clear" w:color="auto" w:fill="auto"/>
            <w:noWrap/>
            <w:vAlign w:val="bottom"/>
            <w:hideMark/>
          </w:tcPr>
          <w:p w14:paraId="6E48134D"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30 (27.03%)</w:t>
            </w:r>
          </w:p>
        </w:tc>
        <w:tc>
          <w:tcPr>
            <w:tcW w:w="1701" w:type="dxa"/>
            <w:shd w:val="clear" w:color="auto" w:fill="auto"/>
            <w:noWrap/>
            <w:vAlign w:val="bottom"/>
            <w:hideMark/>
          </w:tcPr>
          <w:p w14:paraId="5E196389" w14:textId="77777777" w:rsidR="008A32C4" w:rsidRPr="0024326E" w:rsidRDefault="008A32C4" w:rsidP="008A32C4">
            <w:pPr>
              <w:spacing w:after="0" w:line="240" w:lineRule="auto"/>
              <w:jc w:val="center"/>
              <w:rPr>
                <w:rFonts w:eastAsia="Times New Roman" w:cs="Calibri"/>
                <w:color w:val="000000"/>
                <w:lang w:eastAsia="fr-FR"/>
              </w:rPr>
            </w:pPr>
            <w:r w:rsidRPr="0024326E">
              <w:rPr>
                <w:rFonts w:eastAsia="Times New Roman" w:cs="Calibri"/>
                <w:color w:val="000000"/>
                <w:lang w:eastAsia="fr-FR"/>
              </w:rPr>
              <w:t>2.12 [1.34;3.36]</w:t>
            </w:r>
          </w:p>
        </w:tc>
        <w:tc>
          <w:tcPr>
            <w:tcW w:w="863" w:type="dxa"/>
            <w:shd w:val="clear" w:color="auto" w:fill="auto"/>
            <w:noWrap/>
            <w:vAlign w:val="bottom"/>
            <w:hideMark/>
          </w:tcPr>
          <w:p w14:paraId="0F0C74A3" w14:textId="77777777" w:rsidR="008A32C4" w:rsidRPr="0024326E" w:rsidRDefault="008A32C4" w:rsidP="008A32C4">
            <w:pPr>
              <w:spacing w:after="0" w:line="240" w:lineRule="auto"/>
              <w:jc w:val="center"/>
              <w:rPr>
                <w:rFonts w:eastAsia="Times New Roman" w:cs="Calibri"/>
                <w:color w:val="000000"/>
                <w:lang w:eastAsia="fr-FR"/>
              </w:rPr>
            </w:pPr>
          </w:p>
        </w:tc>
      </w:tr>
      <w:tr w:rsidR="00EF113D" w:rsidRPr="0009503D" w14:paraId="61EC19D4" w14:textId="77777777" w:rsidTr="00E37E60">
        <w:trPr>
          <w:trHeight w:val="300"/>
          <w:jc w:val="center"/>
        </w:trPr>
        <w:tc>
          <w:tcPr>
            <w:tcW w:w="3402" w:type="dxa"/>
            <w:shd w:val="clear" w:color="auto" w:fill="auto"/>
            <w:noWrap/>
            <w:vAlign w:val="center"/>
            <w:hideMark/>
          </w:tcPr>
          <w:p w14:paraId="0733FE78" w14:textId="00FA180F" w:rsidR="00EF113D" w:rsidRPr="00633CE1" w:rsidRDefault="00633CE1" w:rsidP="00E37E60">
            <w:pPr>
              <w:spacing w:after="0" w:line="240" w:lineRule="auto"/>
              <w:rPr>
                <w:rFonts w:eastAsia="Times New Roman" w:cs="Calibri"/>
                <w:b/>
                <w:color w:val="000000"/>
                <w:lang w:val="en-US" w:eastAsia="fr-FR"/>
              </w:rPr>
            </w:pPr>
            <w:r w:rsidRPr="00136FDD">
              <w:rPr>
                <w:rFonts w:eastAsia="Times New Roman" w:cs="Calibri"/>
                <w:b/>
                <w:color w:val="000000"/>
                <w:lang w:val="en-US" w:eastAsia="fr-FR"/>
              </w:rPr>
              <w:t xml:space="preserve">If HFNO, length(days) </w:t>
            </w:r>
            <w:r w:rsidR="00EF113D" w:rsidRPr="00633CE1">
              <w:rPr>
                <w:rFonts w:eastAsia="Times New Roman" w:cs="Calibri"/>
                <w:b/>
                <w:color w:val="000000"/>
                <w:lang w:val="en-US" w:eastAsia="fr-FR"/>
              </w:rPr>
              <w:t xml:space="preserve">(N=158) </w:t>
            </w:r>
          </w:p>
        </w:tc>
        <w:tc>
          <w:tcPr>
            <w:tcW w:w="1701" w:type="dxa"/>
            <w:shd w:val="clear" w:color="auto" w:fill="auto"/>
            <w:noWrap/>
            <w:vAlign w:val="bottom"/>
            <w:hideMark/>
          </w:tcPr>
          <w:p w14:paraId="70B6028E"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18CEDEF"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690B653"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58AF7973"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5ED30ED0" w14:textId="77777777" w:rsidR="00EF113D" w:rsidRPr="00633CE1" w:rsidRDefault="00EF113D" w:rsidP="00E37E60">
            <w:pPr>
              <w:spacing w:after="0" w:line="240" w:lineRule="auto"/>
              <w:rPr>
                <w:rFonts w:eastAsia="Times New Roman" w:cs="Calibri"/>
                <w:b/>
                <w:color w:val="000000"/>
                <w:lang w:val="en-US" w:eastAsia="fr-FR"/>
              </w:rPr>
            </w:pPr>
          </w:p>
        </w:tc>
      </w:tr>
      <w:tr w:rsidR="00EF113D" w:rsidRPr="0024326E" w14:paraId="4C4656AC" w14:textId="77777777" w:rsidTr="00E37E60">
        <w:trPr>
          <w:trHeight w:val="300"/>
          <w:jc w:val="center"/>
        </w:trPr>
        <w:tc>
          <w:tcPr>
            <w:tcW w:w="3402" w:type="dxa"/>
            <w:shd w:val="clear" w:color="auto" w:fill="auto"/>
            <w:noWrap/>
            <w:vAlign w:val="center"/>
            <w:hideMark/>
          </w:tcPr>
          <w:p w14:paraId="39A7B2CE"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71836C0A"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 [1.00;3.00]</w:t>
            </w:r>
          </w:p>
        </w:tc>
        <w:tc>
          <w:tcPr>
            <w:tcW w:w="1701" w:type="dxa"/>
            <w:shd w:val="clear" w:color="auto" w:fill="auto"/>
            <w:noWrap/>
            <w:vAlign w:val="bottom"/>
            <w:hideMark/>
          </w:tcPr>
          <w:p w14:paraId="59D4A85A"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1.25 [1.00;3.00]</w:t>
            </w:r>
          </w:p>
        </w:tc>
        <w:tc>
          <w:tcPr>
            <w:tcW w:w="1701" w:type="dxa"/>
            <w:shd w:val="clear" w:color="auto" w:fill="auto"/>
            <w:noWrap/>
            <w:vAlign w:val="bottom"/>
            <w:hideMark/>
          </w:tcPr>
          <w:p w14:paraId="4E4B741D"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 [1.00;3.00]</w:t>
            </w:r>
          </w:p>
        </w:tc>
        <w:tc>
          <w:tcPr>
            <w:tcW w:w="1701" w:type="dxa"/>
            <w:shd w:val="clear" w:color="auto" w:fill="auto"/>
            <w:noWrap/>
            <w:vAlign w:val="bottom"/>
            <w:hideMark/>
          </w:tcPr>
          <w:p w14:paraId="3FB25A32" w14:textId="77777777" w:rsidR="00EF113D" w:rsidRPr="0024326E" w:rsidRDefault="00EF113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383B0BF4"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0.37</w:t>
            </w:r>
          </w:p>
        </w:tc>
      </w:tr>
      <w:tr w:rsidR="00EF113D" w:rsidRPr="0009503D" w14:paraId="2E653DCC" w14:textId="77777777" w:rsidTr="00E37E60">
        <w:trPr>
          <w:trHeight w:val="300"/>
          <w:jc w:val="center"/>
        </w:trPr>
        <w:tc>
          <w:tcPr>
            <w:tcW w:w="3402" w:type="dxa"/>
            <w:shd w:val="clear" w:color="auto" w:fill="auto"/>
            <w:noWrap/>
            <w:vAlign w:val="center"/>
            <w:hideMark/>
          </w:tcPr>
          <w:p w14:paraId="4177E5D1" w14:textId="36BB2813" w:rsidR="00EF113D" w:rsidRPr="00633CE1" w:rsidRDefault="00633CE1" w:rsidP="00E37E60">
            <w:pPr>
              <w:spacing w:after="0" w:line="240" w:lineRule="auto"/>
              <w:rPr>
                <w:rFonts w:eastAsia="Times New Roman" w:cs="Calibri"/>
                <w:b/>
                <w:color w:val="000000"/>
                <w:lang w:val="en-US" w:eastAsia="fr-FR"/>
              </w:rPr>
            </w:pPr>
            <w:r>
              <w:rPr>
                <w:rFonts w:eastAsia="Times New Roman" w:cs="Calibri"/>
                <w:b/>
                <w:color w:val="000000"/>
                <w:lang w:val="en-US" w:eastAsia="fr-FR"/>
              </w:rPr>
              <w:t>Total l</w:t>
            </w:r>
            <w:r w:rsidRPr="00633CE1">
              <w:rPr>
                <w:rFonts w:eastAsia="Times New Roman" w:cs="Calibri"/>
                <w:b/>
                <w:color w:val="000000"/>
                <w:lang w:val="en-US" w:eastAsia="fr-FR"/>
              </w:rPr>
              <w:t>ength of ward stay</w:t>
            </w:r>
            <w:r w:rsidR="00EF113D" w:rsidRPr="00633CE1">
              <w:rPr>
                <w:rFonts w:eastAsia="Times New Roman" w:cs="Calibri"/>
                <w:b/>
                <w:color w:val="000000"/>
                <w:lang w:val="en-US" w:eastAsia="fr-FR"/>
              </w:rPr>
              <w:t xml:space="preserve"> </w:t>
            </w:r>
            <w:r>
              <w:rPr>
                <w:rFonts w:eastAsia="Times New Roman" w:cs="Calibri"/>
                <w:b/>
                <w:color w:val="000000"/>
                <w:lang w:val="en-US" w:eastAsia="fr-FR"/>
              </w:rPr>
              <w:t>(days</w:t>
            </w:r>
            <w:r w:rsidR="00EF113D" w:rsidRPr="00633CE1">
              <w:rPr>
                <w:rFonts w:eastAsia="Times New Roman" w:cs="Calibri"/>
                <w:b/>
                <w:color w:val="000000"/>
                <w:lang w:val="en-US" w:eastAsia="fr-FR"/>
              </w:rPr>
              <w:t xml:space="preserve">) </w:t>
            </w:r>
          </w:p>
        </w:tc>
        <w:tc>
          <w:tcPr>
            <w:tcW w:w="1701" w:type="dxa"/>
            <w:shd w:val="clear" w:color="auto" w:fill="auto"/>
            <w:noWrap/>
            <w:vAlign w:val="bottom"/>
            <w:hideMark/>
          </w:tcPr>
          <w:p w14:paraId="2FB85AE5"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E83C01C"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F6DBF80"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058565D"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77F5DE7C" w14:textId="77777777" w:rsidR="00EF113D" w:rsidRPr="00633CE1" w:rsidRDefault="00EF113D" w:rsidP="00E37E60">
            <w:pPr>
              <w:spacing w:after="0" w:line="240" w:lineRule="auto"/>
              <w:rPr>
                <w:rFonts w:eastAsia="Times New Roman" w:cs="Calibri"/>
                <w:b/>
                <w:color w:val="000000"/>
                <w:lang w:val="en-US" w:eastAsia="fr-FR"/>
              </w:rPr>
            </w:pPr>
          </w:p>
        </w:tc>
      </w:tr>
      <w:tr w:rsidR="00EF113D" w:rsidRPr="0024326E" w14:paraId="38B08132" w14:textId="77777777" w:rsidTr="00E37E60">
        <w:trPr>
          <w:trHeight w:val="300"/>
          <w:jc w:val="center"/>
        </w:trPr>
        <w:tc>
          <w:tcPr>
            <w:tcW w:w="3402" w:type="dxa"/>
            <w:shd w:val="clear" w:color="auto" w:fill="auto"/>
            <w:noWrap/>
            <w:vAlign w:val="center"/>
            <w:hideMark/>
          </w:tcPr>
          <w:p w14:paraId="7D009399"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1A2B4248"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7.00 [2.00;13.00]</w:t>
            </w:r>
          </w:p>
        </w:tc>
        <w:tc>
          <w:tcPr>
            <w:tcW w:w="1701" w:type="dxa"/>
            <w:shd w:val="clear" w:color="auto" w:fill="auto"/>
            <w:noWrap/>
            <w:vAlign w:val="bottom"/>
            <w:hideMark/>
          </w:tcPr>
          <w:p w14:paraId="089A74A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6.00 [2.00;13.00]</w:t>
            </w:r>
          </w:p>
        </w:tc>
        <w:tc>
          <w:tcPr>
            <w:tcW w:w="1701" w:type="dxa"/>
            <w:shd w:val="clear" w:color="auto" w:fill="auto"/>
            <w:noWrap/>
            <w:vAlign w:val="bottom"/>
            <w:hideMark/>
          </w:tcPr>
          <w:p w14:paraId="287958B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9.00 [4.00;14.00]</w:t>
            </w:r>
          </w:p>
        </w:tc>
        <w:tc>
          <w:tcPr>
            <w:tcW w:w="1701" w:type="dxa"/>
            <w:shd w:val="clear" w:color="auto" w:fill="auto"/>
            <w:noWrap/>
            <w:vAlign w:val="bottom"/>
            <w:hideMark/>
          </w:tcPr>
          <w:p w14:paraId="524C8971" w14:textId="77777777" w:rsidR="00EF113D" w:rsidRPr="0024326E" w:rsidRDefault="00EF113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5D4199A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0.0124</w:t>
            </w:r>
          </w:p>
        </w:tc>
      </w:tr>
      <w:tr w:rsidR="00EF113D" w:rsidRPr="0009503D" w14:paraId="453A4F26" w14:textId="77777777" w:rsidTr="00E37E60">
        <w:trPr>
          <w:trHeight w:val="300"/>
          <w:jc w:val="center"/>
        </w:trPr>
        <w:tc>
          <w:tcPr>
            <w:tcW w:w="3402" w:type="dxa"/>
            <w:shd w:val="clear" w:color="auto" w:fill="auto"/>
            <w:noWrap/>
            <w:vAlign w:val="center"/>
            <w:hideMark/>
          </w:tcPr>
          <w:p w14:paraId="665939B9" w14:textId="57F143FA" w:rsidR="00EF113D" w:rsidRPr="00633CE1" w:rsidRDefault="00633CE1" w:rsidP="00E37E60">
            <w:pPr>
              <w:spacing w:after="0" w:line="240" w:lineRule="auto"/>
              <w:rPr>
                <w:rFonts w:eastAsia="Times New Roman" w:cs="Calibri"/>
                <w:b/>
                <w:color w:val="000000"/>
                <w:lang w:val="en-US" w:eastAsia="fr-FR"/>
              </w:rPr>
            </w:pPr>
            <w:r w:rsidRPr="00633CE1">
              <w:rPr>
                <w:rFonts w:eastAsia="Times New Roman" w:cs="Calibri"/>
                <w:b/>
                <w:color w:val="000000"/>
                <w:lang w:val="en-US" w:eastAsia="fr-FR"/>
              </w:rPr>
              <w:t>Length of ward stay before ICU admission</w:t>
            </w:r>
            <w:r>
              <w:rPr>
                <w:rFonts w:eastAsia="Times New Roman" w:cs="Calibri"/>
                <w:b/>
                <w:color w:val="000000"/>
                <w:lang w:val="en-US" w:eastAsia="fr-FR"/>
              </w:rPr>
              <w:t xml:space="preserve"> (days)</w:t>
            </w:r>
            <w:r w:rsidR="00EF113D" w:rsidRPr="00633CE1">
              <w:rPr>
                <w:rFonts w:eastAsia="Times New Roman" w:cs="Calibri"/>
                <w:b/>
                <w:color w:val="000000"/>
                <w:lang w:val="en-US" w:eastAsia="fr-FR"/>
              </w:rPr>
              <w:t xml:space="preserve"> (N=980) </w:t>
            </w:r>
          </w:p>
        </w:tc>
        <w:tc>
          <w:tcPr>
            <w:tcW w:w="1701" w:type="dxa"/>
            <w:shd w:val="clear" w:color="auto" w:fill="auto"/>
            <w:noWrap/>
            <w:vAlign w:val="bottom"/>
            <w:hideMark/>
          </w:tcPr>
          <w:p w14:paraId="080850E4"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213F6C5"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2EEC966"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DB0FBC2"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39B73A09" w14:textId="77777777" w:rsidR="00EF113D" w:rsidRPr="00633CE1" w:rsidRDefault="00EF113D" w:rsidP="00E37E60">
            <w:pPr>
              <w:spacing w:after="0" w:line="240" w:lineRule="auto"/>
              <w:rPr>
                <w:rFonts w:eastAsia="Times New Roman" w:cs="Calibri"/>
                <w:b/>
                <w:color w:val="000000"/>
                <w:lang w:val="en-US" w:eastAsia="fr-FR"/>
              </w:rPr>
            </w:pPr>
          </w:p>
        </w:tc>
      </w:tr>
      <w:tr w:rsidR="00EF113D" w:rsidRPr="0024326E" w14:paraId="57400066" w14:textId="77777777" w:rsidTr="00E37E60">
        <w:trPr>
          <w:trHeight w:val="300"/>
          <w:jc w:val="center"/>
        </w:trPr>
        <w:tc>
          <w:tcPr>
            <w:tcW w:w="3402" w:type="dxa"/>
            <w:shd w:val="clear" w:color="auto" w:fill="auto"/>
            <w:noWrap/>
            <w:vAlign w:val="center"/>
            <w:hideMark/>
          </w:tcPr>
          <w:p w14:paraId="68FB4383"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0A59E936"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 [1.00;4.00]</w:t>
            </w:r>
          </w:p>
        </w:tc>
        <w:tc>
          <w:tcPr>
            <w:tcW w:w="1701" w:type="dxa"/>
            <w:shd w:val="clear" w:color="auto" w:fill="auto"/>
            <w:noWrap/>
            <w:vAlign w:val="bottom"/>
            <w:hideMark/>
          </w:tcPr>
          <w:p w14:paraId="36547052"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1.00 [1.00;4.00]</w:t>
            </w:r>
          </w:p>
        </w:tc>
        <w:tc>
          <w:tcPr>
            <w:tcW w:w="1701" w:type="dxa"/>
            <w:shd w:val="clear" w:color="auto" w:fill="auto"/>
            <w:noWrap/>
            <w:vAlign w:val="bottom"/>
            <w:hideMark/>
          </w:tcPr>
          <w:p w14:paraId="6065BA00"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2.00 [1.00;4.00]</w:t>
            </w:r>
          </w:p>
        </w:tc>
        <w:tc>
          <w:tcPr>
            <w:tcW w:w="1701" w:type="dxa"/>
            <w:shd w:val="clear" w:color="auto" w:fill="auto"/>
            <w:noWrap/>
            <w:vAlign w:val="bottom"/>
            <w:hideMark/>
          </w:tcPr>
          <w:p w14:paraId="399D8564" w14:textId="77777777" w:rsidR="00EF113D" w:rsidRPr="0024326E" w:rsidRDefault="00EF113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6B131CAD"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0.0177</w:t>
            </w:r>
          </w:p>
        </w:tc>
      </w:tr>
      <w:tr w:rsidR="00EF113D" w:rsidRPr="0009503D" w14:paraId="6E480E4F" w14:textId="77777777" w:rsidTr="00E37E60">
        <w:trPr>
          <w:trHeight w:val="300"/>
          <w:jc w:val="center"/>
        </w:trPr>
        <w:tc>
          <w:tcPr>
            <w:tcW w:w="3402" w:type="dxa"/>
            <w:shd w:val="clear" w:color="auto" w:fill="auto"/>
            <w:noWrap/>
            <w:vAlign w:val="center"/>
            <w:hideMark/>
          </w:tcPr>
          <w:p w14:paraId="4D5C23F1" w14:textId="44C8419E" w:rsidR="00EF113D" w:rsidRPr="00633CE1" w:rsidRDefault="00633CE1" w:rsidP="00E37E60">
            <w:pPr>
              <w:spacing w:after="0" w:line="240" w:lineRule="auto"/>
              <w:rPr>
                <w:rFonts w:eastAsia="Times New Roman" w:cs="Calibri"/>
                <w:b/>
                <w:color w:val="000000"/>
                <w:lang w:val="en-US" w:eastAsia="fr-FR"/>
              </w:rPr>
            </w:pPr>
            <w:r w:rsidRPr="00633CE1">
              <w:rPr>
                <w:rFonts w:eastAsia="Times New Roman" w:cs="Calibri"/>
                <w:b/>
                <w:color w:val="000000"/>
                <w:lang w:val="en-US" w:eastAsia="fr-FR"/>
              </w:rPr>
              <w:t>Length of ICU stay (days)</w:t>
            </w:r>
          </w:p>
        </w:tc>
        <w:tc>
          <w:tcPr>
            <w:tcW w:w="1701" w:type="dxa"/>
            <w:shd w:val="clear" w:color="auto" w:fill="auto"/>
            <w:noWrap/>
            <w:vAlign w:val="bottom"/>
            <w:hideMark/>
          </w:tcPr>
          <w:p w14:paraId="62DBBB0D"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2A3CE25"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012834EA"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E82B5D1"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778617B2" w14:textId="77777777" w:rsidR="00EF113D" w:rsidRPr="00633CE1" w:rsidRDefault="00EF113D" w:rsidP="00E37E60">
            <w:pPr>
              <w:spacing w:after="0" w:line="240" w:lineRule="auto"/>
              <w:rPr>
                <w:rFonts w:eastAsia="Times New Roman" w:cs="Calibri"/>
                <w:b/>
                <w:color w:val="000000"/>
                <w:lang w:val="en-US" w:eastAsia="fr-FR"/>
              </w:rPr>
            </w:pPr>
          </w:p>
        </w:tc>
      </w:tr>
      <w:tr w:rsidR="00EF113D" w:rsidRPr="0024326E" w14:paraId="18056F24" w14:textId="77777777" w:rsidTr="00E37E60">
        <w:trPr>
          <w:trHeight w:val="300"/>
          <w:jc w:val="center"/>
        </w:trPr>
        <w:tc>
          <w:tcPr>
            <w:tcW w:w="3402" w:type="dxa"/>
            <w:shd w:val="clear" w:color="auto" w:fill="auto"/>
            <w:noWrap/>
            <w:vAlign w:val="center"/>
            <w:hideMark/>
          </w:tcPr>
          <w:p w14:paraId="5D59D646"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5A7E12B8"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9.00 [4.00;20.25]</w:t>
            </w:r>
          </w:p>
        </w:tc>
        <w:tc>
          <w:tcPr>
            <w:tcW w:w="1701" w:type="dxa"/>
            <w:shd w:val="clear" w:color="auto" w:fill="auto"/>
            <w:noWrap/>
            <w:vAlign w:val="bottom"/>
            <w:hideMark/>
          </w:tcPr>
          <w:p w14:paraId="31A10E2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9.00 [4.00;21.00]</w:t>
            </w:r>
          </w:p>
        </w:tc>
        <w:tc>
          <w:tcPr>
            <w:tcW w:w="1701" w:type="dxa"/>
            <w:shd w:val="clear" w:color="auto" w:fill="auto"/>
            <w:noWrap/>
            <w:vAlign w:val="bottom"/>
            <w:hideMark/>
          </w:tcPr>
          <w:p w14:paraId="0AA820C5"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8.00 [4.00;20.00]</w:t>
            </w:r>
          </w:p>
        </w:tc>
        <w:tc>
          <w:tcPr>
            <w:tcW w:w="1701" w:type="dxa"/>
            <w:shd w:val="clear" w:color="auto" w:fill="auto"/>
            <w:noWrap/>
            <w:vAlign w:val="bottom"/>
            <w:hideMark/>
          </w:tcPr>
          <w:p w14:paraId="6EFDE70D" w14:textId="77777777" w:rsidR="00EF113D" w:rsidRPr="0024326E" w:rsidRDefault="00EF113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1D95D47D"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0.56</w:t>
            </w:r>
          </w:p>
        </w:tc>
      </w:tr>
      <w:tr w:rsidR="00EF113D" w:rsidRPr="0009503D" w14:paraId="2446E0E0" w14:textId="77777777" w:rsidTr="00E37E60">
        <w:trPr>
          <w:trHeight w:val="300"/>
          <w:jc w:val="center"/>
        </w:trPr>
        <w:tc>
          <w:tcPr>
            <w:tcW w:w="3402" w:type="dxa"/>
            <w:shd w:val="clear" w:color="auto" w:fill="auto"/>
            <w:noWrap/>
            <w:vAlign w:val="center"/>
            <w:hideMark/>
          </w:tcPr>
          <w:p w14:paraId="2385869B" w14:textId="6396352F" w:rsidR="00EF113D" w:rsidRPr="00633CE1" w:rsidRDefault="00633CE1" w:rsidP="00E37E60">
            <w:pPr>
              <w:spacing w:after="0" w:line="240" w:lineRule="auto"/>
              <w:rPr>
                <w:rFonts w:eastAsia="Times New Roman" w:cs="Calibri"/>
                <w:b/>
                <w:color w:val="000000"/>
                <w:lang w:val="en-US" w:eastAsia="fr-FR"/>
              </w:rPr>
            </w:pPr>
            <w:r w:rsidRPr="00633CE1">
              <w:rPr>
                <w:rFonts w:eastAsia="Times New Roman" w:cs="Calibri"/>
                <w:b/>
                <w:color w:val="000000"/>
                <w:lang w:val="en-US" w:eastAsia="fr-FR"/>
              </w:rPr>
              <w:lastRenderedPageBreak/>
              <w:t>Length of hospital stay (days</w:t>
            </w:r>
            <w:r>
              <w:rPr>
                <w:rFonts w:eastAsia="Times New Roman" w:cs="Calibri"/>
                <w:b/>
                <w:color w:val="000000"/>
                <w:lang w:val="en-US" w:eastAsia="fr-FR"/>
              </w:rPr>
              <w:t>)</w:t>
            </w:r>
          </w:p>
        </w:tc>
        <w:tc>
          <w:tcPr>
            <w:tcW w:w="1701" w:type="dxa"/>
            <w:shd w:val="clear" w:color="auto" w:fill="auto"/>
            <w:noWrap/>
            <w:vAlign w:val="bottom"/>
            <w:hideMark/>
          </w:tcPr>
          <w:p w14:paraId="5489A992"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03B27E5"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8765E93" w14:textId="77777777" w:rsidR="00EF113D" w:rsidRPr="00633CE1" w:rsidRDefault="00EF113D" w:rsidP="00E37E60">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016F3D6" w14:textId="77777777" w:rsidR="00EF113D" w:rsidRPr="00633CE1" w:rsidRDefault="00EF113D" w:rsidP="00E37E60">
            <w:pPr>
              <w:spacing w:after="0" w:line="240" w:lineRule="auto"/>
              <w:rPr>
                <w:rFonts w:eastAsia="Times New Roman" w:cs="Calibri"/>
                <w:b/>
                <w:color w:val="000000"/>
                <w:lang w:val="en-US" w:eastAsia="fr-FR"/>
              </w:rPr>
            </w:pPr>
          </w:p>
        </w:tc>
        <w:tc>
          <w:tcPr>
            <w:tcW w:w="863" w:type="dxa"/>
            <w:shd w:val="clear" w:color="auto" w:fill="auto"/>
            <w:noWrap/>
            <w:vAlign w:val="bottom"/>
            <w:hideMark/>
          </w:tcPr>
          <w:p w14:paraId="7B9528B0" w14:textId="77777777" w:rsidR="00EF113D" w:rsidRPr="00633CE1" w:rsidRDefault="00EF113D" w:rsidP="00E37E60">
            <w:pPr>
              <w:spacing w:after="0" w:line="240" w:lineRule="auto"/>
              <w:rPr>
                <w:rFonts w:eastAsia="Times New Roman" w:cs="Calibri"/>
                <w:b/>
                <w:color w:val="000000"/>
                <w:lang w:val="en-US" w:eastAsia="fr-FR"/>
              </w:rPr>
            </w:pPr>
          </w:p>
        </w:tc>
      </w:tr>
      <w:tr w:rsidR="00EF113D" w:rsidRPr="0024326E" w14:paraId="1A73CED3" w14:textId="77777777" w:rsidTr="00E37E60">
        <w:trPr>
          <w:trHeight w:val="300"/>
          <w:jc w:val="center"/>
        </w:trPr>
        <w:tc>
          <w:tcPr>
            <w:tcW w:w="3402" w:type="dxa"/>
            <w:shd w:val="clear" w:color="auto" w:fill="auto"/>
            <w:noWrap/>
            <w:vAlign w:val="center"/>
            <w:hideMark/>
          </w:tcPr>
          <w:p w14:paraId="4E2DAB4B" w14:textId="77777777" w:rsidR="00EF113D" w:rsidRPr="0024326E" w:rsidRDefault="00EF113D" w:rsidP="00E37E60">
            <w:pPr>
              <w:spacing w:after="0" w:line="240" w:lineRule="auto"/>
              <w:jc w:val="right"/>
              <w:rPr>
                <w:rFonts w:eastAsia="Times New Roman" w:cs="Calibri"/>
                <w:color w:val="000000"/>
                <w:lang w:eastAsia="fr-FR"/>
              </w:rPr>
            </w:pPr>
            <w:proofErr w:type="spellStart"/>
            <w:r w:rsidRPr="0024326E">
              <w:rPr>
                <w:rFonts w:eastAsia="Times New Roman" w:cs="Calibri"/>
                <w:color w:val="000000"/>
                <w:lang w:eastAsia="fr-FR"/>
              </w:rPr>
              <w:t>Median</w:t>
            </w:r>
            <w:proofErr w:type="spellEnd"/>
            <w:r w:rsidRPr="0024326E">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491145BF"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19.00 [11.00;33.00]</w:t>
            </w:r>
          </w:p>
        </w:tc>
        <w:tc>
          <w:tcPr>
            <w:tcW w:w="1701" w:type="dxa"/>
            <w:shd w:val="clear" w:color="auto" w:fill="auto"/>
            <w:noWrap/>
            <w:vAlign w:val="bottom"/>
            <w:hideMark/>
          </w:tcPr>
          <w:p w14:paraId="36AD80A3"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18.00 [11.00;33.00]</w:t>
            </w:r>
          </w:p>
        </w:tc>
        <w:tc>
          <w:tcPr>
            <w:tcW w:w="1701" w:type="dxa"/>
            <w:shd w:val="clear" w:color="auto" w:fill="auto"/>
            <w:noWrap/>
            <w:vAlign w:val="bottom"/>
            <w:hideMark/>
          </w:tcPr>
          <w:p w14:paraId="392CB54C"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19.50 [13.00;31.50]</w:t>
            </w:r>
          </w:p>
        </w:tc>
        <w:tc>
          <w:tcPr>
            <w:tcW w:w="1701" w:type="dxa"/>
            <w:shd w:val="clear" w:color="auto" w:fill="auto"/>
            <w:noWrap/>
            <w:vAlign w:val="bottom"/>
            <w:hideMark/>
          </w:tcPr>
          <w:p w14:paraId="0333F469" w14:textId="77777777" w:rsidR="00EF113D" w:rsidRPr="0024326E" w:rsidRDefault="00EF113D" w:rsidP="00E37E60">
            <w:pPr>
              <w:spacing w:after="0" w:line="240" w:lineRule="auto"/>
              <w:jc w:val="center"/>
              <w:rPr>
                <w:rFonts w:eastAsia="Times New Roman" w:cs="Calibri"/>
                <w:color w:val="000000"/>
                <w:lang w:eastAsia="fr-FR"/>
              </w:rPr>
            </w:pPr>
          </w:p>
        </w:tc>
        <w:tc>
          <w:tcPr>
            <w:tcW w:w="863" w:type="dxa"/>
            <w:shd w:val="clear" w:color="auto" w:fill="auto"/>
            <w:noWrap/>
            <w:vAlign w:val="bottom"/>
            <w:hideMark/>
          </w:tcPr>
          <w:p w14:paraId="7B3424C7" w14:textId="77777777" w:rsidR="00EF113D" w:rsidRPr="0024326E" w:rsidRDefault="00EF113D" w:rsidP="00E37E60">
            <w:pPr>
              <w:spacing w:after="0" w:line="240" w:lineRule="auto"/>
              <w:jc w:val="center"/>
              <w:rPr>
                <w:rFonts w:eastAsia="Times New Roman" w:cs="Calibri"/>
                <w:color w:val="000000"/>
                <w:lang w:eastAsia="fr-FR"/>
              </w:rPr>
            </w:pPr>
            <w:r w:rsidRPr="0024326E">
              <w:rPr>
                <w:rFonts w:eastAsia="Times New Roman" w:cs="Calibri"/>
                <w:color w:val="000000"/>
                <w:lang w:eastAsia="fr-FR"/>
              </w:rPr>
              <w:t>0.39</w:t>
            </w:r>
          </w:p>
        </w:tc>
      </w:tr>
    </w:tbl>
    <w:p w14:paraId="67D227AD" w14:textId="77777777" w:rsidR="00DE7A3A" w:rsidRDefault="00DE7A3A" w:rsidP="00DE7A3A">
      <w:pPr>
        <w:rPr>
          <w:lang w:val="en-US"/>
        </w:rPr>
      </w:pPr>
    </w:p>
    <w:p w14:paraId="68602107" w14:textId="77777777" w:rsidR="0089558F" w:rsidRDefault="0089558F" w:rsidP="00DE7A3A">
      <w:pPr>
        <w:rPr>
          <w:lang w:val="en-US"/>
        </w:rPr>
      </w:pPr>
    </w:p>
    <w:p w14:paraId="0B2B6C61" w14:textId="1BE97CC3" w:rsidR="0089558F" w:rsidRDefault="0089558F">
      <w:pPr>
        <w:rPr>
          <w:lang w:val="en-US"/>
        </w:rPr>
      </w:pPr>
      <w:r>
        <w:rPr>
          <w:lang w:val="en-US"/>
        </w:rPr>
        <w:br w:type="page"/>
      </w:r>
    </w:p>
    <w:p w14:paraId="67640F2B" w14:textId="1A59395B" w:rsidR="0089558F" w:rsidRDefault="007B5A87" w:rsidP="00DE7A3A">
      <w:pPr>
        <w:rPr>
          <w:lang w:val="en-US"/>
        </w:rPr>
      </w:pPr>
      <w:r w:rsidRPr="00A845A8">
        <w:rPr>
          <w:u w:val="single"/>
          <w:lang w:val="en-US"/>
        </w:rPr>
        <w:lastRenderedPageBreak/>
        <w:t xml:space="preserve">Supplementary table </w:t>
      </w:r>
      <w:r w:rsidR="00773CF5">
        <w:rPr>
          <w:u w:val="single"/>
          <w:lang w:val="en-US"/>
        </w:rPr>
        <w:t>6</w:t>
      </w:r>
      <w:r w:rsidRPr="00A845A8">
        <w:rPr>
          <w:u w:val="single"/>
          <w:lang w:val="en-US"/>
        </w:rPr>
        <w:t xml:space="preserve">: </w:t>
      </w:r>
      <w:r>
        <w:rPr>
          <w:lang w:val="en-US"/>
        </w:rPr>
        <w:t xml:space="preserve">Evolution during ICU stay (“ICU group”): </w:t>
      </w:r>
      <w:proofErr w:type="spellStart"/>
      <w:r w:rsidRPr="00B80FA1">
        <w:rPr>
          <w:lang w:val="en-US"/>
        </w:rPr>
        <w:t>Tocilizumab</w:t>
      </w:r>
      <w:proofErr w:type="spellEnd"/>
      <w:r w:rsidRPr="00B80FA1">
        <w:rPr>
          <w:lang w:val="en-US"/>
        </w:rPr>
        <w:t xml:space="preserve"> vs no </w:t>
      </w:r>
      <w:proofErr w:type="spellStart"/>
      <w:r w:rsidRPr="00B80FA1">
        <w:rPr>
          <w:lang w:val="en-US"/>
        </w:rPr>
        <w:t>Tocilizumab</w:t>
      </w:r>
      <w:proofErr w:type="spellEnd"/>
      <w:r>
        <w:rPr>
          <w:lang w:val="en-US"/>
        </w:rPr>
        <w:t xml:space="preserve"> </w:t>
      </w:r>
    </w:p>
    <w:tbl>
      <w:tblPr>
        <w:tblW w:w="1111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904"/>
      </w:tblGrid>
      <w:tr w:rsidR="007B5A87" w:rsidRPr="009B46ED" w14:paraId="02ADBB17" w14:textId="77777777" w:rsidTr="009906BB">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7D503C39" w14:textId="77777777" w:rsidR="007B5A87" w:rsidRPr="007B5A87" w:rsidRDefault="007B5A87" w:rsidP="009906BB">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0A235950"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Total (N=984)</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0925F642" w14:textId="2BCB484A" w:rsidR="007B5A87" w:rsidRPr="009B46ED" w:rsidRDefault="007B5A87" w:rsidP="009906BB">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Pr="009B46ED">
              <w:rPr>
                <w:rFonts w:eastAsia="Times New Roman" w:cs="Calibri"/>
                <w:color w:val="000000"/>
                <w:lang w:eastAsia="fr-FR"/>
              </w:rPr>
              <w:t>ocilizumab</w:t>
            </w:r>
            <w:proofErr w:type="spellEnd"/>
            <w:r w:rsidRPr="009B46ED">
              <w:rPr>
                <w:rFonts w:eastAsia="Times New Roman" w:cs="Calibri"/>
                <w:color w:val="000000"/>
                <w:lang w:eastAsia="fr-FR"/>
              </w:rPr>
              <w:t xml:space="preserve"> (N=872)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064EB31" w14:textId="77777777" w:rsidR="007B5A87" w:rsidRPr="009B46ED" w:rsidRDefault="007B5A87" w:rsidP="009906BB">
            <w:pPr>
              <w:spacing w:after="0" w:line="240" w:lineRule="auto"/>
              <w:jc w:val="center"/>
              <w:rPr>
                <w:rFonts w:eastAsia="Times New Roman" w:cs="Calibri"/>
                <w:color w:val="000000"/>
                <w:lang w:eastAsia="fr-FR"/>
              </w:rPr>
            </w:pPr>
            <w:proofErr w:type="spellStart"/>
            <w:r w:rsidRPr="009B46ED">
              <w:rPr>
                <w:rFonts w:eastAsia="Times New Roman" w:cs="Calibri"/>
                <w:color w:val="000000"/>
                <w:lang w:eastAsia="fr-FR"/>
              </w:rPr>
              <w:t>Tocilizumab</w:t>
            </w:r>
            <w:proofErr w:type="spellEnd"/>
            <w:r w:rsidRPr="009B46ED">
              <w:rPr>
                <w:rFonts w:eastAsia="Times New Roman" w:cs="Calibri"/>
                <w:color w:val="000000"/>
                <w:lang w:eastAsia="fr-FR"/>
              </w:rPr>
              <w:t xml:space="preserve"> (N=112)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0A9F6689"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OR [IC95%]</w:t>
            </w:r>
          </w:p>
        </w:tc>
        <w:tc>
          <w:tcPr>
            <w:tcW w:w="904" w:type="dxa"/>
            <w:tcBorders>
              <w:top w:val="single" w:sz="4" w:space="0" w:color="auto"/>
              <w:bottom w:val="single" w:sz="4" w:space="0" w:color="auto"/>
            </w:tcBorders>
            <w:shd w:val="clear" w:color="auto" w:fill="D9D9D9" w:themeFill="background1" w:themeFillShade="D9"/>
            <w:noWrap/>
            <w:vAlign w:val="bottom"/>
            <w:hideMark/>
          </w:tcPr>
          <w:p w14:paraId="202D3DEF"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p</w:t>
            </w:r>
          </w:p>
        </w:tc>
      </w:tr>
      <w:tr w:rsidR="007B5A87" w:rsidRPr="009B46ED" w14:paraId="0C50C584" w14:textId="77777777" w:rsidTr="009906BB">
        <w:trPr>
          <w:trHeight w:val="300"/>
          <w:jc w:val="center"/>
        </w:trPr>
        <w:tc>
          <w:tcPr>
            <w:tcW w:w="3402" w:type="dxa"/>
            <w:tcBorders>
              <w:top w:val="single" w:sz="4" w:space="0" w:color="auto"/>
            </w:tcBorders>
            <w:shd w:val="clear" w:color="auto" w:fill="auto"/>
            <w:noWrap/>
            <w:vAlign w:val="center"/>
            <w:hideMark/>
          </w:tcPr>
          <w:p w14:paraId="5DEF1CD9" w14:textId="1A9E4DA0" w:rsidR="007B5A87" w:rsidRPr="009B46ED" w:rsidRDefault="007B5A87" w:rsidP="009906BB">
            <w:pPr>
              <w:spacing w:after="0" w:line="240" w:lineRule="auto"/>
              <w:rPr>
                <w:rFonts w:eastAsia="Times New Roman" w:cs="Calibri"/>
                <w:b/>
                <w:color w:val="000000"/>
                <w:lang w:eastAsia="fr-FR"/>
              </w:rPr>
            </w:pPr>
            <w:r>
              <w:rPr>
                <w:rFonts w:eastAsia="Times New Roman" w:cs="Calibri"/>
                <w:b/>
                <w:color w:val="000000"/>
                <w:lang w:eastAsia="fr-FR"/>
              </w:rPr>
              <w:t>SAPS II</w:t>
            </w:r>
            <w:r w:rsidRPr="009B46ED">
              <w:rPr>
                <w:rFonts w:eastAsia="Times New Roman" w:cs="Calibri"/>
                <w:b/>
                <w:color w:val="000000"/>
                <w:lang w:eastAsia="fr-FR"/>
              </w:rPr>
              <w:t xml:space="preserve"> (N=961)</w:t>
            </w:r>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39329337" w14:textId="77777777" w:rsidR="007B5A87" w:rsidRPr="009B46ED" w:rsidRDefault="007B5A87" w:rsidP="009906BB">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6446826A" w14:textId="77777777" w:rsidR="007B5A87" w:rsidRPr="009B46ED" w:rsidRDefault="007B5A87" w:rsidP="009906BB">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000609C2" w14:textId="77777777" w:rsidR="007B5A87" w:rsidRPr="009B46ED" w:rsidRDefault="007B5A87" w:rsidP="009906BB">
            <w:pPr>
              <w:spacing w:after="0" w:line="240" w:lineRule="auto"/>
              <w:rPr>
                <w:rFonts w:eastAsia="Times New Roman" w:cs="Calibri"/>
                <w:b/>
                <w:color w:val="000000"/>
                <w:lang w:eastAsia="fr-FR"/>
              </w:rPr>
            </w:pPr>
          </w:p>
        </w:tc>
        <w:tc>
          <w:tcPr>
            <w:tcW w:w="1701" w:type="dxa"/>
            <w:tcBorders>
              <w:top w:val="single" w:sz="4" w:space="0" w:color="auto"/>
            </w:tcBorders>
            <w:shd w:val="clear" w:color="auto" w:fill="auto"/>
            <w:noWrap/>
            <w:vAlign w:val="bottom"/>
            <w:hideMark/>
          </w:tcPr>
          <w:p w14:paraId="02B10483" w14:textId="77777777" w:rsidR="007B5A87" w:rsidRPr="009B46ED" w:rsidRDefault="007B5A87" w:rsidP="009906BB">
            <w:pPr>
              <w:spacing w:after="0" w:line="240" w:lineRule="auto"/>
              <w:rPr>
                <w:rFonts w:eastAsia="Times New Roman" w:cs="Calibri"/>
                <w:b/>
                <w:color w:val="000000"/>
                <w:lang w:eastAsia="fr-FR"/>
              </w:rPr>
            </w:pPr>
          </w:p>
        </w:tc>
        <w:tc>
          <w:tcPr>
            <w:tcW w:w="904" w:type="dxa"/>
            <w:tcBorders>
              <w:top w:val="single" w:sz="4" w:space="0" w:color="auto"/>
            </w:tcBorders>
            <w:shd w:val="clear" w:color="auto" w:fill="auto"/>
            <w:noWrap/>
            <w:vAlign w:val="bottom"/>
            <w:hideMark/>
          </w:tcPr>
          <w:p w14:paraId="5C06CF6F" w14:textId="77777777" w:rsidR="007B5A87" w:rsidRPr="009B46ED" w:rsidRDefault="007B5A87" w:rsidP="009906BB">
            <w:pPr>
              <w:spacing w:after="0" w:line="240" w:lineRule="auto"/>
              <w:rPr>
                <w:rFonts w:eastAsia="Times New Roman" w:cs="Calibri"/>
                <w:b/>
                <w:color w:val="000000"/>
                <w:lang w:eastAsia="fr-FR"/>
              </w:rPr>
            </w:pPr>
          </w:p>
        </w:tc>
      </w:tr>
      <w:tr w:rsidR="007B5A87" w:rsidRPr="009B46ED" w14:paraId="45DA8821" w14:textId="77777777" w:rsidTr="009906BB">
        <w:trPr>
          <w:trHeight w:val="300"/>
          <w:jc w:val="center"/>
        </w:trPr>
        <w:tc>
          <w:tcPr>
            <w:tcW w:w="3402" w:type="dxa"/>
            <w:shd w:val="clear" w:color="auto" w:fill="auto"/>
            <w:noWrap/>
            <w:vAlign w:val="center"/>
            <w:hideMark/>
          </w:tcPr>
          <w:p w14:paraId="11B60158" w14:textId="77777777" w:rsidR="007B5A87" w:rsidRPr="009B46ED" w:rsidRDefault="007B5A87" w:rsidP="009906BB">
            <w:pPr>
              <w:spacing w:after="0" w:line="240" w:lineRule="auto"/>
              <w:jc w:val="right"/>
              <w:rPr>
                <w:rFonts w:eastAsia="Times New Roman" w:cs="Calibri"/>
                <w:color w:val="000000"/>
                <w:lang w:eastAsia="fr-FR"/>
              </w:rPr>
            </w:pPr>
            <w:proofErr w:type="spellStart"/>
            <w:r w:rsidRPr="009B46ED">
              <w:rPr>
                <w:rFonts w:eastAsia="Times New Roman" w:cs="Calibri"/>
                <w:color w:val="000000"/>
                <w:lang w:eastAsia="fr-FR"/>
              </w:rPr>
              <w:t>Mean</w:t>
            </w:r>
            <w:proofErr w:type="spellEnd"/>
            <w:r w:rsidRPr="009B46ED">
              <w:rPr>
                <w:rFonts w:eastAsia="Times New Roman" w:cs="Calibri"/>
                <w:color w:val="000000"/>
                <w:lang w:eastAsia="fr-FR"/>
              </w:rPr>
              <w:t xml:space="preserve"> (SD)</w:t>
            </w:r>
            <w:r>
              <w:rPr>
                <w:rFonts w:eastAsia="Times New Roman" w:cs="Calibri"/>
                <w:color w:val="000000"/>
                <w:lang w:eastAsia="fr-FR"/>
              </w:rPr>
              <w:t xml:space="preserve"> </w:t>
            </w:r>
          </w:p>
        </w:tc>
        <w:tc>
          <w:tcPr>
            <w:tcW w:w="1701" w:type="dxa"/>
            <w:shd w:val="clear" w:color="auto" w:fill="auto"/>
            <w:noWrap/>
            <w:vAlign w:val="bottom"/>
            <w:hideMark/>
          </w:tcPr>
          <w:p w14:paraId="0E5E3CC7"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40.51 (18.32)</w:t>
            </w:r>
          </w:p>
        </w:tc>
        <w:tc>
          <w:tcPr>
            <w:tcW w:w="1701" w:type="dxa"/>
            <w:shd w:val="clear" w:color="auto" w:fill="auto"/>
            <w:noWrap/>
            <w:vAlign w:val="bottom"/>
            <w:hideMark/>
          </w:tcPr>
          <w:p w14:paraId="504E4D6C"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41.47 (18.74)</w:t>
            </w:r>
          </w:p>
        </w:tc>
        <w:tc>
          <w:tcPr>
            <w:tcW w:w="1701" w:type="dxa"/>
            <w:shd w:val="clear" w:color="auto" w:fill="auto"/>
            <w:noWrap/>
            <w:vAlign w:val="bottom"/>
            <w:hideMark/>
          </w:tcPr>
          <w:p w14:paraId="66FD0BBD"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33.29 (12.66)</w:t>
            </w:r>
          </w:p>
        </w:tc>
        <w:tc>
          <w:tcPr>
            <w:tcW w:w="1701" w:type="dxa"/>
            <w:shd w:val="clear" w:color="auto" w:fill="auto"/>
            <w:noWrap/>
            <w:vAlign w:val="bottom"/>
            <w:hideMark/>
          </w:tcPr>
          <w:p w14:paraId="14B833E5" w14:textId="77777777" w:rsidR="007B5A87" w:rsidRPr="009B46ED" w:rsidRDefault="007B5A87" w:rsidP="009906BB">
            <w:pPr>
              <w:spacing w:after="0" w:line="240" w:lineRule="auto"/>
              <w:jc w:val="center"/>
              <w:rPr>
                <w:rFonts w:eastAsia="Times New Roman" w:cs="Calibri"/>
                <w:color w:val="000000"/>
                <w:lang w:eastAsia="fr-FR"/>
              </w:rPr>
            </w:pPr>
          </w:p>
        </w:tc>
        <w:tc>
          <w:tcPr>
            <w:tcW w:w="904" w:type="dxa"/>
            <w:shd w:val="clear" w:color="auto" w:fill="auto"/>
            <w:noWrap/>
            <w:vAlign w:val="bottom"/>
            <w:hideMark/>
          </w:tcPr>
          <w:p w14:paraId="79AB90AF"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&lt;0.0001</w:t>
            </w:r>
          </w:p>
        </w:tc>
      </w:tr>
      <w:tr w:rsidR="007B5A87" w:rsidRPr="00A845A8" w14:paraId="4F9DC793" w14:textId="77777777" w:rsidTr="009906BB">
        <w:trPr>
          <w:trHeight w:val="300"/>
          <w:jc w:val="center"/>
        </w:trPr>
        <w:tc>
          <w:tcPr>
            <w:tcW w:w="3402" w:type="dxa"/>
            <w:shd w:val="clear" w:color="auto" w:fill="auto"/>
            <w:noWrap/>
            <w:vAlign w:val="center"/>
            <w:hideMark/>
          </w:tcPr>
          <w:p w14:paraId="6BA52BE2" w14:textId="0C030A62" w:rsidR="007B5A87" w:rsidRPr="00A845A8" w:rsidRDefault="00A845A8" w:rsidP="009906BB">
            <w:pPr>
              <w:spacing w:after="0" w:line="240" w:lineRule="auto"/>
              <w:rPr>
                <w:rFonts w:eastAsia="Times New Roman" w:cs="Calibri"/>
                <w:b/>
                <w:color w:val="000000"/>
                <w:lang w:val="en-US" w:eastAsia="fr-FR"/>
              </w:rPr>
            </w:pPr>
            <w:r w:rsidRPr="008258E1">
              <w:rPr>
                <w:rFonts w:eastAsia="Times New Roman" w:cs="Calibri"/>
                <w:b/>
                <w:color w:val="000000"/>
                <w:lang w:val="en-US" w:eastAsia="fr-FR"/>
              </w:rPr>
              <w:t>HFNO</w:t>
            </w:r>
            <w:r w:rsidR="007B5A87" w:rsidRPr="00A845A8">
              <w:rPr>
                <w:rFonts w:eastAsia="Times New Roman" w:cs="Calibri"/>
                <w:b/>
                <w:color w:val="000000"/>
                <w:lang w:val="en-US" w:eastAsia="fr-FR"/>
              </w:rPr>
              <w:t>/</w:t>
            </w:r>
            <w:r>
              <w:rPr>
                <w:rFonts w:eastAsia="Times New Roman" w:cs="Calibri"/>
                <w:b/>
                <w:color w:val="000000"/>
                <w:lang w:val="en-US" w:eastAsia="fr-FR"/>
              </w:rPr>
              <w:t>NI</w:t>
            </w:r>
            <w:r w:rsidR="007B5A87" w:rsidRPr="00A845A8">
              <w:rPr>
                <w:rFonts w:eastAsia="Times New Roman" w:cs="Calibri"/>
                <w:b/>
                <w:color w:val="000000"/>
                <w:lang w:val="en-US" w:eastAsia="fr-FR"/>
              </w:rPr>
              <w:t xml:space="preserve">V (N=978) </w:t>
            </w:r>
          </w:p>
        </w:tc>
        <w:tc>
          <w:tcPr>
            <w:tcW w:w="1701" w:type="dxa"/>
            <w:shd w:val="clear" w:color="auto" w:fill="auto"/>
            <w:noWrap/>
            <w:vAlign w:val="bottom"/>
            <w:hideMark/>
          </w:tcPr>
          <w:p w14:paraId="3A916B66" w14:textId="77777777" w:rsidR="007B5A87" w:rsidRPr="00A845A8"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7D1E9EA" w14:textId="77777777" w:rsidR="007B5A87" w:rsidRPr="00A845A8"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B07A93F" w14:textId="77777777" w:rsidR="007B5A87" w:rsidRPr="00A845A8"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7FF4BDA9" w14:textId="77777777" w:rsidR="007B5A87" w:rsidRPr="00A845A8" w:rsidRDefault="007B5A87" w:rsidP="009906BB">
            <w:pPr>
              <w:spacing w:after="0" w:line="240" w:lineRule="auto"/>
              <w:rPr>
                <w:rFonts w:eastAsia="Times New Roman" w:cs="Calibri"/>
                <w:b/>
                <w:color w:val="000000"/>
                <w:lang w:val="en-US" w:eastAsia="fr-FR"/>
              </w:rPr>
            </w:pPr>
          </w:p>
        </w:tc>
        <w:tc>
          <w:tcPr>
            <w:tcW w:w="904" w:type="dxa"/>
            <w:shd w:val="clear" w:color="auto" w:fill="auto"/>
            <w:noWrap/>
            <w:vAlign w:val="bottom"/>
            <w:hideMark/>
          </w:tcPr>
          <w:p w14:paraId="6B1CEC2F" w14:textId="77777777" w:rsidR="007B5A87" w:rsidRPr="00A845A8" w:rsidRDefault="007B5A87" w:rsidP="009906BB">
            <w:pPr>
              <w:spacing w:after="0" w:line="240" w:lineRule="auto"/>
              <w:rPr>
                <w:rFonts w:eastAsia="Times New Roman" w:cs="Calibri"/>
                <w:b/>
                <w:color w:val="000000"/>
                <w:lang w:val="en-US" w:eastAsia="fr-FR"/>
              </w:rPr>
            </w:pPr>
          </w:p>
        </w:tc>
      </w:tr>
      <w:tr w:rsidR="00595D8B" w:rsidRPr="009B46ED" w14:paraId="3C36C2F3" w14:textId="77777777" w:rsidTr="009906BB">
        <w:trPr>
          <w:trHeight w:val="300"/>
          <w:jc w:val="center"/>
        </w:trPr>
        <w:tc>
          <w:tcPr>
            <w:tcW w:w="3402" w:type="dxa"/>
            <w:shd w:val="clear" w:color="auto" w:fill="auto"/>
            <w:noWrap/>
            <w:vAlign w:val="center"/>
            <w:hideMark/>
          </w:tcPr>
          <w:p w14:paraId="72FE4005" w14:textId="4BE71CD2"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1EEAF60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312 (31.90%)</w:t>
            </w:r>
          </w:p>
        </w:tc>
        <w:tc>
          <w:tcPr>
            <w:tcW w:w="1701" w:type="dxa"/>
            <w:shd w:val="clear" w:color="auto" w:fill="auto"/>
            <w:noWrap/>
            <w:vAlign w:val="bottom"/>
            <w:hideMark/>
          </w:tcPr>
          <w:p w14:paraId="36EE42B1"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296 (34.18%)</w:t>
            </w:r>
          </w:p>
        </w:tc>
        <w:tc>
          <w:tcPr>
            <w:tcW w:w="1701" w:type="dxa"/>
            <w:shd w:val="clear" w:color="auto" w:fill="auto"/>
            <w:noWrap/>
            <w:vAlign w:val="bottom"/>
            <w:hideMark/>
          </w:tcPr>
          <w:p w14:paraId="6D813E57"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16 (14.29%)</w:t>
            </w:r>
          </w:p>
        </w:tc>
        <w:tc>
          <w:tcPr>
            <w:tcW w:w="1701" w:type="dxa"/>
            <w:shd w:val="clear" w:color="auto" w:fill="auto"/>
            <w:noWrap/>
            <w:vAlign w:val="bottom"/>
            <w:hideMark/>
          </w:tcPr>
          <w:p w14:paraId="124178BC"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74C171C7"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&lt;0.0001</w:t>
            </w:r>
          </w:p>
        </w:tc>
      </w:tr>
      <w:tr w:rsidR="00595D8B" w:rsidRPr="009B46ED" w14:paraId="19945820" w14:textId="77777777" w:rsidTr="009906BB">
        <w:trPr>
          <w:trHeight w:val="300"/>
          <w:jc w:val="center"/>
        </w:trPr>
        <w:tc>
          <w:tcPr>
            <w:tcW w:w="3402" w:type="dxa"/>
            <w:shd w:val="clear" w:color="auto" w:fill="auto"/>
            <w:noWrap/>
            <w:vAlign w:val="center"/>
            <w:hideMark/>
          </w:tcPr>
          <w:p w14:paraId="1BE1AE16" w14:textId="28311AEB"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3BE0323F"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666 (68.10%)</w:t>
            </w:r>
          </w:p>
        </w:tc>
        <w:tc>
          <w:tcPr>
            <w:tcW w:w="1701" w:type="dxa"/>
            <w:shd w:val="clear" w:color="auto" w:fill="auto"/>
            <w:noWrap/>
            <w:vAlign w:val="bottom"/>
            <w:hideMark/>
          </w:tcPr>
          <w:p w14:paraId="22F473D4"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570 (65.82%)</w:t>
            </w:r>
          </w:p>
        </w:tc>
        <w:tc>
          <w:tcPr>
            <w:tcW w:w="1701" w:type="dxa"/>
            <w:shd w:val="clear" w:color="auto" w:fill="auto"/>
            <w:noWrap/>
            <w:vAlign w:val="bottom"/>
            <w:hideMark/>
          </w:tcPr>
          <w:p w14:paraId="170C56CC"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96 (85.71%)</w:t>
            </w:r>
          </w:p>
        </w:tc>
        <w:tc>
          <w:tcPr>
            <w:tcW w:w="1701" w:type="dxa"/>
            <w:shd w:val="clear" w:color="auto" w:fill="auto"/>
            <w:noWrap/>
            <w:vAlign w:val="bottom"/>
            <w:hideMark/>
          </w:tcPr>
          <w:p w14:paraId="4F6A8E39"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3.12 [1.80;5.39]</w:t>
            </w:r>
          </w:p>
        </w:tc>
        <w:tc>
          <w:tcPr>
            <w:tcW w:w="904" w:type="dxa"/>
            <w:shd w:val="clear" w:color="auto" w:fill="auto"/>
            <w:noWrap/>
            <w:vAlign w:val="bottom"/>
            <w:hideMark/>
          </w:tcPr>
          <w:p w14:paraId="45DF10CD"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09503D" w14:paraId="5BBFE7CB" w14:textId="77777777" w:rsidTr="009906BB">
        <w:trPr>
          <w:trHeight w:val="300"/>
          <w:jc w:val="center"/>
        </w:trPr>
        <w:tc>
          <w:tcPr>
            <w:tcW w:w="3402" w:type="dxa"/>
            <w:shd w:val="clear" w:color="auto" w:fill="auto"/>
            <w:noWrap/>
            <w:vAlign w:val="center"/>
            <w:hideMark/>
          </w:tcPr>
          <w:p w14:paraId="6B057A52" w14:textId="4F12B17E" w:rsidR="007B5A87" w:rsidRPr="004562E4" w:rsidRDefault="004562E4" w:rsidP="009906BB">
            <w:pPr>
              <w:spacing w:after="0" w:line="240" w:lineRule="auto"/>
              <w:rPr>
                <w:rFonts w:eastAsia="Times New Roman" w:cs="Calibri"/>
                <w:b/>
                <w:color w:val="000000"/>
                <w:lang w:val="en-US" w:eastAsia="fr-FR"/>
              </w:rPr>
            </w:pPr>
            <w:r>
              <w:rPr>
                <w:rFonts w:eastAsia="Times New Roman" w:cs="Calibri"/>
                <w:b/>
                <w:color w:val="000000"/>
                <w:lang w:val="en-US" w:eastAsia="fr-FR"/>
              </w:rPr>
              <w:t>If</w:t>
            </w:r>
            <w:r w:rsidR="007B5A87" w:rsidRPr="004562E4">
              <w:rPr>
                <w:rFonts w:eastAsia="Times New Roman" w:cs="Calibri"/>
                <w:b/>
                <w:color w:val="000000"/>
                <w:lang w:val="en-US" w:eastAsia="fr-FR"/>
              </w:rPr>
              <w:t xml:space="preserve"> </w:t>
            </w:r>
            <w:r w:rsidRPr="004562E4">
              <w:rPr>
                <w:rFonts w:eastAsia="Times New Roman" w:cs="Calibri"/>
                <w:b/>
                <w:color w:val="000000"/>
                <w:lang w:val="en-US" w:eastAsia="fr-FR"/>
              </w:rPr>
              <w:t>HFNO or NIV</w:t>
            </w:r>
            <w:r w:rsidR="007B5A87" w:rsidRPr="004562E4">
              <w:rPr>
                <w:rFonts w:eastAsia="Times New Roman" w:cs="Calibri"/>
                <w:b/>
                <w:color w:val="000000"/>
                <w:lang w:val="en-US" w:eastAsia="fr-FR"/>
              </w:rPr>
              <w:t xml:space="preserve">, </w:t>
            </w:r>
            <w:r w:rsidRPr="004562E4">
              <w:rPr>
                <w:rFonts w:eastAsia="Times New Roman" w:cs="Calibri"/>
                <w:b/>
                <w:color w:val="000000"/>
                <w:lang w:val="en-US" w:eastAsia="fr-FR"/>
              </w:rPr>
              <w:t>length (days</w:t>
            </w:r>
            <w:r w:rsidR="007B5A87" w:rsidRPr="004562E4">
              <w:rPr>
                <w:rFonts w:eastAsia="Times New Roman" w:cs="Calibri"/>
                <w:b/>
                <w:color w:val="000000"/>
                <w:lang w:val="en-US" w:eastAsia="fr-FR"/>
              </w:rPr>
              <w:t xml:space="preserve">) (N=666) </w:t>
            </w:r>
          </w:p>
        </w:tc>
        <w:tc>
          <w:tcPr>
            <w:tcW w:w="1701" w:type="dxa"/>
            <w:shd w:val="clear" w:color="auto" w:fill="auto"/>
            <w:noWrap/>
            <w:vAlign w:val="bottom"/>
            <w:hideMark/>
          </w:tcPr>
          <w:p w14:paraId="4C328C8E" w14:textId="77777777" w:rsidR="007B5A87" w:rsidRPr="004562E4"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4A470BA9" w14:textId="77777777" w:rsidR="007B5A87" w:rsidRPr="004562E4"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29737B3" w14:textId="77777777" w:rsidR="007B5A87" w:rsidRPr="004562E4"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1E4097AF" w14:textId="77777777" w:rsidR="007B5A87" w:rsidRPr="004562E4" w:rsidRDefault="007B5A87" w:rsidP="009906BB">
            <w:pPr>
              <w:spacing w:after="0" w:line="240" w:lineRule="auto"/>
              <w:rPr>
                <w:rFonts w:eastAsia="Times New Roman" w:cs="Calibri"/>
                <w:b/>
                <w:color w:val="000000"/>
                <w:lang w:val="en-US" w:eastAsia="fr-FR"/>
              </w:rPr>
            </w:pPr>
          </w:p>
        </w:tc>
        <w:tc>
          <w:tcPr>
            <w:tcW w:w="904" w:type="dxa"/>
            <w:shd w:val="clear" w:color="auto" w:fill="auto"/>
            <w:noWrap/>
            <w:vAlign w:val="bottom"/>
            <w:hideMark/>
          </w:tcPr>
          <w:p w14:paraId="2F07DD42" w14:textId="77777777" w:rsidR="007B5A87" w:rsidRPr="004562E4" w:rsidRDefault="007B5A87" w:rsidP="009906BB">
            <w:pPr>
              <w:spacing w:after="0" w:line="240" w:lineRule="auto"/>
              <w:rPr>
                <w:rFonts w:eastAsia="Times New Roman" w:cs="Calibri"/>
                <w:b/>
                <w:color w:val="000000"/>
                <w:lang w:val="en-US" w:eastAsia="fr-FR"/>
              </w:rPr>
            </w:pPr>
          </w:p>
        </w:tc>
      </w:tr>
      <w:tr w:rsidR="007B5A87" w:rsidRPr="009B46ED" w14:paraId="2ADEBCF5" w14:textId="77777777" w:rsidTr="009906BB">
        <w:trPr>
          <w:trHeight w:val="300"/>
          <w:jc w:val="center"/>
        </w:trPr>
        <w:tc>
          <w:tcPr>
            <w:tcW w:w="3402" w:type="dxa"/>
            <w:shd w:val="clear" w:color="auto" w:fill="auto"/>
            <w:noWrap/>
            <w:vAlign w:val="center"/>
            <w:hideMark/>
          </w:tcPr>
          <w:p w14:paraId="6C2C4723" w14:textId="77777777" w:rsidR="007B5A87" w:rsidRPr="009B46ED" w:rsidRDefault="007B5A87" w:rsidP="009906BB">
            <w:pPr>
              <w:spacing w:after="0" w:line="240" w:lineRule="auto"/>
              <w:jc w:val="right"/>
              <w:rPr>
                <w:rFonts w:eastAsia="Times New Roman" w:cs="Calibri"/>
                <w:color w:val="000000"/>
                <w:lang w:eastAsia="fr-FR"/>
              </w:rPr>
            </w:pPr>
            <w:proofErr w:type="spellStart"/>
            <w:r w:rsidRPr="009B46ED">
              <w:rPr>
                <w:rFonts w:eastAsia="Times New Roman" w:cs="Calibri"/>
                <w:color w:val="000000"/>
                <w:lang w:eastAsia="fr-FR"/>
              </w:rPr>
              <w:t>Median</w:t>
            </w:r>
            <w:proofErr w:type="spellEnd"/>
            <w:r w:rsidRPr="009B46ED">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79B1F53C"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3.00 [1.00;5.00]</w:t>
            </w:r>
          </w:p>
        </w:tc>
        <w:tc>
          <w:tcPr>
            <w:tcW w:w="1701" w:type="dxa"/>
            <w:shd w:val="clear" w:color="auto" w:fill="auto"/>
            <w:noWrap/>
            <w:vAlign w:val="bottom"/>
            <w:hideMark/>
          </w:tcPr>
          <w:p w14:paraId="3B19F1D0"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3.00 [1.00;5.00]</w:t>
            </w:r>
          </w:p>
        </w:tc>
        <w:tc>
          <w:tcPr>
            <w:tcW w:w="1701" w:type="dxa"/>
            <w:shd w:val="clear" w:color="auto" w:fill="auto"/>
            <w:noWrap/>
            <w:vAlign w:val="bottom"/>
            <w:hideMark/>
          </w:tcPr>
          <w:p w14:paraId="6D5E8B81"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3.00 [2.00;5.25]</w:t>
            </w:r>
          </w:p>
        </w:tc>
        <w:tc>
          <w:tcPr>
            <w:tcW w:w="1701" w:type="dxa"/>
            <w:shd w:val="clear" w:color="auto" w:fill="auto"/>
            <w:noWrap/>
            <w:vAlign w:val="bottom"/>
            <w:hideMark/>
          </w:tcPr>
          <w:p w14:paraId="5F1AD6FC" w14:textId="77777777" w:rsidR="007B5A87" w:rsidRPr="009B46ED" w:rsidRDefault="007B5A87" w:rsidP="009906BB">
            <w:pPr>
              <w:spacing w:after="0" w:line="240" w:lineRule="auto"/>
              <w:jc w:val="center"/>
              <w:rPr>
                <w:rFonts w:eastAsia="Times New Roman" w:cs="Calibri"/>
                <w:color w:val="000000"/>
                <w:lang w:eastAsia="fr-FR"/>
              </w:rPr>
            </w:pPr>
          </w:p>
        </w:tc>
        <w:tc>
          <w:tcPr>
            <w:tcW w:w="904" w:type="dxa"/>
            <w:shd w:val="clear" w:color="auto" w:fill="auto"/>
            <w:noWrap/>
            <w:vAlign w:val="bottom"/>
            <w:hideMark/>
          </w:tcPr>
          <w:p w14:paraId="23B67CCE"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0.13</w:t>
            </w:r>
          </w:p>
        </w:tc>
      </w:tr>
      <w:tr w:rsidR="007B5A87" w:rsidRPr="009B46ED" w14:paraId="75191F84" w14:textId="77777777" w:rsidTr="009906BB">
        <w:trPr>
          <w:trHeight w:val="300"/>
          <w:jc w:val="center"/>
        </w:trPr>
        <w:tc>
          <w:tcPr>
            <w:tcW w:w="3402" w:type="dxa"/>
            <w:shd w:val="clear" w:color="auto" w:fill="auto"/>
            <w:noWrap/>
            <w:vAlign w:val="center"/>
            <w:hideMark/>
          </w:tcPr>
          <w:p w14:paraId="3E03DFD7" w14:textId="6A000521" w:rsidR="007B5A87" w:rsidRPr="009B46ED" w:rsidRDefault="004562E4" w:rsidP="009906BB">
            <w:pPr>
              <w:spacing w:after="0" w:line="240" w:lineRule="auto"/>
              <w:rPr>
                <w:rFonts w:eastAsia="Times New Roman" w:cs="Calibri"/>
                <w:b/>
                <w:color w:val="000000"/>
                <w:lang w:eastAsia="fr-FR"/>
              </w:rPr>
            </w:pPr>
            <w:r>
              <w:rPr>
                <w:rFonts w:eastAsia="Times New Roman" w:cs="Calibri"/>
                <w:b/>
                <w:color w:val="000000"/>
                <w:lang w:eastAsia="fr-FR"/>
              </w:rPr>
              <w:t xml:space="preserve">Invasive </w:t>
            </w:r>
            <w:proofErr w:type="spellStart"/>
            <w:r>
              <w:rPr>
                <w:rFonts w:eastAsia="Times New Roman" w:cs="Calibri"/>
                <w:b/>
                <w:color w:val="000000"/>
                <w:lang w:eastAsia="fr-FR"/>
              </w:rPr>
              <w:t>mechanical</w:t>
            </w:r>
            <w:proofErr w:type="spellEnd"/>
            <w:r>
              <w:rPr>
                <w:rFonts w:eastAsia="Times New Roman" w:cs="Calibri"/>
                <w:b/>
                <w:color w:val="000000"/>
                <w:lang w:eastAsia="fr-FR"/>
              </w:rPr>
              <w:t xml:space="preserve"> ventilation</w:t>
            </w:r>
            <w:r w:rsidR="007B5A87" w:rsidRPr="009B46ED">
              <w:rPr>
                <w:rFonts w:eastAsia="Times New Roman" w:cs="Calibri"/>
                <w:b/>
                <w:color w:val="000000"/>
                <w:lang w:eastAsia="fr-FR"/>
              </w:rPr>
              <w:t xml:space="preserve"> (N=983)</w:t>
            </w:r>
            <w:r w:rsidR="007B5A87">
              <w:rPr>
                <w:rFonts w:eastAsia="Times New Roman" w:cs="Calibri"/>
                <w:b/>
                <w:color w:val="000000"/>
                <w:lang w:eastAsia="fr-FR"/>
              </w:rPr>
              <w:t xml:space="preserve"> </w:t>
            </w:r>
          </w:p>
        </w:tc>
        <w:tc>
          <w:tcPr>
            <w:tcW w:w="1701" w:type="dxa"/>
            <w:shd w:val="clear" w:color="auto" w:fill="auto"/>
            <w:noWrap/>
            <w:vAlign w:val="bottom"/>
            <w:hideMark/>
          </w:tcPr>
          <w:p w14:paraId="35AF16F8"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1910F619"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3ABDD3EE"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1F7829CE"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5FE87D3B"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136437C5" w14:textId="77777777" w:rsidTr="009906BB">
        <w:trPr>
          <w:trHeight w:val="300"/>
          <w:jc w:val="center"/>
        </w:trPr>
        <w:tc>
          <w:tcPr>
            <w:tcW w:w="3402" w:type="dxa"/>
            <w:shd w:val="clear" w:color="auto" w:fill="auto"/>
            <w:noWrap/>
            <w:vAlign w:val="center"/>
            <w:hideMark/>
          </w:tcPr>
          <w:p w14:paraId="5FDAF80C" w14:textId="254A159D"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6E6AD02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418 (42.52%)</w:t>
            </w:r>
          </w:p>
        </w:tc>
        <w:tc>
          <w:tcPr>
            <w:tcW w:w="1701" w:type="dxa"/>
            <w:shd w:val="clear" w:color="auto" w:fill="auto"/>
            <w:noWrap/>
            <w:vAlign w:val="bottom"/>
            <w:hideMark/>
          </w:tcPr>
          <w:p w14:paraId="12C15D2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357 (40.99%)</w:t>
            </w:r>
          </w:p>
        </w:tc>
        <w:tc>
          <w:tcPr>
            <w:tcW w:w="1701" w:type="dxa"/>
            <w:shd w:val="clear" w:color="auto" w:fill="auto"/>
            <w:noWrap/>
            <w:vAlign w:val="bottom"/>
            <w:hideMark/>
          </w:tcPr>
          <w:p w14:paraId="1F1FCFA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61 (54.46%)</w:t>
            </w:r>
          </w:p>
        </w:tc>
        <w:tc>
          <w:tcPr>
            <w:tcW w:w="1701" w:type="dxa"/>
            <w:shd w:val="clear" w:color="auto" w:fill="auto"/>
            <w:noWrap/>
            <w:vAlign w:val="bottom"/>
            <w:hideMark/>
          </w:tcPr>
          <w:p w14:paraId="226EFB43"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16AA03E5"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0.0066</w:t>
            </w:r>
          </w:p>
        </w:tc>
      </w:tr>
      <w:tr w:rsidR="00595D8B" w:rsidRPr="009B46ED" w14:paraId="0572D5CE" w14:textId="77777777" w:rsidTr="009906BB">
        <w:trPr>
          <w:trHeight w:val="300"/>
          <w:jc w:val="center"/>
        </w:trPr>
        <w:tc>
          <w:tcPr>
            <w:tcW w:w="3402" w:type="dxa"/>
            <w:shd w:val="clear" w:color="auto" w:fill="auto"/>
            <w:noWrap/>
            <w:vAlign w:val="center"/>
            <w:hideMark/>
          </w:tcPr>
          <w:p w14:paraId="06BC304D" w14:textId="7EF7FB13"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7C95A221"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565 (57.48%)</w:t>
            </w:r>
          </w:p>
        </w:tc>
        <w:tc>
          <w:tcPr>
            <w:tcW w:w="1701" w:type="dxa"/>
            <w:shd w:val="clear" w:color="auto" w:fill="auto"/>
            <w:noWrap/>
            <w:vAlign w:val="bottom"/>
            <w:hideMark/>
          </w:tcPr>
          <w:p w14:paraId="1379D9F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514 (59.01%)</w:t>
            </w:r>
          </w:p>
        </w:tc>
        <w:tc>
          <w:tcPr>
            <w:tcW w:w="1701" w:type="dxa"/>
            <w:shd w:val="clear" w:color="auto" w:fill="auto"/>
            <w:noWrap/>
            <w:vAlign w:val="bottom"/>
            <w:hideMark/>
          </w:tcPr>
          <w:p w14:paraId="44AC2DC0"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51 (45.54%)</w:t>
            </w:r>
          </w:p>
        </w:tc>
        <w:tc>
          <w:tcPr>
            <w:tcW w:w="1701" w:type="dxa"/>
            <w:shd w:val="clear" w:color="auto" w:fill="auto"/>
            <w:noWrap/>
            <w:vAlign w:val="bottom"/>
            <w:hideMark/>
          </w:tcPr>
          <w:p w14:paraId="1C64081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0.58 [0.39;0.86]</w:t>
            </w:r>
          </w:p>
        </w:tc>
        <w:tc>
          <w:tcPr>
            <w:tcW w:w="904" w:type="dxa"/>
            <w:shd w:val="clear" w:color="auto" w:fill="auto"/>
            <w:noWrap/>
            <w:vAlign w:val="bottom"/>
            <w:hideMark/>
          </w:tcPr>
          <w:p w14:paraId="44978FC2"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09503D" w14:paraId="23FFB4D1" w14:textId="77777777" w:rsidTr="009906BB">
        <w:trPr>
          <w:trHeight w:val="300"/>
          <w:jc w:val="center"/>
        </w:trPr>
        <w:tc>
          <w:tcPr>
            <w:tcW w:w="3402" w:type="dxa"/>
            <w:shd w:val="clear" w:color="auto" w:fill="auto"/>
            <w:noWrap/>
            <w:vAlign w:val="center"/>
            <w:hideMark/>
          </w:tcPr>
          <w:p w14:paraId="2180E886" w14:textId="6409878B" w:rsidR="007B5A87" w:rsidRPr="004562E4" w:rsidRDefault="004562E4" w:rsidP="009906BB">
            <w:pPr>
              <w:spacing w:after="0" w:line="240" w:lineRule="auto"/>
              <w:rPr>
                <w:rFonts w:eastAsia="Times New Roman" w:cs="Calibri"/>
                <w:b/>
                <w:color w:val="000000"/>
                <w:lang w:val="en-US" w:eastAsia="fr-FR"/>
              </w:rPr>
            </w:pPr>
            <w:r w:rsidRPr="004562E4">
              <w:rPr>
                <w:rFonts w:eastAsia="Times New Roman" w:cs="Calibri"/>
                <w:b/>
                <w:color w:val="000000"/>
                <w:lang w:val="en-US" w:eastAsia="fr-FR"/>
              </w:rPr>
              <w:t>If</w:t>
            </w:r>
            <w:r w:rsidR="007B5A87" w:rsidRPr="004562E4">
              <w:rPr>
                <w:rFonts w:eastAsia="Times New Roman" w:cs="Calibri"/>
                <w:b/>
                <w:color w:val="000000"/>
                <w:lang w:val="en-US" w:eastAsia="fr-FR"/>
              </w:rPr>
              <w:t xml:space="preserve"> </w:t>
            </w:r>
            <w:r w:rsidRPr="004562E4">
              <w:rPr>
                <w:rFonts w:eastAsia="Times New Roman" w:cs="Calibri"/>
                <w:b/>
                <w:color w:val="000000"/>
                <w:lang w:val="en-US" w:eastAsia="fr-FR"/>
              </w:rPr>
              <w:t xml:space="preserve">invasive mechanical </w:t>
            </w:r>
            <w:r w:rsidR="007B5A87" w:rsidRPr="004562E4">
              <w:rPr>
                <w:rFonts w:eastAsia="Times New Roman" w:cs="Calibri"/>
                <w:b/>
                <w:color w:val="000000"/>
                <w:lang w:val="en-US" w:eastAsia="fr-FR"/>
              </w:rPr>
              <w:t xml:space="preserve">ventilation, </w:t>
            </w:r>
            <w:r w:rsidRPr="004562E4">
              <w:rPr>
                <w:rFonts w:eastAsia="Times New Roman" w:cs="Calibri"/>
                <w:b/>
                <w:color w:val="000000"/>
                <w:lang w:val="en-US" w:eastAsia="fr-FR"/>
              </w:rPr>
              <w:t>length (days</w:t>
            </w:r>
            <w:r w:rsidR="007B5A87" w:rsidRPr="004562E4">
              <w:rPr>
                <w:rFonts w:eastAsia="Times New Roman" w:cs="Calibri"/>
                <w:b/>
                <w:color w:val="000000"/>
                <w:lang w:val="en-US" w:eastAsia="fr-FR"/>
              </w:rPr>
              <w:t xml:space="preserve">) (N=563) </w:t>
            </w:r>
          </w:p>
        </w:tc>
        <w:tc>
          <w:tcPr>
            <w:tcW w:w="1701" w:type="dxa"/>
            <w:shd w:val="clear" w:color="auto" w:fill="auto"/>
            <w:noWrap/>
            <w:vAlign w:val="bottom"/>
            <w:hideMark/>
          </w:tcPr>
          <w:p w14:paraId="6965285B" w14:textId="77777777" w:rsidR="007B5A87" w:rsidRPr="004562E4"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68CA166E" w14:textId="77777777" w:rsidR="007B5A87" w:rsidRPr="004562E4"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2BCB5EF7" w14:textId="77777777" w:rsidR="007B5A87" w:rsidRPr="004562E4" w:rsidRDefault="007B5A87" w:rsidP="009906BB">
            <w:pPr>
              <w:spacing w:after="0" w:line="240" w:lineRule="auto"/>
              <w:rPr>
                <w:rFonts w:eastAsia="Times New Roman" w:cs="Calibri"/>
                <w:b/>
                <w:color w:val="000000"/>
                <w:lang w:val="en-US" w:eastAsia="fr-FR"/>
              </w:rPr>
            </w:pPr>
          </w:p>
        </w:tc>
        <w:tc>
          <w:tcPr>
            <w:tcW w:w="1701" w:type="dxa"/>
            <w:shd w:val="clear" w:color="auto" w:fill="auto"/>
            <w:noWrap/>
            <w:vAlign w:val="bottom"/>
            <w:hideMark/>
          </w:tcPr>
          <w:p w14:paraId="3406FDE0" w14:textId="77777777" w:rsidR="007B5A87" w:rsidRPr="004562E4" w:rsidRDefault="007B5A87" w:rsidP="009906BB">
            <w:pPr>
              <w:spacing w:after="0" w:line="240" w:lineRule="auto"/>
              <w:rPr>
                <w:rFonts w:eastAsia="Times New Roman" w:cs="Calibri"/>
                <w:b/>
                <w:color w:val="000000"/>
                <w:lang w:val="en-US" w:eastAsia="fr-FR"/>
              </w:rPr>
            </w:pPr>
          </w:p>
        </w:tc>
        <w:tc>
          <w:tcPr>
            <w:tcW w:w="904" w:type="dxa"/>
            <w:shd w:val="clear" w:color="auto" w:fill="auto"/>
            <w:noWrap/>
            <w:vAlign w:val="bottom"/>
            <w:hideMark/>
          </w:tcPr>
          <w:p w14:paraId="0B46538B" w14:textId="77777777" w:rsidR="007B5A87" w:rsidRPr="004562E4" w:rsidRDefault="007B5A87" w:rsidP="009906BB">
            <w:pPr>
              <w:spacing w:after="0" w:line="240" w:lineRule="auto"/>
              <w:rPr>
                <w:rFonts w:eastAsia="Times New Roman" w:cs="Calibri"/>
                <w:b/>
                <w:color w:val="000000"/>
                <w:lang w:val="en-US" w:eastAsia="fr-FR"/>
              </w:rPr>
            </w:pPr>
          </w:p>
        </w:tc>
      </w:tr>
      <w:tr w:rsidR="007B5A87" w:rsidRPr="009B46ED" w14:paraId="712F0ED5" w14:textId="77777777" w:rsidTr="009906BB">
        <w:trPr>
          <w:trHeight w:val="300"/>
          <w:jc w:val="center"/>
        </w:trPr>
        <w:tc>
          <w:tcPr>
            <w:tcW w:w="3402" w:type="dxa"/>
            <w:shd w:val="clear" w:color="auto" w:fill="auto"/>
            <w:noWrap/>
            <w:vAlign w:val="center"/>
            <w:hideMark/>
          </w:tcPr>
          <w:p w14:paraId="23C88E0B" w14:textId="77777777" w:rsidR="007B5A87" w:rsidRPr="009B46ED" w:rsidRDefault="007B5A87" w:rsidP="009906BB">
            <w:pPr>
              <w:spacing w:after="0" w:line="240" w:lineRule="auto"/>
              <w:jc w:val="right"/>
              <w:rPr>
                <w:rFonts w:eastAsia="Times New Roman" w:cs="Calibri"/>
                <w:color w:val="000000"/>
                <w:lang w:eastAsia="fr-FR"/>
              </w:rPr>
            </w:pPr>
            <w:proofErr w:type="spellStart"/>
            <w:r w:rsidRPr="009B46ED">
              <w:rPr>
                <w:rFonts w:eastAsia="Times New Roman" w:cs="Calibri"/>
                <w:color w:val="000000"/>
                <w:lang w:eastAsia="fr-FR"/>
              </w:rPr>
              <w:t>Median</w:t>
            </w:r>
            <w:proofErr w:type="spellEnd"/>
            <w:r w:rsidRPr="009B46ED">
              <w:rPr>
                <w:rFonts w:eastAsia="Times New Roman" w:cs="Calibri"/>
                <w:color w:val="000000"/>
                <w:lang w:eastAsia="fr-FR"/>
              </w:rPr>
              <w:t xml:space="preserve"> [Q1;Q3]</w:t>
            </w:r>
            <w:r>
              <w:rPr>
                <w:rFonts w:eastAsia="Times New Roman" w:cs="Calibri"/>
                <w:color w:val="000000"/>
                <w:lang w:eastAsia="fr-FR"/>
              </w:rPr>
              <w:t xml:space="preserve"> </w:t>
            </w:r>
          </w:p>
        </w:tc>
        <w:tc>
          <w:tcPr>
            <w:tcW w:w="1701" w:type="dxa"/>
            <w:shd w:val="clear" w:color="auto" w:fill="auto"/>
            <w:noWrap/>
            <w:vAlign w:val="bottom"/>
            <w:hideMark/>
          </w:tcPr>
          <w:p w14:paraId="5FFE06D9"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14.00 [7.50;29.00]</w:t>
            </w:r>
          </w:p>
        </w:tc>
        <w:tc>
          <w:tcPr>
            <w:tcW w:w="1701" w:type="dxa"/>
            <w:shd w:val="clear" w:color="auto" w:fill="auto"/>
            <w:noWrap/>
            <w:vAlign w:val="bottom"/>
            <w:hideMark/>
          </w:tcPr>
          <w:p w14:paraId="2F599E48"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14.00 [7.00;29.00]</w:t>
            </w:r>
          </w:p>
        </w:tc>
        <w:tc>
          <w:tcPr>
            <w:tcW w:w="1701" w:type="dxa"/>
            <w:shd w:val="clear" w:color="auto" w:fill="auto"/>
            <w:noWrap/>
            <w:vAlign w:val="bottom"/>
            <w:hideMark/>
          </w:tcPr>
          <w:p w14:paraId="1C19F5C4"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17.00 [8.00;30.00]</w:t>
            </w:r>
          </w:p>
        </w:tc>
        <w:tc>
          <w:tcPr>
            <w:tcW w:w="1701" w:type="dxa"/>
            <w:shd w:val="clear" w:color="auto" w:fill="auto"/>
            <w:noWrap/>
            <w:vAlign w:val="bottom"/>
            <w:hideMark/>
          </w:tcPr>
          <w:p w14:paraId="2AF6303A" w14:textId="77777777" w:rsidR="007B5A87" w:rsidRPr="009B46ED" w:rsidRDefault="007B5A87" w:rsidP="009906BB">
            <w:pPr>
              <w:spacing w:after="0" w:line="240" w:lineRule="auto"/>
              <w:jc w:val="center"/>
              <w:rPr>
                <w:rFonts w:eastAsia="Times New Roman" w:cs="Calibri"/>
                <w:color w:val="000000"/>
                <w:lang w:eastAsia="fr-FR"/>
              </w:rPr>
            </w:pPr>
          </w:p>
        </w:tc>
        <w:tc>
          <w:tcPr>
            <w:tcW w:w="904" w:type="dxa"/>
            <w:shd w:val="clear" w:color="auto" w:fill="auto"/>
            <w:noWrap/>
            <w:vAlign w:val="bottom"/>
            <w:hideMark/>
          </w:tcPr>
          <w:p w14:paraId="41A4FA9C" w14:textId="77777777" w:rsidR="007B5A87" w:rsidRPr="009B46ED" w:rsidRDefault="007B5A87"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0.50</w:t>
            </w:r>
          </w:p>
        </w:tc>
      </w:tr>
      <w:tr w:rsidR="007B5A87" w:rsidRPr="009B46ED" w14:paraId="4374D4AD" w14:textId="77777777" w:rsidTr="009906BB">
        <w:trPr>
          <w:trHeight w:val="300"/>
          <w:jc w:val="center"/>
        </w:trPr>
        <w:tc>
          <w:tcPr>
            <w:tcW w:w="3402" w:type="dxa"/>
            <w:shd w:val="clear" w:color="auto" w:fill="auto"/>
            <w:noWrap/>
            <w:vAlign w:val="center"/>
            <w:hideMark/>
          </w:tcPr>
          <w:p w14:paraId="3558EB41" w14:textId="077DF095" w:rsidR="007B5A87" w:rsidRPr="009B46ED" w:rsidRDefault="004562E4"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Prone</w:t>
            </w:r>
            <w:proofErr w:type="spellEnd"/>
            <w:r>
              <w:rPr>
                <w:rFonts w:eastAsia="Times New Roman" w:cs="Calibri"/>
                <w:b/>
                <w:color w:val="000000"/>
                <w:lang w:eastAsia="fr-FR"/>
              </w:rPr>
              <w:t xml:space="preserve"> position</w:t>
            </w:r>
            <w:r w:rsidR="007B5A87" w:rsidRPr="009B46ED">
              <w:rPr>
                <w:rFonts w:eastAsia="Times New Roman" w:cs="Calibri"/>
                <w:b/>
                <w:color w:val="000000"/>
                <w:lang w:eastAsia="fr-FR"/>
              </w:rPr>
              <w:t xml:space="preserve"> (N=982)</w:t>
            </w:r>
            <w:r w:rsidR="007B5A87">
              <w:rPr>
                <w:rFonts w:eastAsia="Times New Roman" w:cs="Calibri"/>
                <w:b/>
                <w:color w:val="000000"/>
                <w:lang w:eastAsia="fr-FR"/>
              </w:rPr>
              <w:t xml:space="preserve"> </w:t>
            </w:r>
          </w:p>
        </w:tc>
        <w:tc>
          <w:tcPr>
            <w:tcW w:w="1701" w:type="dxa"/>
            <w:shd w:val="clear" w:color="auto" w:fill="auto"/>
            <w:noWrap/>
            <w:vAlign w:val="bottom"/>
            <w:hideMark/>
          </w:tcPr>
          <w:p w14:paraId="2F45E96B"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28186851"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4B66B8FA"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3ED32896"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45C8CD32"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7684BAB8" w14:textId="77777777" w:rsidTr="009906BB">
        <w:trPr>
          <w:trHeight w:val="300"/>
          <w:jc w:val="center"/>
        </w:trPr>
        <w:tc>
          <w:tcPr>
            <w:tcW w:w="3402" w:type="dxa"/>
            <w:shd w:val="clear" w:color="auto" w:fill="auto"/>
            <w:noWrap/>
            <w:vAlign w:val="center"/>
            <w:hideMark/>
          </w:tcPr>
          <w:p w14:paraId="740FBEB2" w14:textId="7455568D"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1B13A84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566 (57.64%)</w:t>
            </w:r>
          </w:p>
        </w:tc>
        <w:tc>
          <w:tcPr>
            <w:tcW w:w="1701" w:type="dxa"/>
            <w:shd w:val="clear" w:color="auto" w:fill="auto"/>
            <w:noWrap/>
            <w:vAlign w:val="bottom"/>
            <w:hideMark/>
          </w:tcPr>
          <w:p w14:paraId="5C2C728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496 (57.01%)</w:t>
            </w:r>
          </w:p>
        </w:tc>
        <w:tc>
          <w:tcPr>
            <w:tcW w:w="1701" w:type="dxa"/>
            <w:shd w:val="clear" w:color="auto" w:fill="auto"/>
            <w:noWrap/>
            <w:vAlign w:val="bottom"/>
            <w:hideMark/>
          </w:tcPr>
          <w:p w14:paraId="30339099"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70 (62.50%)</w:t>
            </w:r>
          </w:p>
        </w:tc>
        <w:tc>
          <w:tcPr>
            <w:tcW w:w="1701" w:type="dxa"/>
            <w:shd w:val="clear" w:color="auto" w:fill="auto"/>
            <w:noWrap/>
            <w:vAlign w:val="bottom"/>
            <w:hideMark/>
          </w:tcPr>
          <w:p w14:paraId="453EFD59"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1C8A08E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0.27</w:t>
            </w:r>
          </w:p>
        </w:tc>
      </w:tr>
      <w:tr w:rsidR="00595D8B" w:rsidRPr="009B46ED" w14:paraId="53AEEF0B" w14:textId="77777777" w:rsidTr="009906BB">
        <w:trPr>
          <w:trHeight w:val="300"/>
          <w:jc w:val="center"/>
        </w:trPr>
        <w:tc>
          <w:tcPr>
            <w:tcW w:w="3402" w:type="dxa"/>
            <w:shd w:val="clear" w:color="auto" w:fill="auto"/>
            <w:noWrap/>
            <w:vAlign w:val="center"/>
            <w:hideMark/>
          </w:tcPr>
          <w:p w14:paraId="5CFC0A25" w14:textId="068C0582"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4C1E1D75"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416 (42.36%)</w:t>
            </w:r>
          </w:p>
        </w:tc>
        <w:tc>
          <w:tcPr>
            <w:tcW w:w="1701" w:type="dxa"/>
            <w:shd w:val="clear" w:color="auto" w:fill="auto"/>
            <w:noWrap/>
            <w:vAlign w:val="bottom"/>
            <w:hideMark/>
          </w:tcPr>
          <w:p w14:paraId="3A5D008C"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374 (42.99%)</w:t>
            </w:r>
          </w:p>
        </w:tc>
        <w:tc>
          <w:tcPr>
            <w:tcW w:w="1701" w:type="dxa"/>
            <w:shd w:val="clear" w:color="auto" w:fill="auto"/>
            <w:noWrap/>
            <w:vAlign w:val="bottom"/>
            <w:hideMark/>
          </w:tcPr>
          <w:p w14:paraId="1CEADC0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42 (37.50%)</w:t>
            </w:r>
          </w:p>
        </w:tc>
        <w:tc>
          <w:tcPr>
            <w:tcW w:w="1701" w:type="dxa"/>
            <w:shd w:val="clear" w:color="auto" w:fill="auto"/>
            <w:noWrap/>
            <w:vAlign w:val="bottom"/>
            <w:hideMark/>
          </w:tcPr>
          <w:p w14:paraId="79085C06"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0.80 [0.53;1.19]</w:t>
            </w:r>
          </w:p>
        </w:tc>
        <w:tc>
          <w:tcPr>
            <w:tcW w:w="904" w:type="dxa"/>
            <w:shd w:val="clear" w:color="auto" w:fill="auto"/>
            <w:noWrap/>
            <w:vAlign w:val="bottom"/>
            <w:hideMark/>
          </w:tcPr>
          <w:p w14:paraId="50BF3DB3"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9B46ED" w14:paraId="337DE805" w14:textId="77777777" w:rsidTr="009906BB">
        <w:trPr>
          <w:trHeight w:val="300"/>
          <w:jc w:val="center"/>
        </w:trPr>
        <w:tc>
          <w:tcPr>
            <w:tcW w:w="3402" w:type="dxa"/>
            <w:shd w:val="clear" w:color="auto" w:fill="auto"/>
            <w:noWrap/>
            <w:vAlign w:val="center"/>
            <w:hideMark/>
          </w:tcPr>
          <w:p w14:paraId="79154BDD" w14:textId="564AE32C" w:rsidR="007B5A87" w:rsidRPr="009B46ED" w:rsidRDefault="004562E4"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Muscular</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blockers</w:t>
            </w:r>
            <w:proofErr w:type="spellEnd"/>
            <w:r w:rsidR="007B5A87" w:rsidRPr="009B46ED">
              <w:rPr>
                <w:rFonts w:eastAsia="Times New Roman" w:cs="Calibri"/>
                <w:b/>
                <w:color w:val="000000"/>
                <w:lang w:eastAsia="fr-FR"/>
              </w:rPr>
              <w:t xml:space="preserve"> (N=983)</w:t>
            </w:r>
            <w:r w:rsidR="007B5A87">
              <w:rPr>
                <w:rFonts w:eastAsia="Times New Roman" w:cs="Calibri"/>
                <w:b/>
                <w:color w:val="000000"/>
                <w:lang w:eastAsia="fr-FR"/>
              </w:rPr>
              <w:t xml:space="preserve"> </w:t>
            </w:r>
          </w:p>
        </w:tc>
        <w:tc>
          <w:tcPr>
            <w:tcW w:w="1701" w:type="dxa"/>
            <w:shd w:val="clear" w:color="auto" w:fill="auto"/>
            <w:noWrap/>
            <w:vAlign w:val="bottom"/>
            <w:hideMark/>
          </w:tcPr>
          <w:p w14:paraId="410C5971"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11D01D25"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77FAC6CA"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6AA935FB"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7888CF19"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1115E0A9" w14:textId="77777777" w:rsidTr="009906BB">
        <w:trPr>
          <w:trHeight w:val="300"/>
          <w:jc w:val="center"/>
        </w:trPr>
        <w:tc>
          <w:tcPr>
            <w:tcW w:w="3402" w:type="dxa"/>
            <w:shd w:val="clear" w:color="auto" w:fill="auto"/>
            <w:noWrap/>
            <w:vAlign w:val="center"/>
            <w:hideMark/>
          </w:tcPr>
          <w:p w14:paraId="003ADDEA" w14:textId="1630EB6F"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6D60022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471 (47.91%)</w:t>
            </w:r>
          </w:p>
        </w:tc>
        <w:tc>
          <w:tcPr>
            <w:tcW w:w="1701" w:type="dxa"/>
            <w:shd w:val="clear" w:color="auto" w:fill="auto"/>
            <w:noWrap/>
            <w:vAlign w:val="bottom"/>
            <w:hideMark/>
          </w:tcPr>
          <w:p w14:paraId="17401340"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406 (46.61%)</w:t>
            </w:r>
          </w:p>
        </w:tc>
        <w:tc>
          <w:tcPr>
            <w:tcW w:w="1701" w:type="dxa"/>
            <w:shd w:val="clear" w:color="auto" w:fill="auto"/>
            <w:noWrap/>
            <w:vAlign w:val="bottom"/>
            <w:hideMark/>
          </w:tcPr>
          <w:p w14:paraId="102F480F"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65 (58.04%)</w:t>
            </w:r>
          </w:p>
        </w:tc>
        <w:tc>
          <w:tcPr>
            <w:tcW w:w="1701" w:type="dxa"/>
            <w:shd w:val="clear" w:color="auto" w:fill="auto"/>
            <w:noWrap/>
            <w:vAlign w:val="bottom"/>
            <w:hideMark/>
          </w:tcPr>
          <w:p w14:paraId="00EC17B5"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7C562D54"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0.0227</w:t>
            </w:r>
          </w:p>
        </w:tc>
      </w:tr>
      <w:tr w:rsidR="00595D8B" w:rsidRPr="009B46ED" w14:paraId="74E371BD" w14:textId="77777777" w:rsidTr="009906BB">
        <w:trPr>
          <w:trHeight w:val="300"/>
          <w:jc w:val="center"/>
        </w:trPr>
        <w:tc>
          <w:tcPr>
            <w:tcW w:w="3402" w:type="dxa"/>
            <w:shd w:val="clear" w:color="auto" w:fill="auto"/>
            <w:noWrap/>
            <w:vAlign w:val="center"/>
            <w:hideMark/>
          </w:tcPr>
          <w:p w14:paraId="0F587D0D" w14:textId="2D70189F"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50C22467"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512 (52.09%)</w:t>
            </w:r>
          </w:p>
        </w:tc>
        <w:tc>
          <w:tcPr>
            <w:tcW w:w="1701" w:type="dxa"/>
            <w:shd w:val="clear" w:color="auto" w:fill="auto"/>
            <w:noWrap/>
            <w:vAlign w:val="bottom"/>
            <w:hideMark/>
          </w:tcPr>
          <w:p w14:paraId="42FB649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465 (53.39%)</w:t>
            </w:r>
          </w:p>
        </w:tc>
        <w:tc>
          <w:tcPr>
            <w:tcW w:w="1701" w:type="dxa"/>
            <w:shd w:val="clear" w:color="auto" w:fill="auto"/>
            <w:noWrap/>
            <w:vAlign w:val="bottom"/>
            <w:hideMark/>
          </w:tcPr>
          <w:p w14:paraId="414F31F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47 (41.96%)</w:t>
            </w:r>
          </w:p>
        </w:tc>
        <w:tc>
          <w:tcPr>
            <w:tcW w:w="1701" w:type="dxa"/>
            <w:shd w:val="clear" w:color="auto" w:fill="auto"/>
            <w:noWrap/>
            <w:vAlign w:val="bottom"/>
            <w:hideMark/>
          </w:tcPr>
          <w:p w14:paraId="163D08F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0.63 [0.42;0.94]</w:t>
            </w:r>
          </w:p>
        </w:tc>
        <w:tc>
          <w:tcPr>
            <w:tcW w:w="904" w:type="dxa"/>
            <w:shd w:val="clear" w:color="auto" w:fill="auto"/>
            <w:noWrap/>
            <w:vAlign w:val="bottom"/>
            <w:hideMark/>
          </w:tcPr>
          <w:p w14:paraId="3E8E51C3"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9B46ED" w14:paraId="509CB4FC" w14:textId="77777777" w:rsidTr="009906BB">
        <w:trPr>
          <w:trHeight w:val="300"/>
          <w:jc w:val="center"/>
        </w:trPr>
        <w:tc>
          <w:tcPr>
            <w:tcW w:w="3402" w:type="dxa"/>
            <w:shd w:val="clear" w:color="auto" w:fill="auto"/>
            <w:noWrap/>
            <w:vAlign w:val="center"/>
            <w:hideMark/>
          </w:tcPr>
          <w:p w14:paraId="548F5FF0" w14:textId="70C55C01" w:rsidR="007B5A87" w:rsidRPr="009B46ED" w:rsidRDefault="004562E4" w:rsidP="009906BB">
            <w:pPr>
              <w:spacing w:after="0" w:line="240" w:lineRule="auto"/>
              <w:rPr>
                <w:rFonts w:eastAsia="Times New Roman" w:cs="Calibri"/>
                <w:b/>
                <w:color w:val="000000"/>
                <w:lang w:eastAsia="fr-FR"/>
              </w:rPr>
            </w:pPr>
            <w:r>
              <w:rPr>
                <w:rFonts w:eastAsia="Times New Roman" w:cs="Calibri"/>
                <w:b/>
                <w:color w:val="000000"/>
                <w:lang w:eastAsia="fr-FR"/>
              </w:rPr>
              <w:t xml:space="preserve">VV or VA </w:t>
            </w:r>
            <w:r w:rsidR="007B5A87" w:rsidRPr="009B46ED">
              <w:rPr>
                <w:rFonts w:eastAsia="Times New Roman" w:cs="Calibri"/>
                <w:b/>
                <w:color w:val="000000"/>
                <w:lang w:eastAsia="fr-FR"/>
              </w:rPr>
              <w:t>ECMO (N=982)</w:t>
            </w:r>
            <w:r w:rsidR="007B5A87">
              <w:rPr>
                <w:rFonts w:eastAsia="Times New Roman" w:cs="Calibri"/>
                <w:b/>
                <w:color w:val="000000"/>
                <w:lang w:eastAsia="fr-FR"/>
              </w:rPr>
              <w:t xml:space="preserve"> </w:t>
            </w:r>
          </w:p>
        </w:tc>
        <w:tc>
          <w:tcPr>
            <w:tcW w:w="1701" w:type="dxa"/>
            <w:shd w:val="clear" w:color="auto" w:fill="auto"/>
            <w:noWrap/>
            <w:vAlign w:val="bottom"/>
            <w:hideMark/>
          </w:tcPr>
          <w:p w14:paraId="1B6052D5"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59566448"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6252131E"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01B4547F"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7E1A4381"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147A9AEB" w14:textId="77777777" w:rsidTr="009906BB">
        <w:trPr>
          <w:trHeight w:val="300"/>
          <w:jc w:val="center"/>
        </w:trPr>
        <w:tc>
          <w:tcPr>
            <w:tcW w:w="3402" w:type="dxa"/>
            <w:shd w:val="clear" w:color="auto" w:fill="auto"/>
            <w:noWrap/>
            <w:vAlign w:val="center"/>
            <w:hideMark/>
          </w:tcPr>
          <w:p w14:paraId="26D80163" w14:textId="63455BC0"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7BA04A3"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918 (93.48%)</w:t>
            </w:r>
          </w:p>
        </w:tc>
        <w:tc>
          <w:tcPr>
            <w:tcW w:w="1701" w:type="dxa"/>
            <w:shd w:val="clear" w:color="auto" w:fill="auto"/>
            <w:noWrap/>
            <w:vAlign w:val="bottom"/>
            <w:hideMark/>
          </w:tcPr>
          <w:p w14:paraId="4650BA9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815 (93.68%)</w:t>
            </w:r>
          </w:p>
        </w:tc>
        <w:tc>
          <w:tcPr>
            <w:tcW w:w="1701" w:type="dxa"/>
            <w:shd w:val="clear" w:color="auto" w:fill="auto"/>
            <w:noWrap/>
            <w:vAlign w:val="bottom"/>
            <w:hideMark/>
          </w:tcPr>
          <w:p w14:paraId="22139A89"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103 (91.96%)</w:t>
            </w:r>
          </w:p>
        </w:tc>
        <w:tc>
          <w:tcPr>
            <w:tcW w:w="1701" w:type="dxa"/>
            <w:shd w:val="clear" w:color="auto" w:fill="auto"/>
            <w:noWrap/>
            <w:vAlign w:val="bottom"/>
            <w:hideMark/>
          </w:tcPr>
          <w:p w14:paraId="651C4585"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08A3F1A9"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0.49</w:t>
            </w:r>
          </w:p>
        </w:tc>
      </w:tr>
      <w:tr w:rsidR="00595D8B" w:rsidRPr="009B46ED" w14:paraId="11E19E79" w14:textId="77777777" w:rsidTr="009906BB">
        <w:trPr>
          <w:trHeight w:val="300"/>
          <w:jc w:val="center"/>
        </w:trPr>
        <w:tc>
          <w:tcPr>
            <w:tcW w:w="3402" w:type="dxa"/>
            <w:shd w:val="clear" w:color="auto" w:fill="auto"/>
            <w:noWrap/>
            <w:vAlign w:val="center"/>
            <w:hideMark/>
          </w:tcPr>
          <w:p w14:paraId="3E95D787" w14:textId="3312166C"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157A2BB0"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64 (6.52%)</w:t>
            </w:r>
          </w:p>
        </w:tc>
        <w:tc>
          <w:tcPr>
            <w:tcW w:w="1701" w:type="dxa"/>
            <w:shd w:val="clear" w:color="auto" w:fill="auto"/>
            <w:noWrap/>
            <w:vAlign w:val="bottom"/>
            <w:hideMark/>
          </w:tcPr>
          <w:p w14:paraId="0AEACA05"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55 (6.32%)</w:t>
            </w:r>
          </w:p>
        </w:tc>
        <w:tc>
          <w:tcPr>
            <w:tcW w:w="1701" w:type="dxa"/>
            <w:shd w:val="clear" w:color="auto" w:fill="auto"/>
            <w:noWrap/>
            <w:vAlign w:val="bottom"/>
            <w:hideMark/>
          </w:tcPr>
          <w:p w14:paraId="6C54D571"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9 (8.04%)</w:t>
            </w:r>
          </w:p>
        </w:tc>
        <w:tc>
          <w:tcPr>
            <w:tcW w:w="1701" w:type="dxa"/>
            <w:shd w:val="clear" w:color="auto" w:fill="auto"/>
            <w:noWrap/>
            <w:vAlign w:val="bottom"/>
            <w:hideMark/>
          </w:tcPr>
          <w:p w14:paraId="0D8D2FA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1.29 [0.62;2.70]</w:t>
            </w:r>
          </w:p>
        </w:tc>
        <w:tc>
          <w:tcPr>
            <w:tcW w:w="904" w:type="dxa"/>
            <w:shd w:val="clear" w:color="auto" w:fill="auto"/>
            <w:noWrap/>
            <w:vAlign w:val="bottom"/>
            <w:hideMark/>
          </w:tcPr>
          <w:p w14:paraId="7C6A378A"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9B46ED" w14:paraId="61D3A99C" w14:textId="77777777" w:rsidTr="009906BB">
        <w:trPr>
          <w:trHeight w:val="300"/>
          <w:jc w:val="center"/>
        </w:trPr>
        <w:tc>
          <w:tcPr>
            <w:tcW w:w="3402" w:type="dxa"/>
            <w:shd w:val="clear" w:color="auto" w:fill="auto"/>
            <w:noWrap/>
            <w:vAlign w:val="center"/>
            <w:hideMark/>
          </w:tcPr>
          <w:p w14:paraId="17894CAB" w14:textId="2B60A0AE" w:rsidR="007B5A87" w:rsidRPr="009B46ED" w:rsidRDefault="00AA3BE2"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Cardiac</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arrest</w:t>
            </w:r>
            <w:proofErr w:type="spellEnd"/>
            <w:r w:rsidR="007B5A87" w:rsidRPr="009B46ED">
              <w:rPr>
                <w:rFonts w:eastAsia="Times New Roman" w:cs="Calibri"/>
                <w:b/>
                <w:color w:val="000000"/>
                <w:lang w:eastAsia="fr-FR"/>
              </w:rPr>
              <w:t xml:space="preserve"> (N=972)</w:t>
            </w:r>
            <w:r w:rsidR="007B5A87">
              <w:rPr>
                <w:rFonts w:eastAsia="Times New Roman" w:cs="Calibri"/>
                <w:b/>
                <w:color w:val="000000"/>
                <w:lang w:eastAsia="fr-FR"/>
              </w:rPr>
              <w:t xml:space="preserve"> </w:t>
            </w:r>
          </w:p>
        </w:tc>
        <w:tc>
          <w:tcPr>
            <w:tcW w:w="1701" w:type="dxa"/>
            <w:shd w:val="clear" w:color="auto" w:fill="auto"/>
            <w:noWrap/>
            <w:vAlign w:val="bottom"/>
            <w:hideMark/>
          </w:tcPr>
          <w:p w14:paraId="094F0541"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37894CE1"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29572B68"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1028FC31"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0F5F9B40"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7CB7636F" w14:textId="77777777" w:rsidTr="009906BB">
        <w:trPr>
          <w:trHeight w:val="300"/>
          <w:jc w:val="center"/>
        </w:trPr>
        <w:tc>
          <w:tcPr>
            <w:tcW w:w="3402" w:type="dxa"/>
            <w:shd w:val="clear" w:color="auto" w:fill="auto"/>
            <w:noWrap/>
            <w:vAlign w:val="center"/>
            <w:hideMark/>
          </w:tcPr>
          <w:p w14:paraId="101EAAD4" w14:textId="0911A517"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038C42BD"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900 (92.59%)</w:t>
            </w:r>
          </w:p>
        </w:tc>
        <w:tc>
          <w:tcPr>
            <w:tcW w:w="1701" w:type="dxa"/>
            <w:shd w:val="clear" w:color="auto" w:fill="auto"/>
            <w:noWrap/>
            <w:vAlign w:val="bottom"/>
            <w:hideMark/>
          </w:tcPr>
          <w:p w14:paraId="36E8F738"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796 (92.45%)</w:t>
            </w:r>
          </w:p>
        </w:tc>
        <w:tc>
          <w:tcPr>
            <w:tcW w:w="1701" w:type="dxa"/>
            <w:shd w:val="clear" w:color="auto" w:fill="auto"/>
            <w:noWrap/>
            <w:vAlign w:val="bottom"/>
            <w:hideMark/>
          </w:tcPr>
          <w:p w14:paraId="2260FFC7"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104 (93.69%)</w:t>
            </w:r>
          </w:p>
        </w:tc>
        <w:tc>
          <w:tcPr>
            <w:tcW w:w="1701" w:type="dxa"/>
            <w:shd w:val="clear" w:color="auto" w:fill="auto"/>
            <w:noWrap/>
            <w:vAlign w:val="bottom"/>
            <w:hideMark/>
          </w:tcPr>
          <w:p w14:paraId="7E41465D"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29354C28"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0.64</w:t>
            </w:r>
          </w:p>
        </w:tc>
      </w:tr>
      <w:tr w:rsidR="00595D8B" w:rsidRPr="009B46ED" w14:paraId="548F6194" w14:textId="77777777" w:rsidTr="009906BB">
        <w:trPr>
          <w:trHeight w:val="300"/>
          <w:jc w:val="center"/>
        </w:trPr>
        <w:tc>
          <w:tcPr>
            <w:tcW w:w="3402" w:type="dxa"/>
            <w:shd w:val="clear" w:color="auto" w:fill="auto"/>
            <w:noWrap/>
            <w:vAlign w:val="center"/>
            <w:hideMark/>
          </w:tcPr>
          <w:p w14:paraId="226E8F6A" w14:textId="1505E8A2"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680932D"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72 (7.41%)</w:t>
            </w:r>
          </w:p>
        </w:tc>
        <w:tc>
          <w:tcPr>
            <w:tcW w:w="1701" w:type="dxa"/>
            <w:shd w:val="clear" w:color="auto" w:fill="auto"/>
            <w:noWrap/>
            <w:vAlign w:val="bottom"/>
            <w:hideMark/>
          </w:tcPr>
          <w:p w14:paraId="0D9AEBA2"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65 (7.55%)</w:t>
            </w:r>
          </w:p>
        </w:tc>
        <w:tc>
          <w:tcPr>
            <w:tcW w:w="1701" w:type="dxa"/>
            <w:shd w:val="clear" w:color="auto" w:fill="auto"/>
            <w:noWrap/>
            <w:vAlign w:val="bottom"/>
            <w:hideMark/>
          </w:tcPr>
          <w:p w14:paraId="0B4E67D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7 (6.31%)</w:t>
            </w:r>
          </w:p>
        </w:tc>
        <w:tc>
          <w:tcPr>
            <w:tcW w:w="1701" w:type="dxa"/>
            <w:shd w:val="clear" w:color="auto" w:fill="auto"/>
            <w:noWrap/>
            <w:vAlign w:val="bottom"/>
            <w:hideMark/>
          </w:tcPr>
          <w:p w14:paraId="59F36419"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0.82 [0.37;1.85]</w:t>
            </w:r>
          </w:p>
        </w:tc>
        <w:tc>
          <w:tcPr>
            <w:tcW w:w="904" w:type="dxa"/>
            <w:shd w:val="clear" w:color="auto" w:fill="auto"/>
            <w:noWrap/>
            <w:vAlign w:val="bottom"/>
            <w:hideMark/>
          </w:tcPr>
          <w:p w14:paraId="6953F29D"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9B46ED" w14:paraId="295CFD5B" w14:textId="77777777" w:rsidTr="009906BB">
        <w:trPr>
          <w:trHeight w:val="300"/>
          <w:jc w:val="center"/>
        </w:trPr>
        <w:tc>
          <w:tcPr>
            <w:tcW w:w="3402" w:type="dxa"/>
            <w:shd w:val="clear" w:color="auto" w:fill="auto"/>
            <w:noWrap/>
            <w:vAlign w:val="center"/>
            <w:hideMark/>
          </w:tcPr>
          <w:p w14:paraId="1B9F3DDD" w14:textId="77674A5E" w:rsidR="007B5A87" w:rsidRPr="009B46ED" w:rsidRDefault="007B5A87" w:rsidP="009906BB">
            <w:pPr>
              <w:spacing w:after="0" w:line="240" w:lineRule="auto"/>
              <w:rPr>
                <w:rFonts w:eastAsia="Times New Roman" w:cs="Calibri"/>
                <w:b/>
                <w:color w:val="000000"/>
                <w:lang w:eastAsia="fr-FR"/>
              </w:rPr>
            </w:pPr>
            <w:proofErr w:type="spellStart"/>
            <w:r w:rsidRPr="009B46ED">
              <w:rPr>
                <w:rFonts w:eastAsia="Times New Roman" w:cs="Calibri"/>
                <w:b/>
                <w:color w:val="000000"/>
                <w:lang w:eastAsia="fr-FR"/>
              </w:rPr>
              <w:t>Cat</w:t>
            </w:r>
            <w:r w:rsidR="00AA3BE2">
              <w:rPr>
                <w:rFonts w:eastAsia="Times New Roman" w:cs="Calibri"/>
                <w:b/>
                <w:color w:val="000000"/>
                <w:lang w:eastAsia="fr-FR"/>
              </w:rPr>
              <w:t>e</w:t>
            </w:r>
            <w:r w:rsidRPr="009B46ED">
              <w:rPr>
                <w:rFonts w:eastAsia="Times New Roman" w:cs="Calibri"/>
                <w:b/>
                <w:color w:val="000000"/>
                <w:lang w:eastAsia="fr-FR"/>
              </w:rPr>
              <w:t>cholamine</w:t>
            </w:r>
            <w:r w:rsidR="00AA3BE2">
              <w:rPr>
                <w:rFonts w:eastAsia="Times New Roman" w:cs="Calibri"/>
                <w:b/>
                <w:color w:val="000000"/>
                <w:lang w:eastAsia="fr-FR"/>
              </w:rPr>
              <w:t>s</w:t>
            </w:r>
            <w:proofErr w:type="spellEnd"/>
            <w:r w:rsidRPr="009B46ED">
              <w:rPr>
                <w:rFonts w:eastAsia="Times New Roman" w:cs="Calibri"/>
                <w:b/>
                <w:color w:val="000000"/>
                <w:lang w:eastAsia="fr-FR"/>
              </w:rPr>
              <w:t xml:space="preserve"> (N=980)</w:t>
            </w:r>
            <w:r>
              <w:rPr>
                <w:rFonts w:eastAsia="Times New Roman" w:cs="Calibri"/>
                <w:b/>
                <w:color w:val="000000"/>
                <w:lang w:eastAsia="fr-FR"/>
              </w:rPr>
              <w:t xml:space="preserve"> </w:t>
            </w:r>
          </w:p>
        </w:tc>
        <w:tc>
          <w:tcPr>
            <w:tcW w:w="1701" w:type="dxa"/>
            <w:shd w:val="clear" w:color="auto" w:fill="auto"/>
            <w:noWrap/>
            <w:vAlign w:val="bottom"/>
            <w:hideMark/>
          </w:tcPr>
          <w:p w14:paraId="47150B9F"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0D6B9F6B"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74CF7860"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5649F708"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6E96C6FE"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522D9191" w14:textId="77777777" w:rsidTr="009906BB">
        <w:trPr>
          <w:trHeight w:val="300"/>
          <w:jc w:val="center"/>
        </w:trPr>
        <w:tc>
          <w:tcPr>
            <w:tcW w:w="3402" w:type="dxa"/>
            <w:shd w:val="clear" w:color="auto" w:fill="auto"/>
            <w:noWrap/>
            <w:vAlign w:val="center"/>
            <w:hideMark/>
          </w:tcPr>
          <w:p w14:paraId="6F7041EE" w14:textId="45A6979C"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409E384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581 (59.29%)</w:t>
            </w:r>
          </w:p>
        </w:tc>
        <w:tc>
          <w:tcPr>
            <w:tcW w:w="1701" w:type="dxa"/>
            <w:shd w:val="clear" w:color="auto" w:fill="auto"/>
            <w:noWrap/>
            <w:vAlign w:val="bottom"/>
            <w:hideMark/>
          </w:tcPr>
          <w:p w14:paraId="10E2D0F2"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506 (58.29%)</w:t>
            </w:r>
          </w:p>
        </w:tc>
        <w:tc>
          <w:tcPr>
            <w:tcW w:w="1701" w:type="dxa"/>
            <w:shd w:val="clear" w:color="auto" w:fill="auto"/>
            <w:noWrap/>
            <w:vAlign w:val="bottom"/>
            <w:hideMark/>
          </w:tcPr>
          <w:p w14:paraId="687687C3"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75 (66.96%)</w:t>
            </w:r>
          </w:p>
        </w:tc>
        <w:tc>
          <w:tcPr>
            <w:tcW w:w="1701" w:type="dxa"/>
            <w:shd w:val="clear" w:color="auto" w:fill="auto"/>
            <w:noWrap/>
            <w:vAlign w:val="bottom"/>
            <w:hideMark/>
          </w:tcPr>
          <w:p w14:paraId="2643385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7BD5BFD7"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0.08</w:t>
            </w:r>
          </w:p>
        </w:tc>
      </w:tr>
      <w:tr w:rsidR="00595D8B" w:rsidRPr="009B46ED" w14:paraId="59868C3D" w14:textId="77777777" w:rsidTr="009906BB">
        <w:trPr>
          <w:trHeight w:val="300"/>
          <w:jc w:val="center"/>
        </w:trPr>
        <w:tc>
          <w:tcPr>
            <w:tcW w:w="3402" w:type="dxa"/>
            <w:shd w:val="clear" w:color="auto" w:fill="auto"/>
            <w:noWrap/>
            <w:vAlign w:val="center"/>
            <w:hideMark/>
          </w:tcPr>
          <w:p w14:paraId="39364842" w14:textId="2E10558E"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727EEAFC"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399 (40.71%)</w:t>
            </w:r>
          </w:p>
        </w:tc>
        <w:tc>
          <w:tcPr>
            <w:tcW w:w="1701" w:type="dxa"/>
            <w:shd w:val="clear" w:color="auto" w:fill="auto"/>
            <w:noWrap/>
            <w:vAlign w:val="bottom"/>
            <w:hideMark/>
          </w:tcPr>
          <w:p w14:paraId="0A09ABA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362 (41.71%)</w:t>
            </w:r>
          </w:p>
        </w:tc>
        <w:tc>
          <w:tcPr>
            <w:tcW w:w="1701" w:type="dxa"/>
            <w:shd w:val="clear" w:color="auto" w:fill="auto"/>
            <w:noWrap/>
            <w:vAlign w:val="bottom"/>
            <w:hideMark/>
          </w:tcPr>
          <w:p w14:paraId="300BD581"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37 (33.04%)</w:t>
            </w:r>
          </w:p>
        </w:tc>
        <w:tc>
          <w:tcPr>
            <w:tcW w:w="1701" w:type="dxa"/>
            <w:shd w:val="clear" w:color="auto" w:fill="auto"/>
            <w:noWrap/>
            <w:vAlign w:val="bottom"/>
            <w:hideMark/>
          </w:tcPr>
          <w:p w14:paraId="510A7E8B"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0.69 [0.45;1.05]</w:t>
            </w:r>
          </w:p>
        </w:tc>
        <w:tc>
          <w:tcPr>
            <w:tcW w:w="904" w:type="dxa"/>
            <w:shd w:val="clear" w:color="auto" w:fill="auto"/>
            <w:noWrap/>
            <w:vAlign w:val="bottom"/>
            <w:hideMark/>
          </w:tcPr>
          <w:p w14:paraId="1AA57BAE" w14:textId="77777777" w:rsidR="00595D8B" w:rsidRPr="009B46ED" w:rsidRDefault="00595D8B" w:rsidP="00595D8B">
            <w:pPr>
              <w:spacing w:after="0" w:line="240" w:lineRule="auto"/>
              <w:jc w:val="center"/>
              <w:rPr>
                <w:rFonts w:eastAsia="Times New Roman" w:cs="Calibri"/>
                <w:color w:val="000000"/>
                <w:lang w:eastAsia="fr-FR"/>
              </w:rPr>
            </w:pPr>
          </w:p>
        </w:tc>
      </w:tr>
      <w:tr w:rsidR="007B5A87" w:rsidRPr="009B46ED" w14:paraId="79B776B2" w14:textId="77777777" w:rsidTr="009906BB">
        <w:trPr>
          <w:trHeight w:val="300"/>
          <w:jc w:val="center"/>
        </w:trPr>
        <w:tc>
          <w:tcPr>
            <w:tcW w:w="3402" w:type="dxa"/>
            <w:shd w:val="clear" w:color="auto" w:fill="auto"/>
            <w:noWrap/>
            <w:vAlign w:val="center"/>
            <w:hideMark/>
          </w:tcPr>
          <w:p w14:paraId="19BEEBAF" w14:textId="2C45540C" w:rsidR="007B5A87" w:rsidRPr="009B46ED" w:rsidRDefault="00AA3BE2"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Dialysis</w:t>
            </w:r>
            <w:proofErr w:type="spellEnd"/>
            <w:r w:rsidR="007B5A87" w:rsidRPr="009B46ED">
              <w:rPr>
                <w:rFonts w:eastAsia="Times New Roman" w:cs="Calibri"/>
                <w:b/>
                <w:color w:val="000000"/>
                <w:lang w:eastAsia="fr-FR"/>
              </w:rPr>
              <w:t xml:space="preserve"> (N=978)</w:t>
            </w:r>
            <w:r w:rsidR="007B5A87">
              <w:rPr>
                <w:rFonts w:eastAsia="Times New Roman" w:cs="Calibri"/>
                <w:b/>
                <w:color w:val="000000"/>
                <w:lang w:eastAsia="fr-FR"/>
              </w:rPr>
              <w:t xml:space="preserve"> </w:t>
            </w:r>
          </w:p>
        </w:tc>
        <w:tc>
          <w:tcPr>
            <w:tcW w:w="1701" w:type="dxa"/>
            <w:shd w:val="clear" w:color="auto" w:fill="auto"/>
            <w:noWrap/>
            <w:vAlign w:val="bottom"/>
            <w:hideMark/>
          </w:tcPr>
          <w:p w14:paraId="4C646527"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42895512"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29916D74" w14:textId="77777777" w:rsidR="007B5A87" w:rsidRPr="009B46ED" w:rsidRDefault="007B5A87" w:rsidP="009906BB">
            <w:pPr>
              <w:spacing w:after="0" w:line="240" w:lineRule="auto"/>
              <w:rPr>
                <w:rFonts w:eastAsia="Times New Roman" w:cs="Calibri"/>
                <w:b/>
                <w:color w:val="000000"/>
                <w:lang w:eastAsia="fr-FR"/>
              </w:rPr>
            </w:pPr>
          </w:p>
        </w:tc>
        <w:tc>
          <w:tcPr>
            <w:tcW w:w="1701" w:type="dxa"/>
            <w:shd w:val="clear" w:color="auto" w:fill="auto"/>
            <w:noWrap/>
            <w:vAlign w:val="bottom"/>
            <w:hideMark/>
          </w:tcPr>
          <w:p w14:paraId="4B20D3C8" w14:textId="77777777" w:rsidR="007B5A87" w:rsidRPr="009B46ED" w:rsidRDefault="007B5A87" w:rsidP="009906BB">
            <w:pPr>
              <w:spacing w:after="0" w:line="240" w:lineRule="auto"/>
              <w:rPr>
                <w:rFonts w:eastAsia="Times New Roman" w:cs="Calibri"/>
                <w:b/>
                <w:color w:val="000000"/>
                <w:lang w:eastAsia="fr-FR"/>
              </w:rPr>
            </w:pPr>
          </w:p>
        </w:tc>
        <w:tc>
          <w:tcPr>
            <w:tcW w:w="904" w:type="dxa"/>
            <w:shd w:val="clear" w:color="auto" w:fill="auto"/>
            <w:noWrap/>
            <w:vAlign w:val="bottom"/>
            <w:hideMark/>
          </w:tcPr>
          <w:p w14:paraId="456974ED" w14:textId="77777777" w:rsidR="007B5A87" w:rsidRPr="009B46ED" w:rsidRDefault="007B5A87" w:rsidP="009906BB">
            <w:pPr>
              <w:spacing w:after="0" w:line="240" w:lineRule="auto"/>
              <w:rPr>
                <w:rFonts w:eastAsia="Times New Roman" w:cs="Calibri"/>
                <w:b/>
                <w:color w:val="000000"/>
                <w:lang w:eastAsia="fr-FR"/>
              </w:rPr>
            </w:pPr>
          </w:p>
        </w:tc>
      </w:tr>
      <w:tr w:rsidR="00595D8B" w:rsidRPr="009B46ED" w14:paraId="522DFD85" w14:textId="77777777" w:rsidTr="009906BB">
        <w:trPr>
          <w:trHeight w:val="300"/>
          <w:jc w:val="center"/>
        </w:trPr>
        <w:tc>
          <w:tcPr>
            <w:tcW w:w="3402" w:type="dxa"/>
            <w:shd w:val="clear" w:color="auto" w:fill="auto"/>
            <w:noWrap/>
            <w:vAlign w:val="center"/>
            <w:hideMark/>
          </w:tcPr>
          <w:p w14:paraId="0E517943" w14:textId="7B1BD9D4" w:rsidR="00595D8B" w:rsidRPr="009B46ED" w:rsidRDefault="00595D8B" w:rsidP="00595D8B">
            <w:pPr>
              <w:spacing w:after="0" w:line="240" w:lineRule="auto"/>
              <w:jc w:val="right"/>
              <w:rPr>
                <w:rFonts w:eastAsia="Times New Roman" w:cs="Calibri"/>
                <w:color w:val="000000"/>
                <w:lang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hideMark/>
          </w:tcPr>
          <w:p w14:paraId="66A5B6B6"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813 (83.13%)</w:t>
            </w:r>
          </w:p>
        </w:tc>
        <w:tc>
          <w:tcPr>
            <w:tcW w:w="1701" w:type="dxa"/>
            <w:shd w:val="clear" w:color="auto" w:fill="auto"/>
            <w:noWrap/>
            <w:vAlign w:val="bottom"/>
            <w:hideMark/>
          </w:tcPr>
          <w:p w14:paraId="7E5F46DF"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714 (82.35%)</w:t>
            </w:r>
          </w:p>
        </w:tc>
        <w:tc>
          <w:tcPr>
            <w:tcW w:w="1701" w:type="dxa"/>
            <w:shd w:val="clear" w:color="auto" w:fill="auto"/>
            <w:noWrap/>
            <w:vAlign w:val="bottom"/>
            <w:hideMark/>
          </w:tcPr>
          <w:p w14:paraId="282EC24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99 (89.19%)</w:t>
            </w:r>
          </w:p>
        </w:tc>
        <w:tc>
          <w:tcPr>
            <w:tcW w:w="1701" w:type="dxa"/>
            <w:shd w:val="clear" w:color="auto" w:fill="auto"/>
            <w:noWrap/>
            <w:vAlign w:val="bottom"/>
            <w:hideMark/>
          </w:tcPr>
          <w:p w14:paraId="24E04C4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1.00</w:t>
            </w:r>
          </w:p>
        </w:tc>
        <w:tc>
          <w:tcPr>
            <w:tcW w:w="904" w:type="dxa"/>
            <w:shd w:val="clear" w:color="auto" w:fill="auto"/>
            <w:noWrap/>
            <w:vAlign w:val="bottom"/>
            <w:hideMark/>
          </w:tcPr>
          <w:p w14:paraId="4BDC0163"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0.07</w:t>
            </w:r>
          </w:p>
        </w:tc>
      </w:tr>
      <w:tr w:rsidR="00595D8B" w:rsidRPr="009B46ED" w14:paraId="64382874" w14:textId="77777777" w:rsidTr="009906BB">
        <w:trPr>
          <w:trHeight w:val="300"/>
          <w:jc w:val="center"/>
        </w:trPr>
        <w:tc>
          <w:tcPr>
            <w:tcW w:w="3402" w:type="dxa"/>
            <w:shd w:val="clear" w:color="auto" w:fill="auto"/>
            <w:noWrap/>
            <w:vAlign w:val="center"/>
            <w:hideMark/>
          </w:tcPr>
          <w:p w14:paraId="4963A6E4" w14:textId="3FABDC74" w:rsidR="00595D8B" w:rsidRPr="009B46ED" w:rsidRDefault="00595D8B" w:rsidP="00595D8B">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hideMark/>
          </w:tcPr>
          <w:p w14:paraId="0F064EED"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165 (16.87%)</w:t>
            </w:r>
          </w:p>
        </w:tc>
        <w:tc>
          <w:tcPr>
            <w:tcW w:w="1701" w:type="dxa"/>
            <w:shd w:val="clear" w:color="auto" w:fill="auto"/>
            <w:noWrap/>
            <w:vAlign w:val="bottom"/>
            <w:hideMark/>
          </w:tcPr>
          <w:p w14:paraId="000E8243"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153 (17.65%)</w:t>
            </w:r>
          </w:p>
        </w:tc>
        <w:tc>
          <w:tcPr>
            <w:tcW w:w="1701" w:type="dxa"/>
            <w:shd w:val="clear" w:color="auto" w:fill="auto"/>
            <w:noWrap/>
            <w:vAlign w:val="bottom"/>
            <w:hideMark/>
          </w:tcPr>
          <w:p w14:paraId="47A8059A"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12 (10.81%)</w:t>
            </w:r>
          </w:p>
        </w:tc>
        <w:tc>
          <w:tcPr>
            <w:tcW w:w="1701" w:type="dxa"/>
            <w:shd w:val="clear" w:color="auto" w:fill="auto"/>
            <w:noWrap/>
            <w:vAlign w:val="bottom"/>
            <w:hideMark/>
          </w:tcPr>
          <w:p w14:paraId="13EBC6CE" w14:textId="77777777" w:rsidR="00595D8B" w:rsidRPr="009B46ED" w:rsidRDefault="00595D8B" w:rsidP="00595D8B">
            <w:pPr>
              <w:spacing w:after="0" w:line="240" w:lineRule="auto"/>
              <w:jc w:val="center"/>
              <w:rPr>
                <w:rFonts w:eastAsia="Times New Roman" w:cs="Calibri"/>
                <w:color w:val="000000"/>
                <w:lang w:eastAsia="fr-FR"/>
              </w:rPr>
            </w:pPr>
            <w:r w:rsidRPr="009B46ED">
              <w:rPr>
                <w:rFonts w:eastAsia="Times New Roman" w:cs="Calibri"/>
                <w:color w:val="000000"/>
                <w:lang w:eastAsia="fr-FR"/>
              </w:rPr>
              <w:t>0.57 [0.30;1.06]</w:t>
            </w:r>
          </w:p>
        </w:tc>
        <w:tc>
          <w:tcPr>
            <w:tcW w:w="904" w:type="dxa"/>
            <w:shd w:val="clear" w:color="auto" w:fill="auto"/>
            <w:noWrap/>
            <w:vAlign w:val="bottom"/>
            <w:hideMark/>
          </w:tcPr>
          <w:p w14:paraId="5736967D" w14:textId="77777777" w:rsidR="00595D8B" w:rsidRPr="009B46ED" w:rsidRDefault="00595D8B" w:rsidP="00595D8B">
            <w:pPr>
              <w:spacing w:after="0" w:line="240" w:lineRule="auto"/>
              <w:jc w:val="center"/>
              <w:rPr>
                <w:rFonts w:eastAsia="Times New Roman" w:cs="Calibri"/>
                <w:color w:val="000000"/>
                <w:lang w:eastAsia="fr-FR"/>
              </w:rPr>
            </w:pPr>
          </w:p>
        </w:tc>
      </w:tr>
      <w:tr w:rsidR="00595D8B" w:rsidRPr="0009503D" w14:paraId="3613A9DF" w14:textId="77777777" w:rsidTr="009906BB">
        <w:trPr>
          <w:trHeight w:val="300"/>
          <w:jc w:val="center"/>
        </w:trPr>
        <w:tc>
          <w:tcPr>
            <w:tcW w:w="3402" w:type="dxa"/>
            <w:shd w:val="clear" w:color="auto" w:fill="auto"/>
            <w:noWrap/>
            <w:vAlign w:val="center"/>
          </w:tcPr>
          <w:p w14:paraId="74A41099" w14:textId="1E81BDF4" w:rsidR="00595D8B" w:rsidRPr="00356FB1" w:rsidRDefault="00356FB1" w:rsidP="00356FB1">
            <w:pPr>
              <w:spacing w:after="0" w:line="240" w:lineRule="auto"/>
              <w:rPr>
                <w:rFonts w:eastAsia="Times New Roman" w:cs="Calibri"/>
                <w:b/>
                <w:bCs/>
                <w:color w:val="000000"/>
                <w:lang w:val="en-US" w:eastAsia="fr-FR"/>
              </w:rPr>
            </w:pPr>
            <w:r w:rsidRPr="00356FB1">
              <w:rPr>
                <w:rFonts w:eastAsia="Times New Roman" w:cs="Calibri"/>
                <w:b/>
                <w:bCs/>
                <w:color w:val="000000"/>
                <w:lang w:val="en-US" w:eastAsia="fr-FR"/>
              </w:rPr>
              <w:t>Invasive mechanical ventilation and dialysis</w:t>
            </w:r>
          </w:p>
        </w:tc>
        <w:tc>
          <w:tcPr>
            <w:tcW w:w="1701" w:type="dxa"/>
            <w:shd w:val="clear" w:color="auto" w:fill="auto"/>
            <w:noWrap/>
            <w:vAlign w:val="bottom"/>
          </w:tcPr>
          <w:p w14:paraId="551DBEC2" w14:textId="77777777" w:rsidR="00595D8B" w:rsidRPr="00356FB1" w:rsidRDefault="00595D8B" w:rsidP="009906BB">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712BF802" w14:textId="77777777" w:rsidR="00595D8B" w:rsidRPr="00356FB1" w:rsidRDefault="00595D8B" w:rsidP="009906BB">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3ED65545" w14:textId="77777777" w:rsidR="00595D8B" w:rsidRPr="00356FB1" w:rsidRDefault="00595D8B" w:rsidP="009906BB">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3F920B2A" w14:textId="77777777" w:rsidR="00595D8B" w:rsidRPr="00356FB1" w:rsidRDefault="00595D8B" w:rsidP="009906BB">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60C30E97" w14:textId="77777777" w:rsidR="00595D8B" w:rsidRPr="00356FB1" w:rsidRDefault="00595D8B" w:rsidP="009906BB">
            <w:pPr>
              <w:spacing w:after="0" w:line="240" w:lineRule="auto"/>
              <w:jc w:val="center"/>
              <w:rPr>
                <w:rFonts w:eastAsia="Times New Roman" w:cs="Calibri"/>
                <w:color w:val="000000"/>
                <w:lang w:val="en-US" w:eastAsia="fr-FR"/>
              </w:rPr>
            </w:pPr>
          </w:p>
        </w:tc>
      </w:tr>
      <w:tr w:rsidR="00356FB1" w:rsidRPr="00356FB1" w14:paraId="32C4F02C" w14:textId="77777777" w:rsidTr="009906BB">
        <w:trPr>
          <w:trHeight w:val="300"/>
          <w:jc w:val="center"/>
        </w:trPr>
        <w:tc>
          <w:tcPr>
            <w:tcW w:w="3402" w:type="dxa"/>
            <w:shd w:val="clear" w:color="auto" w:fill="auto"/>
            <w:noWrap/>
            <w:vAlign w:val="center"/>
          </w:tcPr>
          <w:p w14:paraId="2B68A2E2" w14:textId="659434F5" w:rsidR="00356FB1" w:rsidRPr="00356FB1" w:rsidRDefault="00356FB1" w:rsidP="00356FB1">
            <w:pPr>
              <w:spacing w:after="0" w:line="240" w:lineRule="auto"/>
              <w:jc w:val="right"/>
              <w:rPr>
                <w:rFonts w:eastAsia="Times New Roman" w:cs="Calibri"/>
                <w:color w:val="000000"/>
                <w:lang w:val="en-US"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tcPr>
          <w:p w14:paraId="683D8DE4"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1C796335"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77DFB9FF"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5CEF725B" w14:textId="77777777" w:rsidR="00356FB1" w:rsidRPr="00356FB1" w:rsidRDefault="00356FB1" w:rsidP="00356FB1">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6902FD86" w14:textId="77777777" w:rsidR="00356FB1" w:rsidRPr="00356FB1" w:rsidRDefault="00356FB1" w:rsidP="00356FB1">
            <w:pPr>
              <w:spacing w:after="0" w:line="240" w:lineRule="auto"/>
              <w:jc w:val="center"/>
              <w:rPr>
                <w:rFonts w:eastAsia="Times New Roman" w:cs="Calibri"/>
                <w:color w:val="000000"/>
                <w:lang w:val="en-US" w:eastAsia="fr-FR"/>
              </w:rPr>
            </w:pPr>
          </w:p>
        </w:tc>
      </w:tr>
      <w:tr w:rsidR="00356FB1" w:rsidRPr="00356FB1" w14:paraId="761A508F" w14:textId="77777777" w:rsidTr="009906BB">
        <w:trPr>
          <w:trHeight w:val="300"/>
          <w:jc w:val="center"/>
        </w:trPr>
        <w:tc>
          <w:tcPr>
            <w:tcW w:w="3402" w:type="dxa"/>
            <w:shd w:val="clear" w:color="auto" w:fill="auto"/>
            <w:noWrap/>
            <w:vAlign w:val="center"/>
          </w:tcPr>
          <w:p w14:paraId="494001E3" w14:textId="01C09178" w:rsidR="00356FB1" w:rsidRPr="00356FB1" w:rsidRDefault="00356FB1" w:rsidP="00356FB1">
            <w:pPr>
              <w:spacing w:after="0" w:line="240" w:lineRule="auto"/>
              <w:jc w:val="right"/>
              <w:rPr>
                <w:rFonts w:eastAsia="Times New Roman" w:cs="Calibri"/>
                <w:color w:val="000000"/>
                <w:lang w:val="en-US"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tcPr>
          <w:p w14:paraId="37954472"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746FA13A"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798929C6"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1E148CF0" w14:textId="77777777" w:rsidR="00356FB1" w:rsidRPr="00356FB1" w:rsidRDefault="00356FB1" w:rsidP="00356FB1">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156F9E58" w14:textId="77777777" w:rsidR="00356FB1" w:rsidRPr="00356FB1" w:rsidRDefault="00356FB1" w:rsidP="00356FB1">
            <w:pPr>
              <w:spacing w:after="0" w:line="240" w:lineRule="auto"/>
              <w:jc w:val="center"/>
              <w:rPr>
                <w:rFonts w:eastAsia="Times New Roman" w:cs="Calibri"/>
                <w:color w:val="000000"/>
                <w:lang w:val="en-US" w:eastAsia="fr-FR"/>
              </w:rPr>
            </w:pPr>
          </w:p>
        </w:tc>
      </w:tr>
      <w:tr w:rsidR="00356FB1" w:rsidRPr="0009503D" w14:paraId="44F9D05C" w14:textId="77777777" w:rsidTr="009906BB">
        <w:trPr>
          <w:trHeight w:val="300"/>
          <w:jc w:val="center"/>
        </w:trPr>
        <w:tc>
          <w:tcPr>
            <w:tcW w:w="3402" w:type="dxa"/>
            <w:shd w:val="clear" w:color="auto" w:fill="auto"/>
            <w:noWrap/>
            <w:vAlign w:val="center"/>
          </w:tcPr>
          <w:p w14:paraId="6A917FCC" w14:textId="76FD6605" w:rsidR="00356FB1" w:rsidRPr="00356FB1" w:rsidRDefault="00356FB1" w:rsidP="00356FB1">
            <w:pPr>
              <w:spacing w:after="0" w:line="240" w:lineRule="auto"/>
              <w:rPr>
                <w:rFonts w:eastAsia="Times New Roman" w:cs="Calibri"/>
                <w:b/>
                <w:bCs/>
                <w:color w:val="000000"/>
                <w:lang w:val="en-US" w:eastAsia="fr-FR"/>
              </w:rPr>
            </w:pPr>
            <w:r w:rsidRPr="00356FB1">
              <w:rPr>
                <w:rFonts w:eastAsia="Times New Roman" w:cs="Calibri"/>
                <w:b/>
                <w:bCs/>
                <w:color w:val="000000"/>
                <w:lang w:val="en-US" w:eastAsia="fr-FR"/>
              </w:rPr>
              <w:t xml:space="preserve">Invasive mechanical ventilation and </w:t>
            </w:r>
            <w:proofErr w:type="spellStart"/>
            <w:r w:rsidRPr="00356FB1">
              <w:rPr>
                <w:rFonts w:eastAsia="Times New Roman" w:cs="Calibri"/>
                <w:b/>
                <w:bCs/>
                <w:color w:val="000000"/>
                <w:lang w:val="en-US" w:eastAsia="fr-FR"/>
              </w:rPr>
              <w:t>catecholamines</w:t>
            </w:r>
            <w:proofErr w:type="spellEnd"/>
          </w:p>
        </w:tc>
        <w:tc>
          <w:tcPr>
            <w:tcW w:w="1701" w:type="dxa"/>
            <w:shd w:val="clear" w:color="auto" w:fill="auto"/>
            <w:noWrap/>
            <w:vAlign w:val="bottom"/>
          </w:tcPr>
          <w:p w14:paraId="6AE0AD11"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485C5DF6"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1A8D78B7"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405CCFDC" w14:textId="77777777" w:rsidR="00356FB1" w:rsidRPr="00356FB1" w:rsidRDefault="00356FB1" w:rsidP="00356FB1">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439EFA6C" w14:textId="77777777" w:rsidR="00356FB1" w:rsidRPr="00356FB1" w:rsidRDefault="00356FB1" w:rsidP="00356FB1">
            <w:pPr>
              <w:spacing w:after="0" w:line="240" w:lineRule="auto"/>
              <w:jc w:val="center"/>
              <w:rPr>
                <w:rFonts w:eastAsia="Times New Roman" w:cs="Calibri"/>
                <w:color w:val="000000"/>
                <w:lang w:val="en-US" w:eastAsia="fr-FR"/>
              </w:rPr>
            </w:pPr>
          </w:p>
        </w:tc>
      </w:tr>
      <w:tr w:rsidR="00356FB1" w:rsidRPr="00356FB1" w14:paraId="0C603820" w14:textId="77777777" w:rsidTr="009906BB">
        <w:trPr>
          <w:trHeight w:val="300"/>
          <w:jc w:val="center"/>
        </w:trPr>
        <w:tc>
          <w:tcPr>
            <w:tcW w:w="3402" w:type="dxa"/>
            <w:shd w:val="clear" w:color="auto" w:fill="auto"/>
            <w:noWrap/>
            <w:vAlign w:val="center"/>
          </w:tcPr>
          <w:p w14:paraId="7CEDD9F6" w14:textId="029A49C8" w:rsidR="00356FB1" w:rsidRPr="00356FB1" w:rsidRDefault="00356FB1" w:rsidP="00356FB1">
            <w:pPr>
              <w:spacing w:after="0" w:line="240" w:lineRule="auto"/>
              <w:jc w:val="right"/>
              <w:rPr>
                <w:rFonts w:eastAsia="Times New Roman" w:cs="Calibri"/>
                <w:color w:val="000000"/>
                <w:lang w:val="en-US" w:eastAsia="fr-FR"/>
              </w:rPr>
            </w:pPr>
            <w:r w:rsidRPr="0024326E">
              <w:rPr>
                <w:rFonts w:eastAsia="Times New Roman" w:cs="Calibri"/>
                <w:color w:val="000000"/>
                <w:lang w:eastAsia="fr-FR"/>
              </w:rPr>
              <w:t>No</w:t>
            </w:r>
            <w:r>
              <w:rPr>
                <w:rFonts w:eastAsia="Times New Roman" w:cs="Calibri"/>
                <w:color w:val="000000"/>
                <w:lang w:eastAsia="fr-FR"/>
              </w:rPr>
              <w:t xml:space="preserve"> </w:t>
            </w:r>
          </w:p>
        </w:tc>
        <w:tc>
          <w:tcPr>
            <w:tcW w:w="1701" w:type="dxa"/>
            <w:shd w:val="clear" w:color="auto" w:fill="auto"/>
            <w:noWrap/>
            <w:vAlign w:val="bottom"/>
          </w:tcPr>
          <w:p w14:paraId="4BCFBBB6"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7B610D01"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553CE20A"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1BB86B15" w14:textId="77777777" w:rsidR="00356FB1" w:rsidRPr="00356FB1" w:rsidRDefault="00356FB1" w:rsidP="00356FB1">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0CF0C91E" w14:textId="77777777" w:rsidR="00356FB1" w:rsidRPr="00356FB1" w:rsidRDefault="00356FB1" w:rsidP="00356FB1">
            <w:pPr>
              <w:spacing w:after="0" w:line="240" w:lineRule="auto"/>
              <w:jc w:val="center"/>
              <w:rPr>
                <w:rFonts w:eastAsia="Times New Roman" w:cs="Calibri"/>
                <w:color w:val="000000"/>
                <w:lang w:val="en-US" w:eastAsia="fr-FR"/>
              </w:rPr>
            </w:pPr>
          </w:p>
        </w:tc>
      </w:tr>
      <w:tr w:rsidR="00356FB1" w:rsidRPr="00356FB1" w14:paraId="0D881984" w14:textId="77777777" w:rsidTr="009906BB">
        <w:trPr>
          <w:trHeight w:val="300"/>
          <w:jc w:val="center"/>
        </w:trPr>
        <w:tc>
          <w:tcPr>
            <w:tcW w:w="3402" w:type="dxa"/>
            <w:shd w:val="clear" w:color="auto" w:fill="auto"/>
            <w:noWrap/>
            <w:vAlign w:val="center"/>
          </w:tcPr>
          <w:p w14:paraId="6255EE40" w14:textId="740D2524" w:rsidR="00356FB1" w:rsidRPr="00356FB1" w:rsidRDefault="00356FB1" w:rsidP="00356FB1">
            <w:pPr>
              <w:spacing w:after="0" w:line="240" w:lineRule="auto"/>
              <w:jc w:val="right"/>
              <w:rPr>
                <w:rFonts w:eastAsia="Times New Roman" w:cs="Calibri"/>
                <w:color w:val="000000"/>
                <w:lang w:val="en-US"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tcPr>
          <w:p w14:paraId="15A20A29"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046C7282"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4F718DC3" w14:textId="77777777" w:rsidR="00356FB1" w:rsidRPr="00356FB1" w:rsidRDefault="00356FB1"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525855F1" w14:textId="77777777" w:rsidR="00356FB1" w:rsidRPr="00356FB1" w:rsidRDefault="00356FB1" w:rsidP="00356FB1">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21E5F22B" w14:textId="77777777" w:rsidR="00356FB1" w:rsidRPr="00356FB1" w:rsidRDefault="00356FB1" w:rsidP="00356FB1">
            <w:pPr>
              <w:spacing w:after="0" w:line="240" w:lineRule="auto"/>
              <w:jc w:val="center"/>
              <w:rPr>
                <w:rFonts w:eastAsia="Times New Roman" w:cs="Calibri"/>
                <w:color w:val="000000"/>
                <w:lang w:val="en-US" w:eastAsia="fr-FR"/>
              </w:rPr>
            </w:pPr>
          </w:p>
        </w:tc>
      </w:tr>
      <w:tr w:rsidR="00F121AE" w:rsidRPr="0009503D" w14:paraId="6AA10D08" w14:textId="77777777" w:rsidTr="009906BB">
        <w:trPr>
          <w:trHeight w:val="300"/>
          <w:jc w:val="center"/>
        </w:trPr>
        <w:tc>
          <w:tcPr>
            <w:tcW w:w="3402" w:type="dxa"/>
            <w:shd w:val="clear" w:color="auto" w:fill="auto"/>
            <w:noWrap/>
            <w:vAlign w:val="center"/>
          </w:tcPr>
          <w:p w14:paraId="7951EE58" w14:textId="782703DD" w:rsidR="00F121AE" w:rsidRPr="00F121AE" w:rsidRDefault="00F121AE" w:rsidP="00F121AE">
            <w:pPr>
              <w:spacing w:after="0" w:line="240" w:lineRule="auto"/>
              <w:rPr>
                <w:rFonts w:eastAsia="Times New Roman" w:cs="Calibri"/>
                <w:b/>
                <w:bCs/>
                <w:color w:val="000000"/>
                <w:lang w:val="en-US" w:eastAsia="fr-FR"/>
              </w:rPr>
            </w:pPr>
            <w:r w:rsidRPr="00F121AE">
              <w:rPr>
                <w:rFonts w:eastAsia="Times New Roman" w:cs="Calibri"/>
                <w:b/>
                <w:bCs/>
                <w:color w:val="000000"/>
                <w:lang w:val="en-US" w:eastAsia="fr-FR"/>
              </w:rPr>
              <w:t xml:space="preserve">Invasive mechanical ventilation and dialysis and </w:t>
            </w:r>
            <w:proofErr w:type="spellStart"/>
            <w:r w:rsidRPr="00F121AE">
              <w:rPr>
                <w:rFonts w:eastAsia="Times New Roman" w:cs="Calibri"/>
                <w:b/>
                <w:bCs/>
                <w:color w:val="000000"/>
                <w:lang w:val="en-US" w:eastAsia="fr-FR"/>
              </w:rPr>
              <w:t>catecholamines</w:t>
            </w:r>
            <w:proofErr w:type="spellEnd"/>
          </w:p>
        </w:tc>
        <w:tc>
          <w:tcPr>
            <w:tcW w:w="1701" w:type="dxa"/>
            <w:shd w:val="clear" w:color="auto" w:fill="auto"/>
            <w:noWrap/>
            <w:vAlign w:val="bottom"/>
          </w:tcPr>
          <w:p w14:paraId="5731AABE" w14:textId="77777777" w:rsidR="00F121AE" w:rsidRPr="00356FB1" w:rsidRDefault="00F121AE"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27700FC5" w14:textId="77777777" w:rsidR="00F121AE" w:rsidRPr="00356FB1" w:rsidRDefault="00F121AE"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1119BCC1" w14:textId="77777777" w:rsidR="00F121AE" w:rsidRPr="00356FB1" w:rsidRDefault="00F121AE" w:rsidP="00356FB1">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236AF6D5" w14:textId="77777777" w:rsidR="00F121AE" w:rsidRPr="00356FB1" w:rsidRDefault="00F121AE" w:rsidP="00356FB1">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598BFE21" w14:textId="77777777" w:rsidR="00F121AE" w:rsidRPr="00356FB1" w:rsidRDefault="00F121AE" w:rsidP="00356FB1">
            <w:pPr>
              <w:spacing w:after="0" w:line="240" w:lineRule="auto"/>
              <w:jc w:val="center"/>
              <w:rPr>
                <w:rFonts w:eastAsia="Times New Roman" w:cs="Calibri"/>
                <w:color w:val="000000"/>
                <w:lang w:val="en-US" w:eastAsia="fr-FR"/>
              </w:rPr>
            </w:pPr>
          </w:p>
        </w:tc>
      </w:tr>
      <w:tr w:rsidR="00F121AE" w:rsidRPr="00356FB1" w14:paraId="67BBD4B7" w14:textId="77777777" w:rsidTr="009906BB">
        <w:trPr>
          <w:trHeight w:val="300"/>
          <w:jc w:val="center"/>
        </w:trPr>
        <w:tc>
          <w:tcPr>
            <w:tcW w:w="3402" w:type="dxa"/>
            <w:shd w:val="clear" w:color="auto" w:fill="auto"/>
            <w:noWrap/>
            <w:vAlign w:val="center"/>
          </w:tcPr>
          <w:p w14:paraId="3F7DCBF7" w14:textId="627246F9" w:rsidR="00F121AE" w:rsidRPr="00F121AE" w:rsidRDefault="00F121AE" w:rsidP="00F121AE">
            <w:pPr>
              <w:spacing w:after="0" w:line="240" w:lineRule="auto"/>
              <w:jc w:val="right"/>
              <w:rPr>
                <w:rFonts w:eastAsia="Times New Roman" w:cs="Calibri"/>
                <w:color w:val="000000"/>
                <w:lang w:val="en-US" w:eastAsia="fr-FR"/>
              </w:rPr>
            </w:pPr>
            <w:r w:rsidRPr="0024326E">
              <w:rPr>
                <w:rFonts w:eastAsia="Times New Roman" w:cs="Calibri"/>
                <w:color w:val="000000"/>
                <w:lang w:eastAsia="fr-FR"/>
              </w:rPr>
              <w:lastRenderedPageBreak/>
              <w:t>No</w:t>
            </w:r>
            <w:r>
              <w:rPr>
                <w:rFonts w:eastAsia="Times New Roman" w:cs="Calibri"/>
                <w:color w:val="000000"/>
                <w:lang w:eastAsia="fr-FR"/>
              </w:rPr>
              <w:t xml:space="preserve"> </w:t>
            </w:r>
          </w:p>
        </w:tc>
        <w:tc>
          <w:tcPr>
            <w:tcW w:w="1701" w:type="dxa"/>
            <w:shd w:val="clear" w:color="auto" w:fill="auto"/>
            <w:noWrap/>
            <w:vAlign w:val="bottom"/>
          </w:tcPr>
          <w:p w14:paraId="58069753" w14:textId="77777777" w:rsidR="00F121AE" w:rsidRPr="00356FB1" w:rsidRDefault="00F121AE" w:rsidP="00F121AE">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0FE827C4" w14:textId="77777777" w:rsidR="00F121AE" w:rsidRPr="00356FB1" w:rsidRDefault="00F121AE" w:rsidP="00F121AE">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584A5129" w14:textId="77777777" w:rsidR="00F121AE" w:rsidRPr="00356FB1" w:rsidRDefault="00F121AE" w:rsidP="00F121AE">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36186C42" w14:textId="77777777" w:rsidR="00F121AE" w:rsidRPr="00356FB1" w:rsidRDefault="00F121AE" w:rsidP="00F121AE">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61FDFC10" w14:textId="77777777" w:rsidR="00F121AE" w:rsidRPr="00356FB1" w:rsidRDefault="00F121AE" w:rsidP="00F121AE">
            <w:pPr>
              <w:spacing w:after="0" w:line="240" w:lineRule="auto"/>
              <w:jc w:val="center"/>
              <w:rPr>
                <w:rFonts w:eastAsia="Times New Roman" w:cs="Calibri"/>
                <w:color w:val="000000"/>
                <w:lang w:val="en-US" w:eastAsia="fr-FR"/>
              </w:rPr>
            </w:pPr>
          </w:p>
        </w:tc>
      </w:tr>
      <w:tr w:rsidR="00F121AE" w:rsidRPr="00356FB1" w14:paraId="5D1C06AB" w14:textId="77777777" w:rsidTr="009906BB">
        <w:trPr>
          <w:trHeight w:val="300"/>
          <w:jc w:val="center"/>
        </w:trPr>
        <w:tc>
          <w:tcPr>
            <w:tcW w:w="3402" w:type="dxa"/>
            <w:shd w:val="clear" w:color="auto" w:fill="auto"/>
            <w:noWrap/>
            <w:vAlign w:val="center"/>
          </w:tcPr>
          <w:p w14:paraId="2BDC67B1" w14:textId="5519A482" w:rsidR="00F121AE" w:rsidRPr="00F121AE" w:rsidRDefault="00F121AE" w:rsidP="00F121AE">
            <w:pPr>
              <w:spacing w:after="0" w:line="240" w:lineRule="auto"/>
              <w:jc w:val="right"/>
              <w:rPr>
                <w:rFonts w:eastAsia="Times New Roman" w:cs="Calibri"/>
                <w:color w:val="000000"/>
                <w:lang w:val="en-US" w:eastAsia="fr-FR"/>
              </w:rPr>
            </w:pPr>
            <w:proofErr w:type="spellStart"/>
            <w:r>
              <w:rPr>
                <w:rFonts w:eastAsia="Times New Roman" w:cs="Calibri"/>
                <w:color w:val="000000"/>
                <w:lang w:eastAsia="fr-FR"/>
              </w:rPr>
              <w:t>Yes</w:t>
            </w:r>
            <w:proofErr w:type="spellEnd"/>
            <w:r>
              <w:rPr>
                <w:rFonts w:eastAsia="Times New Roman" w:cs="Calibri"/>
                <w:color w:val="000000"/>
                <w:lang w:eastAsia="fr-FR"/>
              </w:rPr>
              <w:t xml:space="preserve"> </w:t>
            </w:r>
          </w:p>
        </w:tc>
        <w:tc>
          <w:tcPr>
            <w:tcW w:w="1701" w:type="dxa"/>
            <w:shd w:val="clear" w:color="auto" w:fill="auto"/>
            <w:noWrap/>
            <w:vAlign w:val="bottom"/>
          </w:tcPr>
          <w:p w14:paraId="4182CAC4" w14:textId="77777777" w:rsidR="00F121AE" w:rsidRPr="00356FB1" w:rsidRDefault="00F121AE" w:rsidP="00F121AE">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51A99665" w14:textId="77777777" w:rsidR="00F121AE" w:rsidRPr="00356FB1" w:rsidRDefault="00F121AE" w:rsidP="00F121AE">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71FB8EAF" w14:textId="77777777" w:rsidR="00F121AE" w:rsidRPr="00356FB1" w:rsidRDefault="00F121AE" w:rsidP="00F121AE">
            <w:pPr>
              <w:spacing w:after="0" w:line="240" w:lineRule="auto"/>
              <w:jc w:val="center"/>
              <w:rPr>
                <w:rFonts w:eastAsia="Times New Roman" w:cs="Calibri"/>
                <w:color w:val="000000"/>
                <w:lang w:val="en-US" w:eastAsia="fr-FR"/>
              </w:rPr>
            </w:pPr>
          </w:p>
        </w:tc>
        <w:tc>
          <w:tcPr>
            <w:tcW w:w="1701" w:type="dxa"/>
            <w:shd w:val="clear" w:color="auto" w:fill="auto"/>
            <w:noWrap/>
            <w:vAlign w:val="bottom"/>
          </w:tcPr>
          <w:p w14:paraId="5A9DC24A" w14:textId="77777777" w:rsidR="00F121AE" w:rsidRPr="00356FB1" w:rsidRDefault="00F121AE" w:rsidP="00F121AE">
            <w:pPr>
              <w:spacing w:after="0" w:line="240" w:lineRule="auto"/>
              <w:jc w:val="center"/>
              <w:rPr>
                <w:rFonts w:eastAsia="Times New Roman" w:cs="Calibri"/>
                <w:color w:val="000000"/>
                <w:lang w:val="en-US" w:eastAsia="fr-FR"/>
              </w:rPr>
            </w:pPr>
          </w:p>
        </w:tc>
        <w:tc>
          <w:tcPr>
            <w:tcW w:w="904" w:type="dxa"/>
            <w:shd w:val="clear" w:color="auto" w:fill="auto"/>
            <w:noWrap/>
            <w:vAlign w:val="bottom"/>
          </w:tcPr>
          <w:p w14:paraId="71336E51" w14:textId="77777777" w:rsidR="00F121AE" w:rsidRPr="00356FB1" w:rsidRDefault="00F121AE" w:rsidP="00F121AE">
            <w:pPr>
              <w:spacing w:after="0" w:line="240" w:lineRule="auto"/>
              <w:jc w:val="center"/>
              <w:rPr>
                <w:rFonts w:eastAsia="Times New Roman" w:cs="Calibri"/>
                <w:color w:val="000000"/>
                <w:lang w:val="en-US" w:eastAsia="fr-FR"/>
              </w:rPr>
            </w:pPr>
          </w:p>
        </w:tc>
      </w:tr>
    </w:tbl>
    <w:p w14:paraId="2689535F" w14:textId="2666F8EE" w:rsidR="007B5A87" w:rsidRDefault="004562E4" w:rsidP="004562E4">
      <w:pPr>
        <w:jc w:val="both"/>
        <w:rPr>
          <w:lang w:val="en-US"/>
        </w:rPr>
      </w:pPr>
      <w:r>
        <w:rPr>
          <w:lang w:val="en-US"/>
        </w:rPr>
        <w:t xml:space="preserve">ECMO: extracorporeal membrane oxygenation (VA: </w:t>
      </w:r>
      <w:proofErr w:type="spellStart"/>
      <w:r>
        <w:rPr>
          <w:lang w:val="en-US"/>
        </w:rPr>
        <w:t>venoarterial</w:t>
      </w:r>
      <w:proofErr w:type="spellEnd"/>
      <w:r>
        <w:rPr>
          <w:lang w:val="en-US"/>
        </w:rPr>
        <w:t xml:space="preserve">; VV: </w:t>
      </w:r>
      <w:proofErr w:type="spellStart"/>
      <w:r>
        <w:rPr>
          <w:lang w:val="en-US"/>
        </w:rPr>
        <w:t>venovenous</w:t>
      </w:r>
      <w:proofErr w:type="spellEnd"/>
      <w:r>
        <w:rPr>
          <w:lang w:val="en-US"/>
        </w:rPr>
        <w:t xml:space="preserve">); </w:t>
      </w:r>
      <w:r w:rsidR="00A845A8">
        <w:rPr>
          <w:lang w:val="en-US"/>
        </w:rPr>
        <w:t xml:space="preserve">HFNO: </w:t>
      </w:r>
      <w:r w:rsidR="00A845A8" w:rsidRPr="00A845A8">
        <w:rPr>
          <w:bCs/>
          <w:lang w:val="en-US"/>
        </w:rPr>
        <w:t>High flow nasal oxygen; NIV: Noninvasive mechanical ventilation;</w:t>
      </w:r>
      <w:r w:rsidR="00A845A8">
        <w:rPr>
          <w:b/>
          <w:lang w:val="en-US"/>
        </w:rPr>
        <w:t xml:space="preserve"> </w:t>
      </w:r>
      <w:r w:rsidR="007B5A87">
        <w:rPr>
          <w:lang w:val="en-US"/>
        </w:rPr>
        <w:t>SAPS II: Simplified acute physiology score II</w:t>
      </w:r>
    </w:p>
    <w:p w14:paraId="04490C71" w14:textId="77777777" w:rsidR="004616F4" w:rsidRDefault="004616F4" w:rsidP="00DE7A3A">
      <w:pPr>
        <w:rPr>
          <w:lang w:val="en-US"/>
        </w:rPr>
      </w:pPr>
    </w:p>
    <w:p w14:paraId="0BD9A8B0" w14:textId="77777777" w:rsidR="0062729B" w:rsidRDefault="0062729B">
      <w:pPr>
        <w:rPr>
          <w:u w:val="single"/>
          <w:lang w:val="en-US"/>
        </w:rPr>
      </w:pPr>
      <w:r>
        <w:rPr>
          <w:u w:val="single"/>
          <w:lang w:val="en-US"/>
        </w:rPr>
        <w:br w:type="page"/>
      </w:r>
    </w:p>
    <w:p w14:paraId="285B0C8C" w14:textId="7B2C6D8D" w:rsidR="000C070D" w:rsidRDefault="00F121AE">
      <w:pPr>
        <w:rPr>
          <w:lang w:val="en-US"/>
        </w:rPr>
      </w:pPr>
      <w:r w:rsidRPr="00A93316">
        <w:rPr>
          <w:u w:val="single"/>
          <w:lang w:val="en-US"/>
        </w:rPr>
        <w:lastRenderedPageBreak/>
        <w:t xml:space="preserve">Supplementary table </w:t>
      </w:r>
      <w:r w:rsidR="00773CF5">
        <w:rPr>
          <w:u w:val="single"/>
          <w:lang w:val="en-US"/>
        </w:rPr>
        <w:t>7</w:t>
      </w:r>
      <w:r>
        <w:rPr>
          <w:lang w:val="en-US"/>
        </w:rPr>
        <w:t xml:space="preserve"> </w:t>
      </w:r>
      <w:r w:rsidR="000C070D">
        <w:rPr>
          <w:lang w:val="en-US"/>
        </w:rPr>
        <w:t xml:space="preserve">survival: </w:t>
      </w:r>
      <w:proofErr w:type="spellStart"/>
      <w:r w:rsidR="000C070D">
        <w:rPr>
          <w:lang w:val="en-US"/>
        </w:rPr>
        <w:t>Tocilizumab</w:t>
      </w:r>
      <w:proofErr w:type="spellEnd"/>
      <w:r w:rsidR="000C070D">
        <w:rPr>
          <w:lang w:val="en-US"/>
        </w:rPr>
        <w:t xml:space="preserve"> vs no </w:t>
      </w:r>
      <w:proofErr w:type="spellStart"/>
      <w:r w:rsidR="000C070D">
        <w:rPr>
          <w:lang w:val="en-US"/>
        </w:rPr>
        <w:t>Tocilizumab</w:t>
      </w:r>
      <w:proofErr w:type="spellEnd"/>
    </w:p>
    <w:tbl>
      <w:tblPr>
        <w:tblW w:w="1128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689"/>
        <w:gridCol w:w="2414"/>
        <w:gridCol w:w="1701"/>
        <w:gridCol w:w="1701"/>
        <w:gridCol w:w="1701"/>
        <w:gridCol w:w="1083"/>
      </w:tblGrid>
      <w:tr w:rsidR="00204207" w:rsidRPr="00FA6C1D" w14:paraId="437CC114" w14:textId="77777777" w:rsidTr="00204207">
        <w:trPr>
          <w:trHeight w:val="300"/>
          <w:jc w:val="center"/>
        </w:trPr>
        <w:tc>
          <w:tcPr>
            <w:tcW w:w="2689" w:type="dxa"/>
            <w:tcBorders>
              <w:top w:val="single" w:sz="4" w:space="0" w:color="auto"/>
              <w:bottom w:val="single" w:sz="4" w:space="0" w:color="auto"/>
            </w:tcBorders>
            <w:shd w:val="clear" w:color="auto" w:fill="D9D9D9" w:themeFill="background1" w:themeFillShade="D9"/>
            <w:noWrap/>
            <w:vAlign w:val="center"/>
            <w:hideMark/>
          </w:tcPr>
          <w:p w14:paraId="288BEA7B" w14:textId="77777777" w:rsidR="00204207" w:rsidRPr="00D44A4A" w:rsidRDefault="00204207" w:rsidP="009906BB">
            <w:pPr>
              <w:spacing w:after="0" w:line="240" w:lineRule="auto"/>
              <w:jc w:val="right"/>
              <w:rPr>
                <w:rFonts w:eastAsia="Times New Roman" w:cs="Calibri"/>
                <w:color w:val="000000"/>
                <w:lang w:val="en-US" w:eastAsia="fr-FR"/>
              </w:rPr>
            </w:pPr>
          </w:p>
        </w:tc>
        <w:tc>
          <w:tcPr>
            <w:tcW w:w="2414" w:type="dxa"/>
            <w:tcBorders>
              <w:top w:val="single" w:sz="4" w:space="0" w:color="auto"/>
              <w:bottom w:val="single" w:sz="4" w:space="0" w:color="auto"/>
            </w:tcBorders>
            <w:shd w:val="clear" w:color="auto" w:fill="D9D9D9" w:themeFill="background1" w:themeFillShade="D9"/>
            <w:noWrap/>
            <w:vAlign w:val="bottom"/>
            <w:hideMark/>
          </w:tcPr>
          <w:p w14:paraId="1AAF44E8" w14:textId="77777777" w:rsidR="00204207" w:rsidRPr="00FA6C1D" w:rsidRDefault="00204207" w:rsidP="009906BB">
            <w:pPr>
              <w:spacing w:after="0" w:line="240" w:lineRule="auto"/>
              <w:jc w:val="center"/>
              <w:rPr>
                <w:rFonts w:eastAsia="Times New Roman" w:cs="Calibri"/>
                <w:color w:val="000000"/>
                <w:lang w:eastAsia="fr-FR"/>
              </w:rPr>
            </w:pPr>
            <w:r w:rsidRPr="00FA6C1D">
              <w:rPr>
                <w:rFonts w:eastAsia="Times New Roman" w:cs="Calibri"/>
                <w:color w:val="000000"/>
                <w:lang w:eastAsia="fr-FR"/>
              </w:rPr>
              <w:t>Total (N=2587)</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50F3320D" w14:textId="3891040B" w:rsidR="00204207" w:rsidRPr="00FA6C1D" w:rsidRDefault="00596347" w:rsidP="009906BB">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00204207" w:rsidRPr="00FA6C1D">
              <w:rPr>
                <w:rFonts w:eastAsia="Times New Roman" w:cs="Calibri"/>
                <w:color w:val="000000"/>
                <w:lang w:eastAsia="fr-FR"/>
              </w:rPr>
              <w:t>ocilizumab</w:t>
            </w:r>
            <w:proofErr w:type="spellEnd"/>
            <w:r w:rsidR="00204207" w:rsidRPr="00FA6C1D">
              <w:rPr>
                <w:rFonts w:eastAsia="Times New Roman" w:cs="Calibri"/>
                <w:color w:val="000000"/>
                <w:lang w:eastAsia="fr-FR"/>
              </w:rPr>
              <w:t xml:space="preserve"> (N=2395)</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CD3F84A" w14:textId="77777777" w:rsidR="00204207" w:rsidRPr="00FA6C1D" w:rsidRDefault="00204207" w:rsidP="009906BB">
            <w:pPr>
              <w:spacing w:after="0" w:line="240" w:lineRule="auto"/>
              <w:jc w:val="center"/>
              <w:rPr>
                <w:rFonts w:eastAsia="Times New Roman" w:cs="Calibri"/>
                <w:color w:val="000000"/>
                <w:lang w:eastAsia="fr-FR"/>
              </w:rPr>
            </w:pPr>
            <w:proofErr w:type="spellStart"/>
            <w:r w:rsidRPr="00FA6C1D">
              <w:rPr>
                <w:rFonts w:eastAsia="Times New Roman" w:cs="Calibri"/>
                <w:color w:val="000000"/>
                <w:lang w:eastAsia="fr-FR"/>
              </w:rPr>
              <w:t>Tocilizumab</w:t>
            </w:r>
            <w:proofErr w:type="spellEnd"/>
            <w:r w:rsidRPr="00FA6C1D">
              <w:rPr>
                <w:rFonts w:eastAsia="Times New Roman" w:cs="Calibri"/>
                <w:color w:val="000000"/>
                <w:lang w:eastAsia="fr-FR"/>
              </w:rPr>
              <w:t xml:space="preserve"> (N=192)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0AE8E103" w14:textId="77777777" w:rsidR="00204207" w:rsidRPr="00FA6C1D" w:rsidRDefault="00204207" w:rsidP="009906BB">
            <w:pPr>
              <w:spacing w:after="0" w:line="240" w:lineRule="auto"/>
              <w:jc w:val="center"/>
              <w:rPr>
                <w:rFonts w:eastAsia="Times New Roman" w:cs="Calibri"/>
                <w:color w:val="000000"/>
                <w:lang w:eastAsia="fr-FR"/>
              </w:rPr>
            </w:pPr>
            <w:r w:rsidRPr="00FA6C1D">
              <w:rPr>
                <w:rFonts w:eastAsia="Times New Roman" w:cs="Calibri"/>
                <w:color w:val="000000"/>
                <w:lang w:eastAsia="fr-FR"/>
              </w:rPr>
              <w:t>OR [IC95%]</w:t>
            </w:r>
          </w:p>
        </w:tc>
        <w:tc>
          <w:tcPr>
            <w:tcW w:w="1083" w:type="dxa"/>
            <w:tcBorders>
              <w:top w:val="single" w:sz="4" w:space="0" w:color="auto"/>
              <w:bottom w:val="single" w:sz="4" w:space="0" w:color="auto"/>
            </w:tcBorders>
            <w:shd w:val="clear" w:color="auto" w:fill="D9D9D9" w:themeFill="background1" w:themeFillShade="D9"/>
            <w:noWrap/>
            <w:vAlign w:val="bottom"/>
            <w:hideMark/>
          </w:tcPr>
          <w:p w14:paraId="230CF76C" w14:textId="77777777" w:rsidR="00204207" w:rsidRPr="00FA6C1D" w:rsidRDefault="00204207" w:rsidP="009906BB">
            <w:pPr>
              <w:spacing w:after="0" w:line="240" w:lineRule="auto"/>
              <w:jc w:val="center"/>
              <w:rPr>
                <w:rFonts w:eastAsia="Times New Roman" w:cs="Calibri"/>
                <w:color w:val="000000"/>
                <w:lang w:eastAsia="fr-FR"/>
              </w:rPr>
            </w:pPr>
            <w:r w:rsidRPr="00FA6C1D">
              <w:rPr>
                <w:rFonts w:eastAsia="Times New Roman" w:cs="Calibri"/>
                <w:color w:val="000000"/>
                <w:lang w:eastAsia="fr-FR"/>
              </w:rPr>
              <w:t>p</w:t>
            </w:r>
          </w:p>
        </w:tc>
      </w:tr>
      <w:tr w:rsidR="00204207" w:rsidRPr="00FA6C1D" w14:paraId="3DBB1B0A" w14:textId="77777777" w:rsidTr="00204207">
        <w:trPr>
          <w:trHeight w:val="300"/>
          <w:jc w:val="center"/>
        </w:trPr>
        <w:tc>
          <w:tcPr>
            <w:tcW w:w="2689" w:type="dxa"/>
            <w:tcBorders>
              <w:top w:val="single" w:sz="4" w:space="0" w:color="auto"/>
            </w:tcBorders>
            <w:shd w:val="clear" w:color="auto" w:fill="auto"/>
            <w:noWrap/>
            <w:vAlign w:val="center"/>
            <w:hideMark/>
          </w:tcPr>
          <w:p w14:paraId="2407E3C0" w14:textId="14993540" w:rsidR="00204207" w:rsidRPr="00FA6C1D" w:rsidRDefault="00B768E9" w:rsidP="00204207">
            <w:pPr>
              <w:spacing w:after="0" w:line="240" w:lineRule="auto"/>
              <w:rPr>
                <w:rFonts w:eastAsia="Times New Roman" w:cs="Calibri"/>
                <w:b/>
                <w:color w:val="000000"/>
                <w:lang w:eastAsia="fr-FR"/>
              </w:rPr>
            </w:pPr>
            <w:r>
              <w:rPr>
                <w:rFonts w:eastAsia="Times New Roman" w:cs="Calibri"/>
                <w:b/>
                <w:color w:val="000000"/>
                <w:lang w:eastAsia="fr-FR"/>
              </w:rPr>
              <w:t xml:space="preserve">Total population </w:t>
            </w:r>
            <w:proofErr w:type="spellStart"/>
            <w:r>
              <w:rPr>
                <w:rFonts w:eastAsia="Times New Roman" w:cs="Calibri"/>
                <w:b/>
                <w:color w:val="000000"/>
                <w:lang w:eastAsia="fr-FR"/>
              </w:rPr>
              <w:t>s</w:t>
            </w:r>
            <w:r w:rsidR="00204207">
              <w:rPr>
                <w:rFonts w:eastAsia="Times New Roman" w:cs="Calibri"/>
                <w:b/>
                <w:color w:val="000000"/>
                <w:lang w:eastAsia="fr-FR"/>
              </w:rPr>
              <w:t>urvival</w:t>
            </w:r>
            <w:proofErr w:type="spellEnd"/>
            <w:r w:rsidR="00204207">
              <w:rPr>
                <w:rFonts w:eastAsia="Times New Roman" w:cs="Calibri"/>
                <w:b/>
                <w:color w:val="000000"/>
                <w:lang w:eastAsia="fr-FR"/>
              </w:rPr>
              <w:t xml:space="preserve">  </w:t>
            </w:r>
          </w:p>
        </w:tc>
        <w:tc>
          <w:tcPr>
            <w:tcW w:w="2414" w:type="dxa"/>
            <w:tcBorders>
              <w:top w:val="single" w:sz="4" w:space="0" w:color="auto"/>
            </w:tcBorders>
            <w:shd w:val="clear" w:color="auto" w:fill="auto"/>
            <w:noWrap/>
            <w:vAlign w:val="bottom"/>
            <w:hideMark/>
          </w:tcPr>
          <w:p w14:paraId="5DB8FB2A" w14:textId="0C5BA1D6" w:rsidR="00204207" w:rsidRPr="00FA6C1D" w:rsidRDefault="00204207" w:rsidP="00204207">
            <w:pPr>
              <w:spacing w:after="0" w:line="240" w:lineRule="auto"/>
              <w:rPr>
                <w:rFonts w:eastAsia="Times New Roman" w:cs="Calibri"/>
                <w:b/>
                <w:color w:val="000000"/>
                <w:lang w:eastAsia="fr-FR"/>
              </w:rPr>
            </w:pPr>
            <w:r w:rsidRPr="00FA6C1D">
              <w:rPr>
                <w:rFonts w:eastAsia="Times New Roman" w:cs="Calibri"/>
                <w:color w:val="000000"/>
                <w:lang w:eastAsia="fr-FR"/>
              </w:rPr>
              <w:t>2144 (82.88%)</w:t>
            </w:r>
          </w:p>
        </w:tc>
        <w:tc>
          <w:tcPr>
            <w:tcW w:w="1701" w:type="dxa"/>
            <w:tcBorders>
              <w:top w:val="single" w:sz="4" w:space="0" w:color="auto"/>
            </w:tcBorders>
            <w:shd w:val="clear" w:color="auto" w:fill="auto"/>
            <w:noWrap/>
            <w:vAlign w:val="bottom"/>
            <w:hideMark/>
          </w:tcPr>
          <w:p w14:paraId="1C885FDD" w14:textId="325C52B4" w:rsidR="00204207" w:rsidRPr="00FA6C1D" w:rsidRDefault="00204207" w:rsidP="00204207">
            <w:pPr>
              <w:spacing w:after="0" w:line="240" w:lineRule="auto"/>
              <w:rPr>
                <w:rFonts w:eastAsia="Times New Roman" w:cs="Calibri"/>
                <w:b/>
                <w:color w:val="000000"/>
                <w:lang w:eastAsia="fr-FR"/>
              </w:rPr>
            </w:pPr>
            <w:r w:rsidRPr="00FA6C1D">
              <w:rPr>
                <w:rFonts w:eastAsia="Times New Roman" w:cs="Calibri"/>
                <w:color w:val="000000"/>
                <w:lang w:eastAsia="fr-FR"/>
              </w:rPr>
              <w:t>1994 (83.26%)</w:t>
            </w:r>
          </w:p>
        </w:tc>
        <w:tc>
          <w:tcPr>
            <w:tcW w:w="1701" w:type="dxa"/>
            <w:tcBorders>
              <w:top w:val="single" w:sz="4" w:space="0" w:color="auto"/>
            </w:tcBorders>
            <w:shd w:val="clear" w:color="auto" w:fill="auto"/>
            <w:noWrap/>
            <w:vAlign w:val="bottom"/>
            <w:hideMark/>
          </w:tcPr>
          <w:p w14:paraId="36D26073" w14:textId="1ADD9391" w:rsidR="00204207" w:rsidRPr="00FA6C1D" w:rsidRDefault="00204207" w:rsidP="00204207">
            <w:pPr>
              <w:spacing w:after="0" w:line="240" w:lineRule="auto"/>
              <w:rPr>
                <w:rFonts w:eastAsia="Times New Roman" w:cs="Calibri"/>
                <w:b/>
                <w:color w:val="000000"/>
                <w:lang w:eastAsia="fr-FR"/>
              </w:rPr>
            </w:pPr>
            <w:r w:rsidRPr="00FA6C1D">
              <w:rPr>
                <w:rFonts w:eastAsia="Times New Roman" w:cs="Calibri"/>
                <w:color w:val="000000"/>
                <w:lang w:eastAsia="fr-FR"/>
              </w:rPr>
              <w:t>150 (78.12%)</w:t>
            </w:r>
          </w:p>
        </w:tc>
        <w:tc>
          <w:tcPr>
            <w:tcW w:w="1701" w:type="dxa"/>
            <w:tcBorders>
              <w:top w:val="single" w:sz="4" w:space="0" w:color="auto"/>
            </w:tcBorders>
            <w:shd w:val="clear" w:color="auto" w:fill="auto"/>
            <w:noWrap/>
            <w:vAlign w:val="bottom"/>
            <w:hideMark/>
          </w:tcPr>
          <w:p w14:paraId="3FCAFA56" w14:textId="4172E2CA" w:rsidR="00204207" w:rsidRPr="00FA6C1D" w:rsidRDefault="00204207" w:rsidP="00204207">
            <w:pPr>
              <w:spacing w:after="0" w:line="240" w:lineRule="auto"/>
              <w:rPr>
                <w:rFonts w:eastAsia="Times New Roman" w:cs="Calibri"/>
                <w:b/>
                <w:color w:val="000000"/>
                <w:lang w:eastAsia="fr-FR"/>
              </w:rPr>
            </w:pPr>
            <w:r w:rsidRPr="00FA6C1D">
              <w:rPr>
                <w:rFonts w:eastAsia="Times New Roman" w:cs="Calibri"/>
                <w:color w:val="000000"/>
                <w:lang w:eastAsia="fr-FR"/>
              </w:rPr>
              <w:t>1.00</w:t>
            </w:r>
          </w:p>
        </w:tc>
        <w:tc>
          <w:tcPr>
            <w:tcW w:w="1083" w:type="dxa"/>
            <w:tcBorders>
              <w:top w:val="single" w:sz="4" w:space="0" w:color="auto"/>
            </w:tcBorders>
            <w:shd w:val="clear" w:color="auto" w:fill="auto"/>
            <w:noWrap/>
            <w:vAlign w:val="bottom"/>
            <w:hideMark/>
          </w:tcPr>
          <w:p w14:paraId="68F297EC" w14:textId="6F73334D" w:rsidR="00204207" w:rsidRPr="00FA6C1D" w:rsidRDefault="00204207" w:rsidP="00204207">
            <w:pPr>
              <w:spacing w:after="0" w:line="240" w:lineRule="auto"/>
              <w:rPr>
                <w:rFonts w:eastAsia="Times New Roman" w:cs="Calibri"/>
                <w:b/>
                <w:color w:val="000000"/>
                <w:lang w:eastAsia="fr-FR"/>
              </w:rPr>
            </w:pPr>
            <w:r w:rsidRPr="00FA6C1D">
              <w:rPr>
                <w:rFonts w:eastAsia="Times New Roman" w:cs="Calibri"/>
                <w:color w:val="000000"/>
                <w:lang w:eastAsia="fr-FR"/>
              </w:rPr>
              <w:t>0.07</w:t>
            </w:r>
          </w:p>
        </w:tc>
      </w:tr>
      <w:tr w:rsidR="00204207" w:rsidRPr="00FA6C1D" w14:paraId="0056A8F1" w14:textId="77777777" w:rsidTr="00204207">
        <w:trPr>
          <w:trHeight w:val="300"/>
          <w:jc w:val="center"/>
        </w:trPr>
        <w:tc>
          <w:tcPr>
            <w:tcW w:w="2689" w:type="dxa"/>
            <w:shd w:val="clear" w:color="auto" w:fill="auto"/>
            <w:noWrap/>
            <w:vAlign w:val="center"/>
            <w:hideMark/>
          </w:tcPr>
          <w:p w14:paraId="44EC69E1" w14:textId="1BDDF680" w:rsidR="00204207" w:rsidRPr="00FA6C1D" w:rsidRDefault="00580920" w:rsidP="00204207">
            <w:pPr>
              <w:spacing w:after="0" w:line="240" w:lineRule="auto"/>
              <w:rPr>
                <w:rFonts w:eastAsia="Times New Roman" w:cs="Calibri"/>
                <w:b/>
                <w:color w:val="000000"/>
                <w:lang w:eastAsia="fr-FR"/>
              </w:rPr>
            </w:pPr>
            <w:r>
              <w:rPr>
                <w:rFonts w:eastAsia="Times New Roman" w:cs="Calibri"/>
                <w:b/>
                <w:color w:val="000000"/>
                <w:lang w:eastAsia="fr-FR"/>
              </w:rPr>
              <w:t>Ward group</w:t>
            </w:r>
          </w:p>
        </w:tc>
        <w:tc>
          <w:tcPr>
            <w:tcW w:w="2414" w:type="dxa"/>
            <w:shd w:val="clear" w:color="auto" w:fill="auto"/>
            <w:noWrap/>
            <w:vAlign w:val="bottom"/>
            <w:hideMark/>
          </w:tcPr>
          <w:p w14:paraId="3CA6BB73" w14:textId="77777777" w:rsidR="00204207" w:rsidRPr="00FA6C1D" w:rsidRDefault="00204207" w:rsidP="00204207">
            <w:pPr>
              <w:spacing w:after="0" w:line="240" w:lineRule="auto"/>
              <w:rPr>
                <w:rFonts w:eastAsia="Times New Roman" w:cs="Calibri"/>
                <w:b/>
                <w:color w:val="000000"/>
                <w:lang w:eastAsia="fr-FR"/>
              </w:rPr>
            </w:pPr>
          </w:p>
        </w:tc>
        <w:tc>
          <w:tcPr>
            <w:tcW w:w="1701" w:type="dxa"/>
            <w:shd w:val="clear" w:color="auto" w:fill="auto"/>
            <w:noWrap/>
            <w:vAlign w:val="bottom"/>
            <w:hideMark/>
          </w:tcPr>
          <w:p w14:paraId="6371F508" w14:textId="77777777" w:rsidR="00204207" w:rsidRPr="00FA6C1D" w:rsidRDefault="00204207" w:rsidP="00204207">
            <w:pPr>
              <w:spacing w:after="0" w:line="240" w:lineRule="auto"/>
              <w:rPr>
                <w:rFonts w:eastAsia="Times New Roman" w:cs="Calibri"/>
                <w:b/>
                <w:color w:val="000000"/>
                <w:lang w:eastAsia="fr-FR"/>
              </w:rPr>
            </w:pPr>
          </w:p>
        </w:tc>
        <w:tc>
          <w:tcPr>
            <w:tcW w:w="1701" w:type="dxa"/>
            <w:shd w:val="clear" w:color="auto" w:fill="auto"/>
            <w:noWrap/>
            <w:vAlign w:val="bottom"/>
            <w:hideMark/>
          </w:tcPr>
          <w:p w14:paraId="25D20DF9" w14:textId="77777777" w:rsidR="00204207" w:rsidRPr="00FA6C1D" w:rsidRDefault="00204207" w:rsidP="00204207">
            <w:pPr>
              <w:spacing w:after="0" w:line="240" w:lineRule="auto"/>
              <w:rPr>
                <w:rFonts w:eastAsia="Times New Roman" w:cs="Calibri"/>
                <w:b/>
                <w:color w:val="000000"/>
                <w:lang w:eastAsia="fr-FR"/>
              </w:rPr>
            </w:pPr>
          </w:p>
        </w:tc>
        <w:tc>
          <w:tcPr>
            <w:tcW w:w="1701" w:type="dxa"/>
            <w:shd w:val="clear" w:color="auto" w:fill="auto"/>
            <w:noWrap/>
            <w:vAlign w:val="bottom"/>
            <w:hideMark/>
          </w:tcPr>
          <w:p w14:paraId="066EC9AD" w14:textId="77777777" w:rsidR="00204207" w:rsidRPr="00FA6C1D" w:rsidRDefault="00204207" w:rsidP="00204207">
            <w:pPr>
              <w:spacing w:after="0" w:line="240" w:lineRule="auto"/>
              <w:rPr>
                <w:rFonts w:eastAsia="Times New Roman" w:cs="Calibri"/>
                <w:b/>
                <w:color w:val="000000"/>
                <w:lang w:eastAsia="fr-FR"/>
              </w:rPr>
            </w:pPr>
          </w:p>
        </w:tc>
        <w:tc>
          <w:tcPr>
            <w:tcW w:w="1083" w:type="dxa"/>
            <w:shd w:val="clear" w:color="auto" w:fill="auto"/>
            <w:noWrap/>
            <w:vAlign w:val="bottom"/>
            <w:hideMark/>
          </w:tcPr>
          <w:p w14:paraId="633B9882" w14:textId="77777777" w:rsidR="00204207" w:rsidRPr="00FA6C1D" w:rsidRDefault="00204207" w:rsidP="00204207">
            <w:pPr>
              <w:spacing w:after="0" w:line="240" w:lineRule="auto"/>
              <w:rPr>
                <w:rFonts w:eastAsia="Times New Roman" w:cs="Calibri"/>
                <w:b/>
                <w:color w:val="000000"/>
                <w:lang w:eastAsia="fr-FR"/>
              </w:rPr>
            </w:pPr>
          </w:p>
        </w:tc>
      </w:tr>
      <w:tr w:rsidR="00B80BEA" w:rsidRPr="00FA6C1D" w14:paraId="42A5AB40" w14:textId="77777777" w:rsidTr="00ED3593">
        <w:trPr>
          <w:trHeight w:val="300"/>
          <w:jc w:val="center"/>
        </w:trPr>
        <w:tc>
          <w:tcPr>
            <w:tcW w:w="2689" w:type="dxa"/>
            <w:shd w:val="clear" w:color="auto" w:fill="auto"/>
            <w:noWrap/>
            <w:vAlign w:val="center"/>
          </w:tcPr>
          <w:p w14:paraId="179BE6BE" w14:textId="170C702E" w:rsidR="00B80BEA" w:rsidRPr="00FA6C1D" w:rsidRDefault="00B80BEA" w:rsidP="00B80BEA">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Hospital</w:t>
            </w:r>
            <w:proofErr w:type="spellEnd"/>
            <w:r>
              <w:rPr>
                <w:rFonts w:eastAsia="Times New Roman" w:cs="Calibri"/>
                <w:color w:val="000000"/>
                <w:lang w:eastAsia="fr-FR"/>
              </w:rPr>
              <w:t xml:space="preserve"> </w:t>
            </w:r>
            <w:proofErr w:type="spellStart"/>
            <w:r>
              <w:rPr>
                <w:rFonts w:eastAsia="Times New Roman" w:cs="Calibri"/>
                <w:color w:val="000000"/>
                <w:lang w:eastAsia="fr-FR"/>
              </w:rPr>
              <w:t>mortality</w:t>
            </w:r>
            <w:proofErr w:type="spellEnd"/>
          </w:p>
        </w:tc>
        <w:tc>
          <w:tcPr>
            <w:tcW w:w="2414" w:type="dxa"/>
            <w:shd w:val="clear" w:color="auto" w:fill="auto"/>
            <w:noWrap/>
            <w:vAlign w:val="bottom"/>
          </w:tcPr>
          <w:p w14:paraId="52EFBB8C" w14:textId="3F462014" w:rsidR="00B80BEA" w:rsidRPr="00FA6C1D" w:rsidRDefault="00B80BEA" w:rsidP="00B80BEA">
            <w:pPr>
              <w:spacing w:after="0" w:line="240" w:lineRule="auto"/>
              <w:jc w:val="center"/>
              <w:rPr>
                <w:rFonts w:eastAsia="Times New Roman" w:cs="Calibri"/>
                <w:color w:val="000000"/>
                <w:lang w:eastAsia="fr-FR"/>
              </w:rPr>
            </w:pPr>
            <w:r w:rsidRPr="00692C4F">
              <w:rPr>
                <w:rFonts w:eastAsia="Times New Roman" w:cs="Calibri"/>
                <w:color w:val="000000"/>
                <w:lang w:eastAsia="fr-FR"/>
              </w:rPr>
              <w:t>176 (10.98%)</w:t>
            </w:r>
          </w:p>
        </w:tc>
        <w:tc>
          <w:tcPr>
            <w:tcW w:w="1701" w:type="dxa"/>
            <w:shd w:val="clear" w:color="auto" w:fill="auto"/>
            <w:noWrap/>
            <w:vAlign w:val="bottom"/>
          </w:tcPr>
          <w:p w14:paraId="51FADEBA" w14:textId="00496FD1" w:rsidR="00B80BEA" w:rsidRPr="00FA6C1D" w:rsidRDefault="00B80BEA" w:rsidP="00B80BEA">
            <w:pPr>
              <w:spacing w:after="0" w:line="240" w:lineRule="auto"/>
              <w:jc w:val="center"/>
              <w:rPr>
                <w:rFonts w:eastAsia="Times New Roman" w:cs="Calibri"/>
                <w:color w:val="000000"/>
                <w:lang w:eastAsia="fr-FR"/>
              </w:rPr>
            </w:pPr>
            <w:r w:rsidRPr="00692C4F">
              <w:rPr>
                <w:rFonts w:eastAsia="Times New Roman" w:cs="Calibri"/>
                <w:color w:val="000000"/>
                <w:lang w:eastAsia="fr-FR"/>
              </w:rPr>
              <w:t>159 (10.44%)</w:t>
            </w:r>
          </w:p>
        </w:tc>
        <w:tc>
          <w:tcPr>
            <w:tcW w:w="1701" w:type="dxa"/>
            <w:shd w:val="clear" w:color="auto" w:fill="auto"/>
            <w:noWrap/>
            <w:vAlign w:val="bottom"/>
          </w:tcPr>
          <w:p w14:paraId="203F7511" w14:textId="1C536285" w:rsidR="00B80BEA" w:rsidRPr="00FA6C1D" w:rsidRDefault="00B80BEA" w:rsidP="00B80BEA">
            <w:pPr>
              <w:spacing w:after="0" w:line="240" w:lineRule="auto"/>
              <w:jc w:val="center"/>
              <w:rPr>
                <w:rFonts w:eastAsia="Times New Roman" w:cs="Calibri"/>
                <w:color w:val="000000"/>
                <w:lang w:eastAsia="fr-FR"/>
              </w:rPr>
            </w:pPr>
            <w:r w:rsidRPr="00692C4F">
              <w:rPr>
                <w:rFonts w:eastAsia="Times New Roman" w:cs="Calibri"/>
                <w:color w:val="000000"/>
                <w:lang w:eastAsia="fr-FR"/>
              </w:rPr>
              <w:t>17 (21.25%)</w:t>
            </w:r>
          </w:p>
        </w:tc>
        <w:tc>
          <w:tcPr>
            <w:tcW w:w="1701" w:type="dxa"/>
            <w:shd w:val="clear" w:color="auto" w:fill="auto"/>
            <w:noWrap/>
            <w:vAlign w:val="bottom"/>
          </w:tcPr>
          <w:p w14:paraId="3D7ACB71" w14:textId="45F747A2" w:rsidR="00B80BEA" w:rsidRPr="00FA6C1D" w:rsidRDefault="00B80BEA" w:rsidP="00B80BEA">
            <w:pPr>
              <w:spacing w:after="0" w:line="240" w:lineRule="auto"/>
              <w:jc w:val="center"/>
              <w:rPr>
                <w:rFonts w:eastAsia="Times New Roman" w:cs="Calibri"/>
                <w:color w:val="000000"/>
                <w:lang w:eastAsia="fr-FR"/>
              </w:rPr>
            </w:pPr>
            <w:r w:rsidRPr="00692C4F">
              <w:rPr>
                <w:rFonts w:eastAsia="Times New Roman" w:cs="Calibri"/>
                <w:color w:val="000000"/>
                <w:lang w:eastAsia="fr-FR"/>
              </w:rPr>
              <w:t>2.31 [1.32;4.05]</w:t>
            </w:r>
          </w:p>
        </w:tc>
        <w:tc>
          <w:tcPr>
            <w:tcW w:w="1083" w:type="dxa"/>
            <w:shd w:val="clear" w:color="auto" w:fill="auto"/>
            <w:noWrap/>
            <w:vAlign w:val="bottom"/>
          </w:tcPr>
          <w:p w14:paraId="2ADB85B8" w14:textId="3B71F0F8" w:rsidR="00B80BEA" w:rsidRPr="00FA6C1D" w:rsidRDefault="002A7A28" w:rsidP="00B80BEA">
            <w:pPr>
              <w:spacing w:after="0" w:line="240" w:lineRule="auto"/>
              <w:jc w:val="center"/>
              <w:rPr>
                <w:rFonts w:eastAsia="Times New Roman" w:cs="Calibri"/>
                <w:color w:val="000000"/>
                <w:lang w:eastAsia="fr-FR"/>
              </w:rPr>
            </w:pPr>
            <w:r w:rsidRPr="00692C4F">
              <w:rPr>
                <w:rFonts w:eastAsia="Times New Roman" w:cs="Calibri"/>
                <w:color w:val="000000"/>
                <w:lang w:eastAsia="fr-FR"/>
              </w:rPr>
              <w:t>0.0026</w:t>
            </w:r>
          </w:p>
        </w:tc>
      </w:tr>
      <w:tr w:rsidR="00B80BEA" w:rsidRPr="00FA6C1D" w14:paraId="05A870A0" w14:textId="77777777" w:rsidTr="00204207">
        <w:trPr>
          <w:trHeight w:val="300"/>
          <w:jc w:val="center"/>
        </w:trPr>
        <w:tc>
          <w:tcPr>
            <w:tcW w:w="2689" w:type="dxa"/>
            <w:shd w:val="clear" w:color="auto" w:fill="auto"/>
            <w:noWrap/>
            <w:vAlign w:val="center"/>
          </w:tcPr>
          <w:p w14:paraId="2C99FC56" w14:textId="294F1B76" w:rsidR="00B80BEA" w:rsidRDefault="00B80BEA" w:rsidP="00B80BEA">
            <w:pPr>
              <w:spacing w:after="0" w:line="240" w:lineRule="auto"/>
              <w:jc w:val="right"/>
              <w:rPr>
                <w:rFonts w:eastAsia="Times New Roman" w:cs="Calibri"/>
                <w:color w:val="000000"/>
                <w:lang w:eastAsia="fr-FR"/>
              </w:rPr>
            </w:pPr>
            <w:r>
              <w:rPr>
                <w:rFonts w:eastAsia="Times New Roman" w:cs="Calibri"/>
                <w:color w:val="000000"/>
                <w:lang w:eastAsia="fr-FR"/>
              </w:rPr>
              <w:t xml:space="preserve">Day 90 </w:t>
            </w:r>
            <w:proofErr w:type="spellStart"/>
            <w:r>
              <w:rPr>
                <w:rFonts w:eastAsia="Times New Roman" w:cs="Calibri"/>
                <w:color w:val="000000"/>
                <w:lang w:eastAsia="fr-FR"/>
              </w:rPr>
              <w:t>mortality</w:t>
            </w:r>
            <w:proofErr w:type="spellEnd"/>
          </w:p>
        </w:tc>
        <w:tc>
          <w:tcPr>
            <w:tcW w:w="2414" w:type="dxa"/>
            <w:shd w:val="clear" w:color="auto" w:fill="auto"/>
            <w:noWrap/>
            <w:vAlign w:val="bottom"/>
          </w:tcPr>
          <w:p w14:paraId="2A723FF1" w14:textId="1C98B3E4" w:rsidR="00B80BEA" w:rsidRPr="00B80BEA" w:rsidRDefault="00B80BEA" w:rsidP="00B80BEA">
            <w:pPr>
              <w:spacing w:after="0" w:line="240" w:lineRule="auto"/>
              <w:jc w:val="center"/>
              <w:rPr>
                <w:rFonts w:eastAsia="Times New Roman" w:cs="Calibri"/>
                <w:bCs/>
                <w:color w:val="000000"/>
                <w:lang w:eastAsia="fr-FR"/>
              </w:rPr>
            </w:pPr>
            <w:r w:rsidRPr="00B80BEA">
              <w:rPr>
                <w:rFonts w:eastAsia="Times New Roman" w:cs="Calibri"/>
                <w:bCs/>
                <w:color w:val="000000"/>
                <w:lang w:eastAsia="fr-FR"/>
              </w:rPr>
              <w:t>2 (1.14%)</w:t>
            </w:r>
          </w:p>
        </w:tc>
        <w:tc>
          <w:tcPr>
            <w:tcW w:w="1701" w:type="dxa"/>
            <w:shd w:val="clear" w:color="auto" w:fill="auto"/>
            <w:noWrap/>
            <w:vAlign w:val="bottom"/>
          </w:tcPr>
          <w:p w14:paraId="7C0BCC13" w14:textId="2939F9B0" w:rsidR="00B80BEA" w:rsidRPr="00B80BEA" w:rsidRDefault="00B80BEA" w:rsidP="00B80BEA">
            <w:pPr>
              <w:spacing w:after="0" w:line="240" w:lineRule="auto"/>
              <w:jc w:val="center"/>
              <w:rPr>
                <w:rFonts w:eastAsia="Times New Roman" w:cs="Calibri"/>
                <w:bCs/>
                <w:color w:val="000000"/>
                <w:lang w:eastAsia="fr-FR"/>
              </w:rPr>
            </w:pPr>
            <w:r w:rsidRPr="00B80BEA">
              <w:rPr>
                <w:rFonts w:eastAsia="Times New Roman" w:cs="Calibri"/>
                <w:bCs/>
                <w:color w:val="000000"/>
                <w:lang w:eastAsia="fr-FR"/>
              </w:rPr>
              <w:t>2 (1.26%)</w:t>
            </w:r>
          </w:p>
        </w:tc>
        <w:tc>
          <w:tcPr>
            <w:tcW w:w="1701" w:type="dxa"/>
            <w:shd w:val="clear" w:color="auto" w:fill="auto"/>
            <w:noWrap/>
            <w:vAlign w:val="bottom"/>
          </w:tcPr>
          <w:p w14:paraId="6BA0F8B3" w14:textId="302C8FD5" w:rsidR="00B80BEA" w:rsidRPr="00B80BEA" w:rsidRDefault="00B80BEA" w:rsidP="00B80BEA">
            <w:pPr>
              <w:spacing w:after="0" w:line="240" w:lineRule="auto"/>
              <w:jc w:val="center"/>
              <w:rPr>
                <w:rFonts w:eastAsia="Times New Roman" w:cs="Calibri"/>
                <w:bCs/>
                <w:color w:val="000000"/>
                <w:lang w:eastAsia="fr-FR"/>
              </w:rPr>
            </w:pPr>
            <w:r w:rsidRPr="00B80BEA">
              <w:rPr>
                <w:rFonts w:eastAsia="Times New Roman" w:cs="Calibri"/>
                <w:bCs/>
                <w:color w:val="000000"/>
                <w:lang w:eastAsia="fr-FR"/>
              </w:rPr>
              <w:t>0 (0.00%)</w:t>
            </w:r>
          </w:p>
        </w:tc>
        <w:tc>
          <w:tcPr>
            <w:tcW w:w="1701" w:type="dxa"/>
            <w:shd w:val="clear" w:color="auto" w:fill="auto"/>
            <w:noWrap/>
            <w:vAlign w:val="bottom"/>
          </w:tcPr>
          <w:p w14:paraId="1971D85A" w14:textId="77777777" w:rsidR="00B80BEA" w:rsidRPr="00FA6C1D" w:rsidRDefault="00B80BEA" w:rsidP="00B80BEA">
            <w:pPr>
              <w:spacing w:after="0" w:line="240" w:lineRule="auto"/>
              <w:jc w:val="center"/>
              <w:rPr>
                <w:rFonts w:eastAsia="Times New Roman" w:cs="Calibri"/>
                <w:color w:val="000000"/>
                <w:lang w:eastAsia="fr-FR"/>
              </w:rPr>
            </w:pPr>
          </w:p>
        </w:tc>
        <w:tc>
          <w:tcPr>
            <w:tcW w:w="1083" w:type="dxa"/>
            <w:shd w:val="clear" w:color="auto" w:fill="auto"/>
            <w:noWrap/>
            <w:vAlign w:val="bottom"/>
          </w:tcPr>
          <w:p w14:paraId="3F85A8C5" w14:textId="77777777" w:rsidR="00B80BEA" w:rsidRPr="00FA6C1D" w:rsidRDefault="00B80BEA" w:rsidP="00B80BEA">
            <w:pPr>
              <w:spacing w:after="0" w:line="240" w:lineRule="auto"/>
              <w:jc w:val="center"/>
              <w:rPr>
                <w:rFonts w:eastAsia="Times New Roman" w:cs="Calibri"/>
                <w:color w:val="000000"/>
                <w:lang w:eastAsia="fr-FR"/>
              </w:rPr>
            </w:pPr>
          </w:p>
        </w:tc>
      </w:tr>
      <w:tr w:rsidR="00B80BEA" w:rsidRPr="00FA6C1D" w14:paraId="70AC05CB" w14:textId="77777777" w:rsidTr="00204207">
        <w:trPr>
          <w:trHeight w:val="300"/>
          <w:jc w:val="center"/>
        </w:trPr>
        <w:tc>
          <w:tcPr>
            <w:tcW w:w="2689" w:type="dxa"/>
            <w:shd w:val="clear" w:color="auto" w:fill="auto"/>
            <w:noWrap/>
            <w:vAlign w:val="center"/>
          </w:tcPr>
          <w:p w14:paraId="4E43D317" w14:textId="7178283D" w:rsidR="00B80BEA" w:rsidRPr="00D60130" w:rsidRDefault="00B80BEA" w:rsidP="00B80BEA">
            <w:pPr>
              <w:spacing w:after="0" w:line="240" w:lineRule="auto"/>
              <w:rPr>
                <w:rFonts w:eastAsia="Times New Roman" w:cs="Calibri"/>
                <w:b/>
                <w:bCs/>
                <w:color w:val="000000"/>
                <w:lang w:eastAsia="fr-FR"/>
              </w:rPr>
            </w:pPr>
            <w:r w:rsidRPr="00D60130">
              <w:rPr>
                <w:rFonts w:eastAsia="Times New Roman" w:cs="Calibri"/>
                <w:b/>
                <w:bCs/>
                <w:color w:val="000000"/>
                <w:lang w:eastAsia="fr-FR"/>
              </w:rPr>
              <w:t>ICU group</w:t>
            </w:r>
          </w:p>
        </w:tc>
        <w:tc>
          <w:tcPr>
            <w:tcW w:w="2414" w:type="dxa"/>
            <w:shd w:val="clear" w:color="auto" w:fill="auto"/>
            <w:noWrap/>
            <w:vAlign w:val="bottom"/>
          </w:tcPr>
          <w:p w14:paraId="1B060BA0" w14:textId="1F713B1F" w:rsidR="00B80BEA" w:rsidRPr="00FA6C1D" w:rsidRDefault="00B80BEA" w:rsidP="00B80BEA">
            <w:pPr>
              <w:spacing w:after="0" w:line="240" w:lineRule="auto"/>
              <w:jc w:val="center"/>
              <w:rPr>
                <w:rFonts w:eastAsia="Times New Roman" w:cs="Calibri"/>
                <w:color w:val="000000"/>
                <w:lang w:eastAsia="fr-FR"/>
              </w:rPr>
            </w:pPr>
          </w:p>
        </w:tc>
        <w:tc>
          <w:tcPr>
            <w:tcW w:w="1701" w:type="dxa"/>
            <w:shd w:val="clear" w:color="auto" w:fill="auto"/>
            <w:noWrap/>
            <w:vAlign w:val="bottom"/>
          </w:tcPr>
          <w:p w14:paraId="51F8ACAD" w14:textId="00B79F91" w:rsidR="00B80BEA" w:rsidRPr="00FA6C1D" w:rsidRDefault="00B80BEA" w:rsidP="00B80BEA">
            <w:pPr>
              <w:spacing w:after="0" w:line="240" w:lineRule="auto"/>
              <w:jc w:val="center"/>
              <w:rPr>
                <w:rFonts w:eastAsia="Times New Roman" w:cs="Calibri"/>
                <w:color w:val="000000"/>
                <w:lang w:eastAsia="fr-FR"/>
              </w:rPr>
            </w:pPr>
          </w:p>
        </w:tc>
        <w:tc>
          <w:tcPr>
            <w:tcW w:w="1701" w:type="dxa"/>
            <w:shd w:val="clear" w:color="auto" w:fill="auto"/>
            <w:noWrap/>
            <w:vAlign w:val="bottom"/>
          </w:tcPr>
          <w:p w14:paraId="4C05417D" w14:textId="395EB0F6" w:rsidR="00B80BEA" w:rsidRPr="00FA6C1D" w:rsidRDefault="00B80BEA" w:rsidP="00B80BEA">
            <w:pPr>
              <w:spacing w:after="0" w:line="240" w:lineRule="auto"/>
              <w:jc w:val="center"/>
              <w:rPr>
                <w:rFonts w:eastAsia="Times New Roman" w:cs="Calibri"/>
                <w:color w:val="000000"/>
                <w:lang w:eastAsia="fr-FR"/>
              </w:rPr>
            </w:pPr>
          </w:p>
        </w:tc>
        <w:tc>
          <w:tcPr>
            <w:tcW w:w="1701" w:type="dxa"/>
            <w:shd w:val="clear" w:color="auto" w:fill="auto"/>
            <w:noWrap/>
            <w:vAlign w:val="bottom"/>
          </w:tcPr>
          <w:p w14:paraId="00AE2DAF" w14:textId="77777777" w:rsidR="00B80BEA" w:rsidRPr="00FA6C1D" w:rsidRDefault="00B80BEA" w:rsidP="00B80BEA">
            <w:pPr>
              <w:spacing w:after="0" w:line="240" w:lineRule="auto"/>
              <w:jc w:val="center"/>
              <w:rPr>
                <w:rFonts w:eastAsia="Times New Roman" w:cs="Calibri"/>
                <w:color w:val="000000"/>
                <w:lang w:eastAsia="fr-FR"/>
              </w:rPr>
            </w:pPr>
          </w:p>
        </w:tc>
        <w:tc>
          <w:tcPr>
            <w:tcW w:w="1083" w:type="dxa"/>
            <w:shd w:val="clear" w:color="auto" w:fill="auto"/>
            <w:noWrap/>
            <w:vAlign w:val="bottom"/>
          </w:tcPr>
          <w:p w14:paraId="351B3AD0" w14:textId="77777777" w:rsidR="00B80BEA" w:rsidRPr="00FA6C1D" w:rsidRDefault="00B80BEA" w:rsidP="00B80BEA">
            <w:pPr>
              <w:spacing w:after="0" w:line="240" w:lineRule="auto"/>
              <w:jc w:val="center"/>
              <w:rPr>
                <w:rFonts w:eastAsia="Times New Roman" w:cs="Calibri"/>
                <w:color w:val="000000"/>
                <w:lang w:eastAsia="fr-FR"/>
              </w:rPr>
            </w:pPr>
          </w:p>
        </w:tc>
      </w:tr>
      <w:tr w:rsidR="008E087C" w:rsidRPr="00FA6C1D" w14:paraId="22C7FC92" w14:textId="77777777" w:rsidTr="001867C8">
        <w:trPr>
          <w:trHeight w:val="300"/>
          <w:jc w:val="center"/>
        </w:trPr>
        <w:tc>
          <w:tcPr>
            <w:tcW w:w="2689" w:type="dxa"/>
            <w:shd w:val="clear" w:color="auto" w:fill="auto"/>
            <w:noWrap/>
            <w:vAlign w:val="center"/>
          </w:tcPr>
          <w:p w14:paraId="68A7940F" w14:textId="65755491" w:rsidR="008E087C" w:rsidRPr="00FA6C1D" w:rsidRDefault="008E087C" w:rsidP="008E087C">
            <w:pPr>
              <w:spacing w:after="0" w:line="240" w:lineRule="auto"/>
              <w:jc w:val="right"/>
              <w:rPr>
                <w:rFonts w:eastAsia="Times New Roman" w:cs="Calibri"/>
                <w:color w:val="000000"/>
                <w:lang w:eastAsia="fr-FR"/>
              </w:rPr>
            </w:pPr>
            <w:r>
              <w:rPr>
                <w:rFonts w:eastAsia="Times New Roman" w:cs="Calibri"/>
                <w:color w:val="000000"/>
                <w:lang w:eastAsia="fr-FR"/>
              </w:rPr>
              <w:t xml:space="preserve">D 28 </w:t>
            </w:r>
            <w:proofErr w:type="spellStart"/>
            <w:r>
              <w:rPr>
                <w:rFonts w:eastAsia="Times New Roman" w:cs="Calibri"/>
                <w:color w:val="000000"/>
                <w:lang w:eastAsia="fr-FR"/>
              </w:rPr>
              <w:t>mortality</w:t>
            </w:r>
            <w:proofErr w:type="spellEnd"/>
          </w:p>
        </w:tc>
        <w:tc>
          <w:tcPr>
            <w:tcW w:w="2414" w:type="dxa"/>
            <w:shd w:val="clear" w:color="auto" w:fill="auto"/>
            <w:noWrap/>
            <w:vAlign w:val="center"/>
          </w:tcPr>
          <w:p w14:paraId="7FE7ED2B" w14:textId="28E7A6B3" w:rsidR="008E087C" w:rsidRPr="00FA6C1D" w:rsidRDefault="008E087C" w:rsidP="008E087C">
            <w:pPr>
              <w:spacing w:after="0" w:line="240" w:lineRule="auto"/>
              <w:jc w:val="center"/>
              <w:rPr>
                <w:rFonts w:eastAsia="Times New Roman" w:cs="Calibri"/>
                <w:color w:val="000000"/>
                <w:lang w:eastAsia="fr-FR"/>
              </w:rPr>
            </w:pPr>
            <w:r w:rsidRPr="00FA6C1D">
              <w:rPr>
                <w:rFonts w:eastAsia="Times New Roman" w:cs="Calibri"/>
                <w:color w:val="000000"/>
                <w:lang w:eastAsia="fr-FR"/>
              </w:rPr>
              <w:t>8 (3.00%)</w:t>
            </w:r>
          </w:p>
        </w:tc>
        <w:tc>
          <w:tcPr>
            <w:tcW w:w="1701" w:type="dxa"/>
            <w:shd w:val="clear" w:color="auto" w:fill="auto"/>
            <w:noWrap/>
            <w:vAlign w:val="center"/>
          </w:tcPr>
          <w:p w14:paraId="7F829622" w14:textId="59F2E9A2" w:rsidR="008E087C" w:rsidRPr="00FA6C1D" w:rsidRDefault="008E087C" w:rsidP="008E087C">
            <w:pPr>
              <w:spacing w:after="0" w:line="240" w:lineRule="auto"/>
              <w:jc w:val="center"/>
              <w:rPr>
                <w:rFonts w:eastAsia="Times New Roman" w:cs="Calibri"/>
                <w:color w:val="000000"/>
                <w:lang w:eastAsia="fr-FR"/>
              </w:rPr>
            </w:pPr>
            <w:r w:rsidRPr="00FA6C1D">
              <w:rPr>
                <w:rFonts w:eastAsia="Times New Roman" w:cs="Calibri"/>
                <w:color w:val="000000"/>
                <w:lang w:eastAsia="fr-FR"/>
              </w:rPr>
              <w:t>8 (3.31%)</w:t>
            </w:r>
          </w:p>
        </w:tc>
        <w:tc>
          <w:tcPr>
            <w:tcW w:w="1701" w:type="dxa"/>
            <w:shd w:val="clear" w:color="auto" w:fill="auto"/>
            <w:noWrap/>
            <w:vAlign w:val="center"/>
          </w:tcPr>
          <w:p w14:paraId="4FC69ECC" w14:textId="56F9C610" w:rsidR="008E087C" w:rsidRPr="00FA6C1D" w:rsidRDefault="008E087C" w:rsidP="008E087C">
            <w:pPr>
              <w:spacing w:after="0" w:line="240" w:lineRule="auto"/>
              <w:jc w:val="center"/>
              <w:rPr>
                <w:rFonts w:eastAsia="Times New Roman" w:cs="Calibri"/>
                <w:color w:val="000000"/>
                <w:lang w:eastAsia="fr-FR"/>
              </w:rPr>
            </w:pPr>
            <w:r w:rsidRPr="00FA6C1D">
              <w:rPr>
                <w:rFonts w:eastAsia="Times New Roman" w:cs="Calibri"/>
                <w:color w:val="000000"/>
                <w:lang w:eastAsia="fr-FR"/>
              </w:rPr>
              <w:t>0 (0.00%)</w:t>
            </w:r>
          </w:p>
        </w:tc>
        <w:tc>
          <w:tcPr>
            <w:tcW w:w="1701" w:type="dxa"/>
            <w:shd w:val="clear" w:color="auto" w:fill="auto"/>
            <w:noWrap/>
            <w:vAlign w:val="center"/>
          </w:tcPr>
          <w:p w14:paraId="11C6C91C" w14:textId="47304853" w:rsidR="008E087C" w:rsidRPr="00FA6C1D" w:rsidRDefault="008E087C" w:rsidP="008E087C">
            <w:pPr>
              <w:spacing w:after="0" w:line="240" w:lineRule="auto"/>
              <w:jc w:val="center"/>
              <w:rPr>
                <w:rFonts w:eastAsia="Times New Roman" w:cs="Calibri"/>
                <w:color w:val="000000"/>
                <w:lang w:eastAsia="fr-FR"/>
              </w:rPr>
            </w:pPr>
            <w:r w:rsidRPr="00FA6C1D">
              <w:rPr>
                <w:rFonts w:eastAsia="Times New Roman" w:cs="Calibri"/>
                <w:color w:val="000000"/>
                <w:lang w:eastAsia="fr-FR"/>
              </w:rPr>
              <w:t>1.00</w:t>
            </w:r>
          </w:p>
        </w:tc>
        <w:tc>
          <w:tcPr>
            <w:tcW w:w="1083" w:type="dxa"/>
            <w:shd w:val="clear" w:color="auto" w:fill="auto"/>
            <w:noWrap/>
            <w:vAlign w:val="bottom"/>
          </w:tcPr>
          <w:p w14:paraId="121DF836" w14:textId="2253834D" w:rsidR="008E087C" w:rsidRPr="00FA6C1D" w:rsidRDefault="008E087C" w:rsidP="008E087C">
            <w:pPr>
              <w:spacing w:after="0" w:line="240" w:lineRule="auto"/>
              <w:jc w:val="center"/>
              <w:rPr>
                <w:rFonts w:eastAsia="Times New Roman" w:cs="Calibri"/>
                <w:color w:val="000000"/>
                <w:lang w:eastAsia="fr-FR"/>
              </w:rPr>
            </w:pPr>
            <w:r w:rsidRPr="00FA6C1D">
              <w:rPr>
                <w:rFonts w:eastAsia="Times New Roman" w:cs="Calibri"/>
                <w:color w:val="000000"/>
                <w:lang w:eastAsia="fr-FR"/>
              </w:rPr>
              <w:t>&gt;0.99</w:t>
            </w:r>
          </w:p>
        </w:tc>
      </w:tr>
      <w:tr w:rsidR="00D44A4A" w:rsidRPr="00FA6C1D" w14:paraId="1D98D3A3" w14:textId="77777777" w:rsidTr="00477A91">
        <w:trPr>
          <w:trHeight w:val="300"/>
          <w:jc w:val="center"/>
        </w:trPr>
        <w:tc>
          <w:tcPr>
            <w:tcW w:w="2689" w:type="dxa"/>
            <w:shd w:val="clear" w:color="auto" w:fill="auto"/>
            <w:noWrap/>
            <w:vAlign w:val="center"/>
          </w:tcPr>
          <w:p w14:paraId="31BE5E87" w14:textId="6D6DD939" w:rsidR="00D44A4A" w:rsidRPr="00FA6C1D" w:rsidRDefault="00D44A4A" w:rsidP="00D44A4A">
            <w:pPr>
              <w:spacing w:after="0" w:line="240" w:lineRule="auto"/>
              <w:jc w:val="right"/>
              <w:rPr>
                <w:rFonts w:eastAsia="Times New Roman" w:cs="Calibri"/>
                <w:color w:val="000000"/>
                <w:lang w:eastAsia="fr-FR"/>
              </w:rPr>
            </w:pPr>
            <w:r>
              <w:rPr>
                <w:rFonts w:eastAsia="Times New Roman" w:cs="Calibri"/>
                <w:color w:val="000000"/>
                <w:lang w:eastAsia="fr-FR"/>
              </w:rPr>
              <w:t xml:space="preserve">ICU </w:t>
            </w:r>
            <w:proofErr w:type="spellStart"/>
            <w:r>
              <w:rPr>
                <w:rFonts w:eastAsia="Times New Roman" w:cs="Calibri"/>
                <w:color w:val="000000"/>
                <w:lang w:eastAsia="fr-FR"/>
              </w:rPr>
              <w:t>mortality</w:t>
            </w:r>
            <w:proofErr w:type="spellEnd"/>
          </w:p>
        </w:tc>
        <w:tc>
          <w:tcPr>
            <w:tcW w:w="2414" w:type="dxa"/>
            <w:shd w:val="clear" w:color="auto" w:fill="auto"/>
            <w:noWrap/>
            <w:vAlign w:val="center"/>
          </w:tcPr>
          <w:p w14:paraId="6F3D2CF1" w14:textId="6A240AFC"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248 (92.88%)</w:t>
            </w:r>
          </w:p>
        </w:tc>
        <w:tc>
          <w:tcPr>
            <w:tcW w:w="1701" w:type="dxa"/>
            <w:shd w:val="clear" w:color="auto" w:fill="auto"/>
            <w:noWrap/>
            <w:vAlign w:val="center"/>
          </w:tcPr>
          <w:p w14:paraId="18F219D5" w14:textId="03C6618F"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223 (92.15%)</w:t>
            </w:r>
          </w:p>
        </w:tc>
        <w:tc>
          <w:tcPr>
            <w:tcW w:w="1701" w:type="dxa"/>
            <w:shd w:val="clear" w:color="auto" w:fill="auto"/>
            <w:noWrap/>
            <w:vAlign w:val="center"/>
          </w:tcPr>
          <w:p w14:paraId="1AD5B2A9" w14:textId="6C994FA9"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25 (100.00%)</w:t>
            </w:r>
          </w:p>
        </w:tc>
        <w:tc>
          <w:tcPr>
            <w:tcW w:w="1701" w:type="dxa"/>
            <w:shd w:val="clear" w:color="auto" w:fill="auto"/>
            <w:noWrap/>
            <w:vAlign w:val="bottom"/>
          </w:tcPr>
          <w:p w14:paraId="1333AC4D" w14:textId="77777777" w:rsidR="00D44A4A" w:rsidRPr="00FA6C1D" w:rsidRDefault="00D44A4A" w:rsidP="00D44A4A">
            <w:pPr>
              <w:spacing w:after="0" w:line="240" w:lineRule="auto"/>
              <w:jc w:val="center"/>
              <w:rPr>
                <w:rFonts w:eastAsia="Times New Roman" w:cs="Calibri"/>
                <w:color w:val="000000"/>
                <w:lang w:eastAsia="fr-FR"/>
              </w:rPr>
            </w:pPr>
          </w:p>
        </w:tc>
        <w:tc>
          <w:tcPr>
            <w:tcW w:w="1083" w:type="dxa"/>
            <w:shd w:val="clear" w:color="auto" w:fill="auto"/>
            <w:noWrap/>
            <w:vAlign w:val="bottom"/>
          </w:tcPr>
          <w:p w14:paraId="4065D493" w14:textId="77777777" w:rsidR="00D44A4A" w:rsidRPr="00FA6C1D" w:rsidRDefault="00D44A4A" w:rsidP="00D44A4A">
            <w:pPr>
              <w:spacing w:after="0" w:line="240" w:lineRule="auto"/>
              <w:jc w:val="center"/>
              <w:rPr>
                <w:rFonts w:eastAsia="Times New Roman" w:cs="Calibri"/>
                <w:color w:val="000000"/>
                <w:lang w:eastAsia="fr-FR"/>
              </w:rPr>
            </w:pPr>
          </w:p>
        </w:tc>
      </w:tr>
      <w:tr w:rsidR="00D44A4A" w:rsidRPr="00FA6C1D" w14:paraId="4B21F6DE" w14:textId="77777777" w:rsidTr="0087779C">
        <w:trPr>
          <w:trHeight w:val="300"/>
          <w:jc w:val="center"/>
        </w:trPr>
        <w:tc>
          <w:tcPr>
            <w:tcW w:w="2689" w:type="dxa"/>
            <w:shd w:val="clear" w:color="auto" w:fill="auto"/>
            <w:noWrap/>
            <w:vAlign w:val="center"/>
          </w:tcPr>
          <w:p w14:paraId="1F21B0C5" w14:textId="414142E5" w:rsidR="00D44A4A" w:rsidRPr="00FA6C1D" w:rsidRDefault="00D44A4A" w:rsidP="00D44A4A">
            <w:pPr>
              <w:spacing w:after="0" w:line="240" w:lineRule="auto"/>
              <w:jc w:val="right"/>
              <w:rPr>
                <w:rFonts w:eastAsia="Times New Roman" w:cs="Calibri"/>
                <w:color w:val="000000"/>
                <w:lang w:eastAsia="fr-FR"/>
              </w:rPr>
            </w:pPr>
            <w:proofErr w:type="spellStart"/>
            <w:r>
              <w:rPr>
                <w:rFonts w:eastAsia="Times New Roman" w:cs="Calibri"/>
                <w:color w:val="000000"/>
                <w:lang w:eastAsia="fr-FR"/>
              </w:rPr>
              <w:t>Hospital</w:t>
            </w:r>
            <w:proofErr w:type="spellEnd"/>
            <w:r>
              <w:rPr>
                <w:rFonts w:eastAsia="Times New Roman" w:cs="Calibri"/>
                <w:color w:val="000000"/>
                <w:lang w:eastAsia="fr-FR"/>
              </w:rPr>
              <w:t xml:space="preserve"> </w:t>
            </w:r>
            <w:proofErr w:type="spellStart"/>
            <w:r>
              <w:rPr>
                <w:rFonts w:eastAsia="Times New Roman" w:cs="Calibri"/>
                <w:color w:val="000000"/>
                <w:lang w:eastAsia="fr-FR"/>
              </w:rPr>
              <w:t>mortality</w:t>
            </w:r>
            <w:proofErr w:type="spellEnd"/>
          </w:p>
        </w:tc>
        <w:tc>
          <w:tcPr>
            <w:tcW w:w="2414" w:type="dxa"/>
            <w:shd w:val="clear" w:color="auto" w:fill="auto"/>
            <w:noWrap/>
            <w:vAlign w:val="center"/>
          </w:tcPr>
          <w:p w14:paraId="6A87254B" w14:textId="611FFE6C"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267 (27.13%)</w:t>
            </w:r>
          </w:p>
        </w:tc>
        <w:tc>
          <w:tcPr>
            <w:tcW w:w="1701" w:type="dxa"/>
            <w:shd w:val="clear" w:color="auto" w:fill="auto"/>
            <w:noWrap/>
            <w:vAlign w:val="center"/>
          </w:tcPr>
          <w:p w14:paraId="5DAEA322" w14:textId="237051C6"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242 (27.75%)</w:t>
            </w:r>
          </w:p>
        </w:tc>
        <w:tc>
          <w:tcPr>
            <w:tcW w:w="1701" w:type="dxa"/>
            <w:shd w:val="clear" w:color="auto" w:fill="auto"/>
            <w:noWrap/>
            <w:vAlign w:val="center"/>
          </w:tcPr>
          <w:p w14:paraId="0FB536FB" w14:textId="26FDD8EC"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25 (22.32%)</w:t>
            </w:r>
          </w:p>
        </w:tc>
        <w:tc>
          <w:tcPr>
            <w:tcW w:w="1701" w:type="dxa"/>
            <w:shd w:val="clear" w:color="auto" w:fill="auto"/>
            <w:noWrap/>
            <w:vAlign w:val="center"/>
          </w:tcPr>
          <w:p w14:paraId="360AF6AD" w14:textId="73778DDA"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0.75 [0.47;1.20]</w:t>
            </w:r>
          </w:p>
        </w:tc>
        <w:tc>
          <w:tcPr>
            <w:tcW w:w="1083" w:type="dxa"/>
            <w:shd w:val="clear" w:color="auto" w:fill="auto"/>
            <w:noWrap/>
            <w:vAlign w:val="bottom"/>
          </w:tcPr>
          <w:p w14:paraId="5DA62D3A" w14:textId="6153CB7E"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0.22</w:t>
            </w:r>
          </w:p>
        </w:tc>
      </w:tr>
      <w:tr w:rsidR="00D44A4A" w:rsidRPr="00FA6C1D" w14:paraId="57F298AF" w14:textId="77777777" w:rsidTr="003F0B21">
        <w:trPr>
          <w:trHeight w:val="300"/>
          <w:jc w:val="center"/>
        </w:trPr>
        <w:tc>
          <w:tcPr>
            <w:tcW w:w="2689" w:type="dxa"/>
            <w:shd w:val="clear" w:color="auto" w:fill="auto"/>
            <w:noWrap/>
            <w:vAlign w:val="center"/>
          </w:tcPr>
          <w:p w14:paraId="7056FC57" w14:textId="7FB02BD8" w:rsidR="00D44A4A" w:rsidRPr="00FA6C1D" w:rsidRDefault="00D44A4A" w:rsidP="00D44A4A">
            <w:pPr>
              <w:spacing w:after="0" w:line="240" w:lineRule="auto"/>
              <w:jc w:val="right"/>
              <w:rPr>
                <w:rFonts w:eastAsia="Times New Roman" w:cs="Calibri"/>
                <w:color w:val="000000"/>
                <w:lang w:eastAsia="fr-FR"/>
              </w:rPr>
            </w:pPr>
            <w:r>
              <w:rPr>
                <w:rFonts w:eastAsia="Times New Roman" w:cs="Calibri"/>
                <w:color w:val="000000"/>
                <w:lang w:eastAsia="fr-FR"/>
              </w:rPr>
              <w:t xml:space="preserve">Day 90 </w:t>
            </w:r>
            <w:proofErr w:type="spellStart"/>
            <w:r>
              <w:rPr>
                <w:rFonts w:eastAsia="Times New Roman" w:cs="Calibri"/>
                <w:color w:val="000000"/>
                <w:lang w:eastAsia="fr-FR"/>
              </w:rPr>
              <w:t>mortality</w:t>
            </w:r>
            <w:proofErr w:type="spellEnd"/>
          </w:p>
        </w:tc>
        <w:tc>
          <w:tcPr>
            <w:tcW w:w="2414" w:type="dxa"/>
            <w:shd w:val="clear" w:color="auto" w:fill="auto"/>
            <w:noWrap/>
            <w:vAlign w:val="center"/>
          </w:tcPr>
          <w:p w14:paraId="541B840D" w14:textId="1AC4D02F"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4 (1.50%)</w:t>
            </w:r>
          </w:p>
        </w:tc>
        <w:tc>
          <w:tcPr>
            <w:tcW w:w="1701" w:type="dxa"/>
            <w:shd w:val="clear" w:color="auto" w:fill="auto"/>
            <w:noWrap/>
            <w:vAlign w:val="center"/>
          </w:tcPr>
          <w:p w14:paraId="3EA5B686" w14:textId="0B736080"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4 (1.65%)</w:t>
            </w:r>
          </w:p>
        </w:tc>
        <w:tc>
          <w:tcPr>
            <w:tcW w:w="1701" w:type="dxa"/>
            <w:shd w:val="clear" w:color="auto" w:fill="auto"/>
            <w:noWrap/>
            <w:vAlign w:val="center"/>
          </w:tcPr>
          <w:p w14:paraId="7657F750" w14:textId="6449B9EB" w:rsidR="00D44A4A" w:rsidRPr="00FA6C1D" w:rsidRDefault="00D44A4A" w:rsidP="00D44A4A">
            <w:pPr>
              <w:spacing w:after="0" w:line="240" w:lineRule="auto"/>
              <w:jc w:val="center"/>
              <w:rPr>
                <w:rFonts w:eastAsia="Times New Roman" w:cs="Calibri"/>
                <w:color w:val="000000"/>
                <w:lang w:eastAsia="fr-FR"/>
              </w:rPr>
            </w:pPr>
            <w:r w:rsidRPr="00FA6C1D">
              <w:rPr>
                <w:rFonts w:eastAsia="Times New Roman" w:cs="Calibri"/>
                <w:color w:val="000000"/>
                <w:lang w:eastAsia="fr-FR"/>
              </w:rPr>
              <w:t>0 (0.00%)</w:t>
            </w:r>
          </w:p>
        </w:tc>
        <w:tc>
          <w:tcPr>
            <w:tcW w:w="1701" w:type="dxa"/>
            <w:shd w:val="clear" w:color="auto" w:fill="auto"/>
            <w:noWrap/>
            <w:vAlign w:val="bottom"/>
          </w:tcPr>
          <w:p w14:paraId="27B7A097" w14:textId="77777777" w:rsidR="00D44A4A" w:rsidRPr="00FA6C1D" w:rsidRDefault="00D44A4A" w:rsidP="00D44A4A">
            <w:pPr>
              <w:spacing w:after="0" w:line="240" w:lineRule="auto"/>
              <w:jc w:val="center"/>
              <w:rPr>
                <w:rFonts w:eastAsia="Times New Roman" w:cs="Calibri"/>
                <w:color w:val="000000"/>
                <w:lang w:eastAsia="fr-FR"/>
              </w:rPr>
            </w:pPr>
          </w:p>
        </w:tc>
        <w:tc>
          <w:tcPr>
            <w:tcW w:w="1083" w:type="dxa"/>
            <w:shd w:val="clear" w:color="auto" w:fill="auto"/>
            <w:noWrap/>
            <w:vAlign w:val="bottom"/>
          </w:tcPr>
          <w:p w14:paraId="4A988351" w14:textId="77777777" w:rsidR="00D44A4A" w:rsidRPr="00FA6C1D" w:rsidRDefault="00D44A4A" w:rsidP="00D44A4A">
            <w:pPr>
              <w:spacing w:after="0" w:line="240" w:lineRule="auto"/>
              <w:jc w:val="center"/>
              <w:rPr>
                <w:rFonts w:eastAsia="Times New Roman" w:cs="Calibri"/>
                <w:color w:val="000000"/>
                <w:lang w:eastAsia="fr-FR"/>
              </w:rPr>
            </w:pPr>
          </w:p>
        </w:tc>
      </w:tr>
    </w:tbl>
    <w:p w14:paraId="2144A2DD" w14:textId="77777777" w:rsidR="0062729B" w:rsidRDefault="0062729B">
      <w:pPr>
        <w:rPr>
          <w:lang w:val="en-US"/>
        </w:rPr>
      </w:pPr>
    </w:p>
    <w:p w14:paraId="7371458E" w14:textId="77777777" w:rsidR="0062729B" w:rsidRDefault="0062729B">
      <w:pPr>
        <w:rPr>
          <w:lang w:val="en-US"/>
        </w:rPr>
      </w:pPr>
    </w:p>
    <w:p w14:paraId="4CC106DA" w14:textId="77777777" w:rsidR="0062729B" w:rsidRDefault="0062729B">
      <w:pPr>
        <w:rPr>
          <w:lang w:val="en-US"/>
        </w:rPr>
      </w:pPr>
      <w:r>
        <w:rPr>
          <w:lang w:val="en-US"/>
        </w:rPr>
        <w:br w:type="page"/>
      </w:r>
    </w:p>
    <w:p w14:paraId="3FAE905D" w14:textId="74D700F8" w:rsidR="00FF4DAA" w:rsidRDefault="0062729B">
      <w:pPr>
        <w:rPr>
          <w:lang w:val="en-US"/>
        </w:rPr>
      </w:pPr>
      <w:r w:rsidRPr="00A93316">
        <w:rPr>
          <w:u w:val="single"/>
          <w:lang w:val="en-US"/>
        </w:rPr>
        <w:lastRenderedPageBreak/>
        <w:t xml:space="preserve">Supplementary table </w:t>
      </w:r>
      <w:r w:rsidR="00441F1D">
        <w:rPr>
          <w:u w:val="single"/>
          <w:lang w:val="en-US"/>
        </w:rPr>
        <w:t>8</w:t>
      </w:r>
      <w:r>
        <w:rPr>
          <w:lang w:val="en-US"/>
        </w:rPr>
        <w:t xml:space="preserve">: infectious complications </w:t>
      </w:r>
      <w:r w:rsidR="00FF4DAA">
        <w:rPr>
          <w:lang w:val="en-US"/>
        </w:rPr>
        <w:t xml:space="preserve">in the “ward group”: </w:t>
      </w:r>
      <w:proofErr w:type="spellStart"/>
      <w:r w:rsidR="00FF4DAA">
        <w:rPr>
          <w:lang w:val="en-US"/>
        </w:rPr>
        <w:t>Tocilizumab</w:t>
      </w:r>
      <w:proofErr w:type="spellEnd"/>
      <w:r w:rsidR="00FF4DAA">
        <w:rPr>
          <w:lang w:val="en-US"/>
        </w:rPr>
        <w:t xml:space="preserve"> versus absence of </w:t>
      </w:r>
      <w:proofErr w:type="spellStart"/>
      <w:r w:rsidR="00FF4DAA">
        <w:rPr>
          <w:lang w:val="en-US"/>
        </w:rPr>
        <w:t>Tocilizumab</w:t>
      </w:r>
      <w:proofErr w:type="spellEnd"/>
    </w:p>
    <w:tbl>
      <w:tblPr>
        <w:tblW w:w="1106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857"/>
      </w:tblGrid>
      <w:tr w:rsidR="00FF4DAA" w:rsidRPr="009B46ED" w14:paraId="539C0E32" w14:textId="77777777" w:rsidTr="009906BB">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3D404C4F" w14:textId="77777777" w:rsidR="00FF4DAA" w:rsidRPr="00013731" w:rsidRDefault="00FF4DAA" w:rsidP="009906BB">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66BC5767" w14:textId="77777777" w:rsidR="00FF4DAA" w:rsidRPr="009B46ED" w:rsidRDefault="00FF4DAA"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Total (N=1603)</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6271E90D" w14:textId="19CBE826" w:rsidR="00FF4DAA" w:rsidRPr="009B46ED" w:rsidRDefault="00FF4DAA" w:rsidP="009906BB">
            <w:pPr>
              <w:spacing w:after="0" w:line="240" w:lineRule="auto"/>
              <w:jc w:val="center"/>
              <w:rPr>
                <w:rFonts w:eastAsia="Times New Roman" w:cs="Calibri"/>
                <w:color w:val="000000"/>
                <w:lang w:eastAsia="fr-FR"/>
              </w:rPr>
            </w:pPr>
            <w:r>
              <w:rPr>
                <w:rFonts w:eastAsia="Times New Roman" w:cs="Calibri"/>
                <w:color w:val="000000"/>
                <w:lang w:eastAsia="fr-FR"/>
              </w:rPr>
              <w:t>No</w:t>
            </w:r>
            <w:r w:rsidRPr="009B46ED">
              <w:rPr>
                <w:rFonts w:eastAsia="Times New Roman" w:cs="Calibri"/>
                <w:color w:val="000000"/>
                <w:lang w:eastAsia="fr-FR"/>
              </w:rPr>
              <w:t xml:space="preserve"> </w:t>
            </w:r>
            <w:proofErr w:type="spellStart"/>
            <w:r>
              <w:rPr>
                <w:rFonts w:eastAsia="Times New Roman" w:cs="Calibri"/>
                <w:color w:val="000000"/>
                <w:lang w:eastAsia="fr-FR"/>
              </w:rPr>
              <w:t>T</w:t>
            </w:r>
            <w:r w:rsidRPr="009B46ED">
              <w:rPr>
                <w:rFonts w:eastAsia="Times New Roman" w:cs="Calibri"/>
                <w:color w:val="000000"/>
                <w:lang w:eastAsia="fr-FR"/>
              </w:rPr>
              <w:t>ocilizumab</w:t>
            </w:r>
            <w:proofErr w:type="spellEnd"/>
            <w:r w:rsidRPr="009B46ED">
              <w:rPr>
                <w:rFonts w:eastAsia="Times New Roman" w:cs="Calibri"/>
                <w:color w:val="000000"/>
                <w:lang w:eastAsia="fr-FR"/>
              </w:rPr>
              <w:t xml:space="preserve"> (N=1523)</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4706815F" w14:textId="77777777" w:rsidR="00FF4DAA" w:rsidRPr="009B46ED" w:rsidRDefault="00FF4DAA" w:rsidP="009906BB">
            <w:pPr>
              <w:spacing w:after="0" w:line="240" w:lineRule="auto"/>
              <w:jc w:val="center"/>
              <w:rPr>
                <w:rFonts w:eastAsia="Times New Roman" w:cs="Calibri"/>
                <w:color w:val="000000"/>
                <w:lang w:eastAsia="fr-FR"/>
              </w:rPr>
            </w:pPr>
            <w:proofErr w:type="spellStart"/>
            <w:r w:rsidRPr="009B46ED">
              <w:rPr>
                <w:rFonts w:eastAsia="Times New Roman" w:cs="Calibri"/>
                <w:color w:val="000000"/>
                <w:lang w:eastAsia="fr-FR"/>
              </w:rPr>
              <w:t>Tocilizumab</w:t>
            </w:r>
            <w:proofErr w:type="spellEnd"/>
            <w:r w:rsidRPr="009B46ED">
              <w:rPr>
                <w:rFonts w:eastAsia="Times New Roman" w:cs="Calibri"/>
                <w:color w:val="000000"/>
                <w:lang w:eastAsia="fr-FR"/>
              </w:rPr>
              <w:t xml:space="preserve"> (N=80)</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5F9DF7B2" w14:textId="77777777" w:rsidR="00FF4DAA" w:rsidRPr="009B46ED" w:rsidRDefault="00FF4DAA"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OR [IC95%]</w:t>
            </w:r>
          </w:p>
        </w:tc>
        <w:tc>
          <w:tcPr>
            <w:tcW w:w="857" w:type="dxa"/>
            <w:tcBorders>
              <w:top w:val="single" w:sz="4" w:space="0" w:color="auto"/>
              <w:bottom w:val="single" w:sz="4" w:space="0" w:color="auto"/>
            </w:tcBorders>
            <w:shd w:val="clear" w:color="auto" w:fill="D9D9D9" w:themeFill="background1" w:themeFillShade="D9"/>
            <w:noWrap/>
            <w:vAlign w:val="bottom"/>
            <w:hideMark/>
          </w:tcPr>
          <w:p w14:paraId="4A344DDE" w14:textId="77777777" w:rsidR="00FF4DAA" w:rsidRPr="009B46ED" w:rsidRDefault="00FF4DAA"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p</w:t>
            </w:r>
          </w:p>
        </w:tc>
      </w:tr>
      <w:tr w:rsidR="00AA05F0" w:rsidRPr="009B46ED" w14:paraId="48E5EB32" w14:textId="77777777" w:rsidTr="009906BB">
        <w:trPr>
          <w:trHeight w:val="300"/>
          <w:jc w:val="center"/>
        </w:trPr>
        <w:tc>
          <w:tcPr>
            <w:tcW w:w="3402" w:type="dxa"/>
            <w:tcBorders>
              <w:top w:val="single" w:sz="4" w:space="0" w:color="auto"/>
            </w:tcBorders>
            <w:shd w:val="clear" w:color="auto" w:fill="auto"/>
            <w:noWrap/>
            <w:vAlign w:val="center"/>
            <w:hideMark/>
          </w:tcPr>
          <w:p w14:paraId="24D9781F" w14:textId="7EA945BB" w:rsidR="00AA05F0" w:rsidRPr="009B46ED" w:rsidRDefault="00AA05F0" w:rsidP="00AA05F0">
            <w:pPr>
              <w:spacing w:after="0" w:line="240" w:lineRule="auto"/>
              <w:rPr>
                <w:rFonts w:eastAsia="Times New Roman" w:cs="Calibri"/>
                <w:b/>
                <w:color w:val="000000"/>
                <w:lang w:eastAsia="fr-FR"/>
              </w:rPr>
            </w:pPr>
            <w:r>
              <w:rPr>
                <w:rFonts w:eastAsia="Times New Roman" w:cs="Calibri"/>
                <w:b/>
                <w:color w:val="000000"/>
                <w:lang w:eastAsia="fr-FR"/>
              </w:rPr>
              <w:t xml:space="preserve">Infection </w:t>
            </w:r>
            <w:proofErr w:type="spellStart"/>
            <w:r>
              <w:rPr>
                <w:rFonts w:eastAsia="Times New Roman" w:cs="Calibri"/>
                <w:b/>
                <w:color w:val="000000"/>
                <w:lang w:eastAsia="fr-FR"/>
              </w:rPr>
              <w:t>during</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hospital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stay</w:t>
            </w:r>
            <w:proofErr w:type="spellEnd"/>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45E1FC93" w14:textId="73340C71"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97 (6.05%)</w:t>
            </w:r>
          </w:p>
        </w:tc>
        <w:tc>
          <w:tcPr>
            <w:tcW w:w="1701" w:type="dxa"/>
            <w:tcBorders>
              <w:top w:val="single" w:sz="4" w:space="0" w:color="auto"/>
            </w:tcBorders>
            <w:shd w:val="clear" w:color="auto" w:fill="auto"/>
            <w:noWrap/>
            <w:vAlign w:val="bottom"/>
            <w:hideMark/>
          </w:tcPr>
          <w:p w14:paraId="09A37FE7" w14:textId="2ECE37B3"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88 (5.78%)</w:t>
            </w:r>
          </w:p>
        </w:tc>
        <w:tc>
          <w:tcPr>
            <w:tcW w:w="1701" w:type="dxa"/>
            <w:tcBorders>
              <w:top w:val="single" w:sz="4" w:space="0" w:color="auto"/>
            </w:tcBorders>
            <w:shd w:val="clear" w:color="auto" w:fill="auto"/>
            <w:noWrap/>
            <w:vAlign w:val="bottom"/>
            <w:hideMark/>
          </w:tcPr>
          <w:p w14:paraId="606E74FE" w14:textId="383B900A"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9 (11.25%)</w:t>
            </w:r>
          </w:p>
        </w:tc>
        <w:tc>
          <w:tcPr>
            <w:tcW w:w="1701" w:type="dxa"/>
            <w:tcBorders>
              <w:top w:val="single" w:sz="4" w:space="0" w:color="auto"/>
            </w:tcBorders>
            <w:shd w:val="clear" w:color="auto" w:fill="auto"/>
            <w:noWrap/>
            <w:vAlign w:val="bottom"/>
            <w:hideMark/>
          </w:tcPr>
          <w:p w14:paraId="088B1755" w14:textId="6011AA72"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2.07 [1.00;4.27]</w:t>
            </w:r>
          </w:p>
        </w:tc>
        <w:tc>
          <w:tcPr>
            <w:tcW w:w="857" w:type="dxa"/>
            <w:tcBorders>
              <w:top w:val="single" w:sz="4" w:space="0" w:color="auto"/>
            </w:tcBorders>
            <w:shd w:val="clear" w:color="auto" w:fill="auto"/>
            <w:noWrap/>
            <w:vAlign w:val="bottom"/>
            <w:hideMark/>
          </w:tcPr>
          <w:p w14:paraId="5B0AD04C" w14:textId="6B86E853"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0.05</w:t>
            </w:r>
          </w:p>
        </w:tc>
      </w:tr>
      <w:tr w:rsidR="00AA05F0" w:rsidRPr="009B46ED" w14:paraId="33C57954" w14:textId="77777777" w:rsidTr="009906BB">
        <w:trPr>
          <w:trHeight w:val="300"/>
          <w:jc w:val="center"/>
        </w:trPr>
        <w:tc>
          <w:tcPr>
            <w:tcW w:w="3402" w:type="dxa"/>
            <w:shd w:val="clear" w:color="auto" w:fill="auto"/>
            <w:noWrap/>
            <w:vAlign w:val="center"/>
            <w:hideMark/>
          </w:tcPr>
          <w:p w14:paraId="2BBD420C" w14:textId="3BE136FA" w:rsidR="00AA05F0" w:rsidRPr="009B46ED" w:rsidRDefault="00AA05F0" w:rsidP="00AA05F0">
            <w:pPr>
              <w:spacing w:after="0" w:line="240" w:lineRule="auto"/>
              <w:rPr>
                <w:rFonts w:eastAsia="Times New Roman" w:cs="Calibri"/>
                <w:b/>
                <w:color w:val="000000"/>
                <w:lang w:eastAsia="fr-FR"/>
              </w:rPr>
            </w:pPr>
            <w:proofErr w:type="spellStart"/>
            <w:r>
              <w:rPr>
                <w:rFonts w:eastAsia="Times New Roman" w:cs="Calibri"/>
                <w:b/>
                <w:color w:val="000000"/>
                <w:lang w:eastAsia="fr-FR"/>
              </w:rPr>
              <w:t>Fungal</w:t>
            </w:r>
            <w:proofErr w:type="spellEnd"/>
            <w:r>
              <w:rPr>
                <w:rFonts w:eastAsia="Times New Roman" w:cs="Calibri"/>
                <w:b/>
                <w:color w:val="000000"/>
                <w:lang w:eastAsia="fr-FR"/>
              </w:rPr>
              <w:t xml:space="preserve"> infection </w:t>
            </w:r>
          </w:p>
        </w:tc>
        <w:tc>
          <w:tcPr>
            <w:tcW w:w="1701" w:type="dxa"/>
            <w:shd w:val="clear" w:color="auto" w:fill="auto"/>
            <w:noWrap/>
            <w:vAlign w:val="bottom"/>
            <w:hideMark/>
          </w:tcPr>
          <w:p w14:paraId="169B80E2" w14:textId="13F03FAD"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2 (0.12%)</w:t>
            </w:r>
          </w:p>
        </w:tc>
        <w:tc>
          <w:tcPr>
            <w:tcW w:w="1701" w:type="dxa"/>
            <w:shd w:val="clear" w:color="auto" w:fill="auto"/>
            <w:noWrap/>
            <w:vAlign w:val="bottom"/>
            <w:hideMark/>
          </w:tcPr>
          <w:p w14:paraId="66AC0C41" w14:textId="02C78F04"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2 (0.13%)</w:t>
            </w:r>
          </w:p>
        </w:tc>
        <w:tc>
          <w:tcPr>
            <w:tcW w:w="1701" w:type="dxa"/>
            <w:shd w:val="clear" w:color="auto" w:fill="auto"/>
            <w:noWrap/>
            <w:vAlign w:val="bottom"/>
            <w:hideMark/>
          </w:tcPr>
          <w:p w14:paraId="715F159E" w14:textId="3CC644A6"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 (0.00%)</w:t>
            </w:r>
          </w:p>
        </w:tc>
        <w:tc>
          <w:tcPr>
            <w:tcW w:w="1701" w:type="dxa"/>
            <w:shd w:val="clear" w:color="auto" w:fill="auto"/>
            <w:noWrap/>
            <w:vAlign w:val="bottom"/>
            <w:hideMark/>
          </w:tcPr>
          <w:p w14:paraId="67CD3FD6" w14:textId="1D4476FD"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w:t>
            </w:r>
          </w:p>
        </w:tc>
        <w:tc>
          <w:tcPr>
            <w:tcW w:w="857" w:type="dxa"/>
            <w:shd w:val="clear" w:color="auto" w:fill="auto"/>
            <w:noWrap/>
            <w:vAlign w:val="bottom"/>
            <w:hideMark/>
          </w:tcPr>
          <w:p w14:paraId="4816F518" w14:textId="6EB16792"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&gt;0.99</w:t>
            </w:r>
          </w:p>
        </w:tc>
      </w:tr>
      <w:tr w:rsidR="00AA05F0" w:rsidRPr="009B46ED" w14:paraId="09242E23" w14:textId="77777777" w:rsidTr="00AA05F0">
        <w:trPr>
          <w:trHeight w:val="300"/>
          <w:jc w:val="center"/>
        </w:trPr>
        <w:tc>
          <w:tcPr>
            <w:tcW w:w="3402" w:type="dxa"/>
            <w:shd w:val="clear" w:color="auto" w:fill="auto"/>
            <w:noWrap/>
            <w:vAlign w:val="center"/>
            <w:hideMark/>
          </w:tcPr>
          <w:p w14:paraId="3BC6C294" w14:textId="584F7602" w:rsidR="00AA05F0" w:rsidRPr="009B46ED" w:rsidRDefault="00AA05F0" w:rsidP="00AA05F0">
            <w:pPr>
              <w:spacing w:after="0" w:line="240" w:lineRule="auto"/>
              <w:rPr>
                <w:rFonts w:eastAsia="Times New Roman" w:cs="Calibri"/>
                <w:b/>
                <w:color w:val="000000"/>
                <w:lang w:eastAsia="fr-FR"/>
              </w:rPr>
            </w:pPr>
            <w:r>
              <w:rPr>
                <w:rFonts w:eastAsia="Times New Roman" w:cs="Calibri"/>
                <w:b/>
                <w:color w:val="000000"/>
                <w:lang w:eastAsia="fr-FR"/>
              </w:rPr>
              <w:t xml:space="preserve">Viral infection </w:t>
            </w:r>
          </w:p>
        </w:tc>
        <w:tc>
          <w:tcPr>
            <w:tcW w:w="1701" w:type="dxa"/>
            <w:shd w:val="clear" w:color="auto" w:fill="auto"/>
            <w:noWrap/>
            <w:vAlign w:val="bottom"/>
          </w:tcPr>
          <w:p w14:paraId="5323844D" w14:textId="3E1127D4"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 (0.06%)</w:t>
            </w:r>
          </w:p>
        </w:tc>
        <w:tc>
          <w:tcPr>
            <w:tcW w:w="1701" w:type="dxa"/>
            <w:shd w:val="clear" w:color="auto" w:fill="auto"/>
            <w:noWrap/>
            <w:vAlign w:val="bottom"/>
          </w:tcPr>
          <w:p w14:paraId="14976454" w14:textId="3331C848"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 (0.00%)</w:t>
            </w:r>
          </w:p>
        </w:tc>
        <w:tc>
          <w:tcPr>
            <w:tcW w:w="1701" w:type="dxa"/>
            <w:shd w:val="clear" w:color="auto" w:fill="auto"/>
            <w:noWrap/>
            <w:vAlign w:val="bottom"/>
          </w:tcPr>
          <w:p w14:paraId="0EF0A2A4" w14:textId="17DD4AF3"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 (1.25%)</w:t>
            </w:r>
          </w:p>
        </w:tc>
        <w:tc>
          <w:tcPr>
            <w:tcW w:w="1701" w:type="dxa"/>
            <w:shd w:val="clear" w:color="auto" w:fill="auto"/>
            <w:noWrap/>
            <w:vAlign w:val="bottom"/>
          </w:tcPr>
          <w:p w14:paraId="409C22ED" w14:textId="77777777" w:rsidR="00AA05F0" w:rsidRPr="009B46ED" w:rsidRDefault="00AA05F0" w:rsidP="00AA05F0">
            <w:pPr>
              <w:spacing w:after="0" w:line="240" w:lineRule="auto"/>
              <w:rPr>
                <w:rFonts w:eastAsia="Times New Roman" w:cs="Calibri"/>
                <w:b/>
                <w:color w:val="000000"/>
                <w:lang w:eastAsia="fr-FR"/>
              </w:rPr>
            </w:pPr>
          </w:p>
        </w:tc>
        <w:tc>
          <w:tcPr>
            <w:tcW w:w="857" w:type="dxa"/>
            <w:shd w:val="clear" w:color="auto" w:fill="auto"/>
            <w:noWrap/>
            <w:vAlign w:val="bottom"/>
            <w:hideMark/>
          </w:tcPr>
          <w:p w14:paraId="40F4C486" w14:textId="21A12323"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0.0499</w:t>
            </w:r>
          </w:p>
        </w:tc>
      </w:tr>
      <w:tr w:rsidR="00AA05F0" w:rsidRPr="00BA4B87" w14:paraId="031C5AEA" w14:textId="77777777" w:rsidTr="009906BB">
        <w:trPr>
          <w:trHeight w:val="300"/>
          <w:jc w:val="center"/>
        </w:trPr>
        <w:tc>
          <w:tcPr>
            <w:tcW w:w="3402" w:type="dxa"/>
            <w:shd w:val="clear" w:color="auto" w:fill="auto"/>
            <w:noWrap/>
            <w:vAlign w:val="center"/>
            <w:hideMark/>
          </w:tcPr>
          <w:p w14:paraId="7AD4CAB9" w14:textId="506D0A8B" w:rsidR="00AA05F0" w:rsidRPr="00BA4B87" w:rsidRDefault="00AA05F0" w:rsidP="00AA05F0">
            <w:pPr>
              <w:spacing w:after="0" w:line="240" w:lineRule="auto"/>
              <w:rPr>
                <w:rFonts w:eastAsia="Times New Roman" w:cs="Calibri"/>
                <w:b/>
                <w:color w:val="000000"/>
                <w:lang w:val="en-US" w:eastAsia="fr-FR"/>
              </w:rPr>
            </w:pPr>
            <w:r w:rsidRPr="00BA4B87">
              <w:rPr>
                <w:rFonts w:eastAsia="Times New Roman" w:cs="Calibri"/>
                <w:b/>
                <w:color w:val="000000"/>
                <w:lang w:val="en-US" w:eastAsia="fr-FR"/>
              </w:rPr>
              <w:t xml:space="preserve">Number of infectious episode (N=95) </w:t>
            </w:r>
            <w:r w:rsidRPr="00BA4B87">
              <w:rPr>
                <w:rFonts w:eastAsia="Times New Roman" w:cs="Calibri"/>
                <w:color w:val="000000"/>
                <w:lang w:val="en-US" w:eastAsia="fr-FR"/>
              </w:rPr>
              <w:t>Mean (SD)</w:t>
            </w:r>
          </w:p>
        </w:tc>
        <w:tc>
          <w:tcPr>
            <w:tcW w:w="1701" w:type="dxa"/>
            <w:shd w:val="clear" w:color="auto" w:fill="auto"/>
            <w:noWrap/>
            <w:vAlign w:val="bottom"/>
            <w:hideMark/>
          </w:tcPr>
          <w:p w14:paraId="507206A8" w14:textId="70D57DAE" w:rsidR="00AA05F0" w:rsidRPr="00BA4B87" w:rsidRDefault="00AA05F0" w:rsidP="00AA05F0">
            <w:pPr>
              <w:spacing w:after="0" w:line="240" w:lineRule="auto"/>
              <w:rPr>
                <w:rFonts w:eastAsia="Times New Roman" w:cs="Calibri"/>
                <w:b/>
                <w:color w:val="000000"/>
                <w:lang w:val="en-US" w:eastAsia="fr-FR"/>
              </w:rPr>
            </w:pPr>
            <w:r w:rsidRPr="009B46ED">
              <w:rPr>
                <w:rFonts w:eastAsia="Times New Roman" w:cs="Calibri"/>
                <w:color w:val="000000"/>
                <w:lang w:eastAsia="fr-FR"/>
              </w:rPr>
              <w:t>1.05 (0.27)</w:t>
            </w:r>
          </w:p>
        </w:tc>
        <w:tc>
          <w:tcPr>
            <w:tcW w:w="1701" w:type="dxa"/>
            <w:shd w:val="clear" w:color="auto" w:fill="auto"/>
            <w:noWrap/>
            <w:vAlign w:val="bottom"/>
            <w:hideMark/>
          </w:tcPr>
          <w:p w14:paraId="41763791" w14:textId="49436410" w:rsidR="00AA05F0" w:rsidRPr="00BA4B87" w:rsidRDefault="00AA05F0" w:rsidP="00AA05F0">
            <w:pPr>
              <w:spacing w:after="0" w:line="240" w:lineRule="auto"/>
              <w:rPr>
                <w:rFonts w:eastAsia="Times New Roman" w:cs="Calibri"/>
                <w:b/>
                <w:color w:val="000000"/>
                <w:lang w:val="en-US" w:eastAsia="fr-FR"/>
              </w:rPr>
            </w:pPr>
            <w:r w:rsidRPr="009B46ED">
              <w:rPr>
                <w:rFonts w:eastAsia="Times New Roman" w:cs="Calibri"/>
                <w:color w:val="000000"/>
                <w:lang w:eastAsia="fr-FR"/>
              </w:rPr>
              <w:t>1.07 (0.26)</w:t>
            </w:r>
          </w:p>
        </w:tc>
        <w:tc>
          <w:tcPr>
            <w:tcW w:w="1701" w:type="dxa"/>
            <w:shd w:val="clear" w:color="auto" w:fill="auto"/>
            <w:noWrap/>
            <w:vAlign w:val="bottom"/>
            <w:hideMark/>
          </w:tcPr>
          <w:p w14:paraId="6F3E9C06" w14:textId="39628A36" w:rsidR="00AA05F0" w:rsidRPr="00BA4B87" w:rsidRDefault="00AA05F0" w:rsidP="00AA05F0">
            <w:pPr>
              <w:spacing w:after="0" w:line="240" w:lineRule="auto"/>
              <w:rPr>
                <w:rFonts w:eastAsia="Times New Roman" w:cs="Calibri"/>
                <w:b/>
                <w:color w:val="000000"/>
                <w:lang w:val="en-US" w:eastAsia="fr-FR"/>
              </w:rPr>
            </w:pPr>
            <w:r w:rsidRPr="009B46ED">
              <w:rPr>
                <w:rFonts w:eastAsia="Times New Roman" w:cs="Calibri"/>
                <w:color w:val="000000"/>
                <w:lang w:eastAsia="fr-FR"/>
              </w:rPr>
              <w:t>0.89 (0.33)</w:t>
            </w:r>
          </w:p>
        </w:tc>
        <w:tc>
          <w:tcPr>
            <w:tcW w:w="1701" w:type="dxa"/>
            <w:shd w:val="clear" w:color="auto" w:fill="auto"/>
            <w:noWrap/>
            <w:vAlign w:val="bottom"/>
            <w:hideMark/>
          </w:tcPr>
          <w:p w14:paraId="4FF49707" w14:textId="77777777" w:rsidR="00AA05F0" w:rsidRPr="00BA4B87" w:rsidRDefault="00AA05F0" w:rsidP="00AA05F0">
            <w:pPr>
              <w:spacing w:after="0" w:line="240" w:lineRule="auto"/>
              <w:rPr>
                <w:rFonts w:eastAsia="Times New Roman" w:cs="Calibri"/>
                <w:b/>
                <w:color w:val="000000"/>
                <w:lang w:val="en-US" w:eastAsia="fr-FR"/>
              </w:rPr>
            </w:pPr>
          </w:p>
        </w:tc>
        <w:tc>
          <w:tcPr>
            <w:tcW w:w="857" w:type="dxa"/>
            <w:shd w:val="clear" w:color="auto" w:fill="auto"/>
            <w:noWrap/>
            <w:vAlign w:val="bottom"/>
            <w:hideMark/>
          </w:tcPr>
          <w:p w14:paraId="7552C354" w14:textId="145D0FA3" w:rsidR="00AA05F0" w:rsidRPr="00BA4B87" w:rsidRDefault="00AA05F0" w:rsidP="00AA05F0">
            <w:pPr>
              <w:spacing w:after="0" w:line="240" w:lineRule="auto"/>
              <w:rPr>
                <w:rFonts w:eastAsia="Times New Roman" w:cs="Calibri"/>
                <w:b/>
                <w:color w:val="000000"/>
                <w:lang w:val="en-US" w:eastAsia="fr-FR"/>
              </w:rPr>
            </w:pPr>
            <w:r w:rsidRPr="009B46ED">
              <w:rPr>
                <w:rFonts w:eastAsia="Times New Roman" w:cs="Calibri"/>
                <w:color w:val="000000"/>
                <w:lang w:eastAsia="fr-FR"/>
              </w:rPr>
              <w:t>0.06</w:t>
            </w:r>
          </w:p>
        </w:tc>
      </w:tr>
      <w:tr w:rsidR="00AA05F0" w:rsidRPr="009B46ED" w14:paraId="4E894501" w14:textId="77777777" w:rsidTr="009906BB">
        <w:trPr>
          <w:trHeight w:val="300"/>
          <w:jc w:val="center"/>
        </w:trPr>
        <w:tc>
          <w:tcPr>
            <w:tcW w:w="3402" w:type="dxa"/>
            <w:shd w:val="clear" w:color="auto" w:fill="auto"/>
            <w:noWrap/>
            <w:vAlign w:val="center"/>
            <w:hideMark/>
          </w:tcPr>
          <w:p w14:paraId="61E41926" w14:textId="76DC308F" w:rsidR="00AA05F0" w:rsidRPr="009B46ED" w:rsidRDefault="00AA05F0" w:rsidP="00AA05F0">
            <w:pPr>
              <w:spacing w:after="0" w:line="240" w:lineRule="auto"/>
              <w:rPr>
                <w:rFonts w:eastAsia="Times New Roman" w:cs="Calibri"/>
                <w:b/>
                <w:color w:val="000000"/>
                <w:lang w:eastAsia="fr-FR"/>
              </w:rPr>
            </w:pPr>
            <w:proofErr w:type="spellStart"/>
            <w:r>
              <w:rPr>
                <w:rFonts w:eastAsia="Times New Roman" w:cs="Calibri"/>
                <w:b/>
                <w:color w:val="000000"/>
                <w:lang w:eastAsia="fr-FR"/>
              </w:rPr>
              <w:t>Urinary</w:t>
            </w:r>
            <w:proofErr w:type="spellEnd"/>
            <w:r>
              <w:rPr>
                <w:rFonts w:eastAsia="Times New Roman" w:cs="Calibri"/>
                <w:b/>
                <w:color w:val="000000"/>
                <w:lang w:eastAsia="fr-FR"/>
              </w:rPr>
              <w:t xml:space="preserve"> tract infection</w:t>
            </w:r>
            <w:r w:rsidRPr="009B46ED">
              <w:rPr>
                <w:rFonts w:eastAsia="Times New Roman" w:cs="Calibri"/>
                <w:b/>
                <w:color w:val="000000"/>
                <w:lang w:eastAsia="fr-FR"/>
              </w:rPr>
              <w:t xml:space="preserve"> (N=1602)</w:t>
            </w:r>
            <w:r>
              <w:rPr>
                <w:rFonts w:eastAsia="Times New Roman" w:cs="Calibri"/>
                <w:b/>
                <w:color w:val="000000"/>
                <w:lang w:eastAsia="fr-FR"/>
              </w:rPr>
              <w:t xml:space="preserve"> </w:t>
            </w:r>
          </w:p>
        </w:tc>
        <w:tc>
          <w:tcPr>
            <w:tcW w:w="1701" w:type="dxa"/>
            <w:shd w:val="clear" w:color="auto" w:fill="auto"/>
            <w:noWrap/>
            <w:vAlign w:val="bottom"/>
            <w:hideMark/>
          </w:tcPr>
          <w:p w14:paraId="06A5ABA9" w14:textId="65D1B0F6"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53 (3.31%)</w:t>
            </w:r>
          </w:p>
        </w:tc>
        <w:tc>
          <w:tcPr>
            <w:tcW w:w="1701" w:type="dxa"/>
            <w:shd w:val="clear" w:color="auto" w:fill="auto"/>
            <w:noWrap/>
            <w:vAlign w:val="bottom"/>
            <w:hideMark/>
          </w:tcPr>
          <w:p w14:paraId="1CB7389B" w14:textId="387EC27B"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50 (3.29%)</w:t>
            </w:r>
          </w:p>
        </w:tc>
        <w:tc>
          <w:tcPr>
            <w:tcW w:w="1701" w:type="dxa"/>
            <w:shd w:val="clear" w:color="auto" w:fill="auto"/>
            <w:noWrap/>
            <w:vAlign w:val="bottom"/>
            <w:hideMark/>
          </w:tcPr>
          <w:p w14:paraId="3C034D5A" w14:textId="71F7BED9"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3 (3.75%)</w:t>
            </w:r>
          </w:p>
        </w:tc>
        <w:tc>
          <w:tcPr>
            <w:tcW w:w="1701" w:type="dxa"/>
            <w:shd w:val="clear" w:color="auto" w:fill="auto"/>
            <w:noWrap/>
            <w:vAlign w:val="bottom"/>
            <w:hideMark/>
          </w:tcPr>
          <w:p w14:paraId="65BB54A1" w14:textId="486186B0"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1.15 [0.35;3.76]</w:t>
            </w:r>
          </w:p>
        </w:tc>
        <w:tc>
          <w:tcPr>
            <w:tcW w:w="857" w:type="dxa"/>
            <w:shd w:val="clear" w:color="auto" w:fill="auto"/>
            <w:noWrap/>
            <w:vAlign w:val="bottom"/>
            <w:hideMark/>
          </w:tcPr>
          <w:p w14:paraId="5EAA83A5" w14:textId="6EB79AF7"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0.75</w:t>
            </w:r>
          </w:p>
        </w:tc>
      </w:tr>
      <w:tr w:rsidR="00AA05F0" w:rsidRPr="009B46ED" w14:paraId="6541C0C9" w14:textId="77777777" w:rsidTr="009906BB">
        <w:trPr>
          <w:trHeight w:val="300"/>
          <w:jc w:val="center"/>
        </w:trPr>
        <w:tc>
          <w:tcPr>
            <w:tcW w:w="3402" w:type="dxa"/>
            <w:shd w:val="clear" w:color="auto" w:fill="auto"/>
            <w:noWrap/>
            <w:vAlign w:val="center"/>
            <w:hideMark/>
          </w:tcPr>
          <w:p w14:paraId="422F9891" w14:textId="5BFFB0D4" w:rsidR="00AA05F0" w:rsidRPr="009B46ED" w:rsidRDefault="00AA05F0" w:rsidP="00AA05F0">
            <w:pPr>
              <w:spacing w:after="0" w:line="240" w:lineRule="auto"/>
              <w:rPr>
                <w:rFonts w:eastAsia="Times New Roman" w:cs="Calibri"/>
                <w:b/>
                <w:color w:val="000000"/>
                <w:lang w:eastAsia="fr-FR"/>
              </w:rPr>
            </w:pPr>
            <w:r>
              <w:rPr>
                <w:rFonts w:eastAsia="Times New Roman" w:cs="Calibri"/>
                <w:b/>
                <w:color w:val="000000"/>
                <w:lang w:eastAsia="fr-FR"/>
              </w:rPr>
              <w:t xml:space="preserve">Primitive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(N=1600)</w:t>
            </w:r>
            <w:r>
              <w:rPr>
                <w:rFonts w:eastAsia="Times New Roman" w:cs="Calibri"/>
                <w:b/>
                <w:color w:val="000000"/>
                <w:lang w:eastAsia="fr-FR"/>
              </w:rPr>
              <w:t xml:space="preserve"> </w:t>
            </w:r>
          </w:p>
        </w:tc>
        <w:tc>
          <w:tcPr>
            <w:tcW w:w="1701" w:type="dxa"/>
            <w:shd w:val="clear" w:color="auto" w:fill="auto"/>
            <w:noWrap/>
            <w:vAlign w:val="bottom"/>
            <w:hideMark/>
          </w:tcPr>
          <w:p w14:paraId="36FCD342" w14:textId="58406FB3"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5 (0.31%)</w:t>
            </w:r>
          </w:p>
        </w:tc>
        <w:tc>
          <w:tcPr>
            <w:tcW w:w="1701" w:type="dxa"/>
            <w:shd w:val="clear" w:color="auto" w:fill="auto"/>
            <w:noWrap/>
            <w:vAlign w:val="bottom"/>
            <w:hideMark/>
          </w:tcPr>
          <w:p w14:paraId="1C4169FD" w14:textId="3B0A1226"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5 (0.33%)</w:t>
            </w:r>
          </w:p>
        </w:tc>
        <w:tc>
          <w:tcPr>
            <w:tcW w:w="1701" w:type="dxa"/>
            <w:shd w:val="clear" w:color="auto" w:fill="auto"/>
            <w:noWrap/>
            <w:vAlign w:val="bottom"/>
            <w:hideMark/>
          </w:tcPr>
          <w:p w14:paraId="148BCEAD" w14:textId="0C6719C5"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 (0.00%)</w:t>
            </w:r>
          </w:p>
        </w:tc>
        <w:tc>
          <w:tcPr>
            <w:tcW w:w="1701" w:type="dxa"/>
            <w:shd w:val="clear" w:color="auto" w:fill="auto"/>
            <w:noWrap/>
            <w:vAlign w:val="bottom"/>
            <w:hideMark/>
          </w:tcPr>
          <w:p w14:paraId="52848C6D" w14:textId="61F1280E" w:rsidR="00AA05F0" w:rsidRPr="009B46ED" w:rsidRDefault="00AA05F0" w:rsidP="00AA05F0">
            <w:pPr>
              <w:spacing w:after="0" w:line="240" w:lineRule="auto"/>
              <w:rPr>
                <w:rFonts w:eastAsia="Times New Roman" w:cs="Calibri"/>
                <w:b/>
                <w:color w:val="000000"/>
                <w:lang w:eastAsia="fr-FR"/>
              </w:rPr>
            </w:pPr>
          </w:p>
        </w:tc>
        <w:tc>
          <w:tcPr>
            <w:tcW w:w="857" w:type="dxa"/>
            <w:shd w:val="clear" w:color="auto" w:fill="auto"/>
            <w:noWrap/>
            <w:vAlign w:val="bottom"/>
            <w:hideMark/>
          </w:tcPr>
          <w:p w14:paraId="420C19AC" w14:textId="5ECB064A"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&gt;0.99</w:t>
            </w:r>
          </w:p>
        </w:tc>
      </w:tr>
      <w:tr w:rsidR="00AA05F0" w:rsidRPr="009B46ED" w14:paraId="6B742AA7" w14:textId="77777777" w:rsidTr="009906BB">
        <w:trPr>
          <w:trHeight w:val="300"/>
          <w:jc w:val="center"/>
        </w:trPr>
        <w:tc>
          <w:tcPr>
            <w:tcW w:w="3402" w:type="dxa"/>
            <w:shd w:val="clear" w:color="auto" w:fill="auto"/>
            <w:noWrap/>
            <w:vAlign w:val="center"/>
            <w:hideMark/>
          </w:tcPr>
          <w:p w14:paraId="1234454B" w14:textId="783176DA" w:rsidR="00AA05F0" w:rsidRPr="009B46ED" w:rsidRDefault="00AA05F0" w:rsidP="00AA05F0">
            <w:pPr>
              <w:spacing w:after="0" w:line="240" w:lineRule="auto"/>
              <w:rPr>
                <w:rFonts w:eastAsia="Times New Roman" w:cs="Calibri"/>
                <w:b/>
                <w:color w:val="000000"/>
                <w:lang w:eastAsia="fr-FR"/>
              </w:rPr>
            </w:pPr>
            <w:proofErr w:type="spellStart"/>
            <w:r>
              <w:rPr>
                <w:rFonts w:eastAsia="Times New Roman" w:cs="Calibri"/>
                <w:b/>
                <w:color w:val="000000"/>
                <w:lang w:eastAsia="fr-FR"/>
              </w:rPr>
              <w:t>Secondary</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(N=1600)</w:t>
            </w:r>
            <w:r>
              <w:rPr>
                <w:rFonts w:eastAsia="Times New Roman" w:cs="Calibri"/>
                <w:b/>
                <w:color w:val="000000"/>
                <w:lang w:eastAsia="fr-FR"/>
              </w:rPr>
              <w:t xml:space="preserve"> </w:t>
            </w:r>
          </w:p>
        </w:tc>
        <w:tc>
          <w:tcPr>
            <w:tcW w:w="1701" w:type="dxa"/>
            <w:shd w:val="clear" w:color="auto" w:fill="auto"/>
            <w:noWrap/>
            <w:vAlign w:val="bottom"/>
            <w:hideMark/>
          </w:tcPr>
          <w:p w14:paraId="7A530996" w14:textId="3E37BF3A"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10 (0.62%)</w:t>
            </w:r>
          </w:p>
        </w:tc>
        <w:tc>
          <w:tcPr>
            <w:tcW w:w="1701" w:type="dxa"/>
            <w:shd w:val="clear" w:color="auto" w:fill="auto"/>
            <w:noWrap/>
            <w:vAlign w:val="bottom"/>
            <w:hideMark/>
          </w:tcPr>
          <w:p w14:paraId="5EA3BA4C" w14:textId="7BAFDB06"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9 (0.59%)</w:t>
            </w:r>
          </w:p>
        </w:tc>
        <w:tc>
          <w:tcPr>
            <w:tcW w:w="1701" w:type="dxa"/>
            <w:shd w:val="clear" w:color="auto" w:fill="auto"/>
            <w:noWrap/>
            <w:vAlign w:val="bottom"/>
            <w:hideMark/>
          </w:tcPr>
          <w:p w14:paraId="4A2EEAB9" w14:textId="247275E9"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 (1.25%)</w:t>
            </w:r>
          </w:p>
        </w:tc>
        <w:tc>
          <w:tcPr>
            <w:tcW w:w="1701" w:type="dxa"/>
            <w:shd w:val="clear" w:color="auto" w:fill="auto"/>
            <w:noWrap/>
            <w:vAlign w:val="bottom"/>
            <w:hideMark/>
          </w:tcPr>
          <w:p w14:paraId="04EF9161" w14:textId="5622215E"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2.13 [0.27;16.98]</w:t>
            </w:r>
          </w:p>
        </w:tc>
        <w:tc>
          <w:tcPr>
            <w:tcW w:w="857" w:type="dxa"/>
            <w:shd w:val="clear" w:color="auto" w:fill="auto"/>
            <w:noWrap/>
            <w:vAlign w:val="bottom"/>
            <w:hideMark/>
          </w:tcPr>
          <w:p w14:paraId="75A8E55D" w14:textId="28A29626"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0.40</w:t>
            </w:r>
          </w:p>
        </w:tc>
      </w:tr>
      <w:tr w:rsidR="00AA05F0" w:rsidRPr="009B46ED" w14:paraId="3301D069" w14:textId="77777777" w:rsidTr="009906BB">
        <w:trPr>
          <w:trHeight w:val="300"/>
          <w:jc w:val="center"/>
        </w:trPr>
        <w:tc>
          <w:tcPr>
            <w:tcW w:w="3402" w:type="dxa"/>
            <w:shd w:val="clear" w:color="auto" w:fill="auto"/>
            <w:noWrap/>
            <w:vAlign w:val="center"/>
            <w:hideMark/>
          </w:tcPr>
          <w:p w14:paraId="297F5D0C" w14:textId="6B53B9B0" w:rsidR="00AA05F0" w:rsidRPr="009B46ED" w:rsidRDefault="00AA05F0" w:rsidP="00AA05F0">
            <w:pPr>
              <w:spacing w:after="0" w:line="240" w:lineRule="auto"/>
              <w:rPr>
                <w:rFonts w:eastAsia="Times New Roman" w:cs="Calibri"/>
                <w:b/>
                <w:color w:val="000000"/>
                <w:lang w:eastAsia="fr-FR"/>
              </w:rPr>
            </w:pPr>
            <w:proofErr w:type="spellStart"/>
            <w:r>
              <w:rPr>
                <w:rFonts w:eastAsia="Times New Roman" w:cs="Calibri"/>
                <w:b/>
                <w:color w:val="000000"/>
                <w:lang w:eastAsia="fr-FR"/>
              </w:rPr>
              <w:t>Catheter</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related</w:t>
            </w:r>
            <w:proofErr w:type="spellEnd"/>
            <w:r>
              <w:rPr>
                <w:rFonts w:eastAsia="Times New Roman" w:cs="Calibri"/>
                <w:b/>
                <w:color w:val="000000"/>
                <w:lang w:eastAsia="fr-FR"/>
              </w:rPr>
              <w:t xml:space="preserve"> infection</w:t>
            </w:r>
            <w:r w:rsidRPr="009B46ED">
              <w:rPr>
                <w:rFonts w:eastAsia="Times New Roman" w:cs="Calibri"/>
                <w:b/>
                <w:color w:val="000000"/>
                <w:lang w:eastAsia="fr-FR"/>
              </w:rPr>
              <w:t xml:space="preserve"> (N=1599)</w:t>
            </w:r>
            <w:r>
              <w:rPr>
                <w:rFonts w:eastAsia="Times New Roman" w:cs="Calibri"/>
                <w:b/>
                <w:color w:val="000000"/>
                <w:lang w:eastAsia="fr-FR"/>
              </w:rPr>
              <w:t xml:space="preserve"> </w:t>
            </w:r>
          </w:p>
        </w:tc>
        <w:tc>
          <w:tcPr>
            <w:tcW w:w="1701" w:type="dxa"/>
            <w:shd w:val="clear" w:color="auto" w:fill="auto"/>
            <w:noWrap/>
            <w:vAlign w:val="bottom"/>
            <w:hideMark/>
          </w:tcPr>
          <w:p w14:paraId="162157D3" w14:textId="7CE6A438"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 (0.06%)</w:t>
            </w:r>
          </w:p>
        </w:tc>
        <w:tc>
          <w:tcPr>
            <w:tcW w:w="1701" w:type="dxa"/>
            <w:shd w:val="clear" w:color="auto" w:fill="auto"/>
            <w:noWrap/>
            <w:vAlign w:val="bottom"/>
            <w:hideMark/>
          </w:tcPr>
          <w:p w14:paraId="1832F18D" w14:textId="3736E61D"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1 (0.07%)</w:t>
            </w:r>
          </w:p>
        </w:tc>
        <w:tc>
          <w:tcPr>
            <w:tcW w:w="1701" w:type="dxa"/>
            <w:shd w:val="clear" w:color="auto" w:fill="auto"/>
            <w:noWrap/>
            <w:vAlign w:val="bottom"/>
            <w:hideMark/>
          </w:tcPr>
          <w:p w14:paraId="75697507" w14:textId="5026C46B"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0 (0.00%)</w:t>
            </w:r>
          </w:p>
        </w:tc>
        <w:tc>
          <w:tcPr>
            <w:tcW w:w="1701" w:type="dxa"/>
            <w:shd w:val="clear" w:color="auto" w:fill="auto"/>
            <w:noWrap/>
            <w:vAlign w:val="bottom"/>
            <w:hideMark/>
          </w:tcPr>
          <w:p w14:paraId="69BB8055" w14:textId="37B1FDB8" w:rsidR="00AA05F0" w:rsidRPr="009B46ED" w:rsidRDefault="00AA05F0" w:rsidP="00AA05F0">
            <w:pPr>
              <w:spacing w:after="0" w:line="240" w:lineRule="auto"/>
              <w:rPr>
                <w:rFonts w:eastAsia="Times New Roman" w:cs="Calibri"/>
                <w:b/>
                <w:color w:val="000000"/>
                <w:lang w:eastAsia="fr-FR"/>
              </w:rPr>
            </w:pPr>
          </w:p>
        </w:tc>
        <w:tc>
          <w:tcPr>
            <w:tcW w:w="857" w:type="dxa"/>
            <w:shd w:val="clear" w:color="auto" w:fill="auto"/>
            <w:noWrap/>
            <w:vAlign w:val="bottom"/>
            <w:hideMark/>
          </w:tcPr>
          <w:p w14:paraId="59372135" w14:textId="1DAFFE07" w:rsidR="00AA05F0" w:rsidRPr="009B46ED" w:rsidRDefault="00AA05F0" w:rsidP="00AA05F0">
            <w:pPr>
              <w:spacing w:after="0" w:line="240" w:lineRule="auto"/>
              <w:rPr>
                <w:rFonts w:eastAsia="Times New Roman" w:cs="Calibri"/>
                <w:b/>
                <w:color w:val="000000"/>
                <w:lang w:eastAsia="fr-FR"/>
              </w:rPr>
            </w:pPr>
            <w:r w:rsidRPr="009B46ED">
              <w:rPr>
                <w:rFonts w:eastAsia="Times New Roman" w:cs="Calibri"/>
                <w:color w:val="000000"/>
                <w:lang w:eastAsia="fr-FR"/>
              </w:rPr>
              <w:t>&gt;0.99</w:t>
            </w:r>
          </w:p>
        </w:tc>
      </w:tr>
      <w:tr w:rsidR="00465E4D" w:rsidRPr="009B46ED" w14:paraId="548B6B65" w14:textId="77777777" w:rsidTr="009906BB">
        <w:trPr>
          <w:trHeight w:val="300"/>
          <w:jc w:val="center"/>
        </w:trPr>
        <w:tc>
          <w:tcPr>
            <w:tcW w:w="3402" w:type="dxa"/>
            <w:shd w:val="clear" w:color="auto" w:fill="auto"/>
            <w:noWrap/>
            <w:vAlign w:val="center"/>
          </w:tcPr>
          <w:p w14:paraId="5549344C" w14:textId="16A86878" w:rsidR="00465E4D" w:rsidRDefault="00465E4D" w:rsidP="00465E4D">
            <w:pPr>
              <w:spacing w:after="0" w:line="240" w:lineRule="auto"/>
              <w:rPr>
                <w:rFonts w:eastAsia="Times New Roman" w:cs="Calibri"/>
                <w:b/>
                <w:color w:val="000000"/>
                <w:lang w:eastAsia="fr-FR"/>
              </w:rPr>
            </w:pPr>
            <w:proofErr w:type="spellStart"/>
            <w:r>
              <w:rPr>
                <w:rFonts w:eastAsia="Times New Roman" w:cs="Calibri"/>
                <w:b/>
                <w:color w:val="000000"/>
                <w:lang w:eastAsia="fr-FR"/>
              </w:rPr>
              <w:t>Pneumonia</w:t>
            </w:r>
            <w:proofErr w:type="spellEnd"/>
          </w:p>
        </w:tc>
        <w:tc>
          <w:tcPr>
            <w:tcW w:w="1701" w:type="dxa"/>
            <w:shd w:val="clear" w:color="auto" w:fill="auto"/>
            <w:noWrap/>
            <w:vAlign w:val="bottom"/>
          </w:tcPr>
          <w:p w14:paraId="74683587" w14:textId="497C779D" w:rsidR="00465E4D" w:rsidRPr="009B46ED" w:rsidRDefault="00465E4D" w:rsidP="00465E4D">
            <w:pPr>
              <w:spacing w:after="0" w:line="240" w:lineRule="auto"/>
              <w:rPr>
                <w:rFonts w:eastAsia="Times New Roman" w:cs="Calibri"/>
                <w:color w:val="000000"/>
                <w:lang w:eastAsia="fr-FR"/>
              </w:rPr>
            </w:pPr>
            <w:r w:rsidRPr="009B46ED">
              <w:rPr>
                <w:rFonts w:eastAsia="Times New Roman" w:cs="Calibri"/>
                <w:color w:val="000000"/>
                <w:lang w:eastAsia="fr-FR"/>
              </w:rPr>
              <w:t>6 (0.37%)</w:t>
            </w:r>
          </w:p>
        </w:tc>
        <w:tc>
          <w:tcPr>
            <w:tcW w:w="1701" w:type="dxa"/>
            <w:shd w:val="clear" w:color="auto" w:fill="auto"/>
            <w:noWrap/>
            <w:vAlign w:val="bottom"/>
          </w:tcPr>
          <w:p w14:paraId="5CDA67CA" w14:textId="47059342" w:rsidR="00465E4D" w:rsidRPr="009B46ED" w:rsidRDefault="00465E4D" w:rsidP="00465E4D">
            <w:pPr>
              <w:spacing w:after="0" w:line="240" w:lineRule="auto"/>
              <w:rPr>
                <w:rFonts w:eastAsia="Times New Roman" w:cs="Calibri"/>
                <w:color w:val="000000"/>
                <w:lang w:eastAsia="fr-FR"/>
              </w:rPr>
            </w:pPr>
            <w:r w:rsidRPr="009B46ED">
              <w:rPr>
                <w:rFonts w:eastAsia="Times New Roman" w:cs="Calibri"/>
                <w:color w:val="000000"/>
                <w:lang w:eastAsia="fr-FR"/>
              </w:rPr>
              <w:t>6 (0.39%)</w:t>
            </w:r>
          </w:p>
        </w:tc>
        <w:tc>
          <w:tcPr>
            <w:tcW w:w="1701" w:type="dxa"/>
            <w:shd w:val="clear" w:color="auto" w:fill="auto"/>
            <w:noWrap/>
            <w:vAlign w:val="bottom"/>
          </w:tcPr>
          <w:p w14:paraId="41CC91DD" w14:textId="3BEF20EB" w:rsidR="00465E4D" w:rsidRPr="009B46ED" w:rsidRDefault="00465E4D" w:rsidP="00465E4D">
            <w:pPr>
              <w:spacing w:after="0" w:line="240" w:lineRule="auto"/>
              <w:rPr>
                <w:rFonts w:eastAsia="Times New Roman" w:cs="Calibri"/>
                <w:color w:val="000000"/>
                <w:lang w:eastAsia="fr-FR"/>
              </w:rPr>
            </w:pPr>
            <w:r w:rsidRPr="009B46ED">
              <w:rPr>
                <w:rFonts w:eastAsia="Times New Roman" w:cs="Calibri"/>
                <w:color w:val="000000"/>
                <w:lang w:eastAsia="fr-FR"/>
              </w:rPr>
              <w:t>0 (0.00%)</w:t>
            </w:r>
          </w:p>
        </w:tc>
        <w:tc>
          <w:tcPr>
            <w:tcW w:w="1701" w:type="dxa"/>
            <w:shd w:val="clear" w:color="auto" w:fill="auto"/>
            <w:noWrap/>
            <w:vAlign w:val="bottom"/>
          </w:tcPr>
          <w:p w14:paraId="6004B130" w14:textId="77777777" w:rsidR="00465E4D" w:rsidRPr="009B46ED" w:rsidRDefault="00465E4D" w:rsidP="00465E4D">
            <w:pPr>
              <w:spacing w:after="0" w:line="240" w:lineRule="auto"/>
              <w:rPr>
                <w:rFonts w:eastAsia="Times New Roman" w:cs="Calibri"/>
                <w:b/>
                <w:color w:val="000000"/>
                <w:lang w:eastAsia="fr-FR"/>
              </w:rPr>
            </w:pPr>
          </w:p>
        </w:tc>
        <w:tc>
          <w:tcPr>
            <w:tcW w:w="857" w:type="dxa"/>
            <w:shd w:val="clear" w:color="auto" w:fill="auto"/>
            <w:noWrap/>
            <w:vAlign w:val="bottom"/>
          </w:tcPr>
          <w:p w14:paraId="2F0E597A" w14:textId="19683FA9" w:rsidR="00465E4D" w:rsidRPr="009B46ED" w:rsidRDefault="00465E4D" w:rsidP="00465E4D">
            <w:pPr>
              <w:spacing w:after="0" w:line="240" w:lineRule="auto"/>
              <w:rPr>
                <w:rFonts w:eastAsia="Times New Roman" w:cs="Calibri"/>
                <w:color w:val="000000"/>
                <w:lang w:eastAsia="fr-FR"/>
              </w:rPr>
            </w:pPr>
            <w:r w:rsidRPr="009B46ED">
              <w:rPr>
                <w:rFonts w:eastAsia="Times New Roman" w:cs="Calibri"/>
                <w:color w:val="000000"/>
                <w:lang w:eastAsia="fr-FR"/>
              </w:rPr>
              <w:t>&gt;0.99</w:t>
            </w:r>
          </w:p>
        </w:tc>
      </w:tr>
    </w:tbl>
    <w:p w14:paraId="3BC4BB70" w14:textId="77777777" w:rsidR="00FF4DAA" w:rsidRDefault="00FF4DAA">
      <w:pPr>
        <w:rPr>
          <w:lang w:val="en-US"/>
        </w:rPr>
      </w:pPr>
    </w:p>
    <w:p w14:paraId="0C2331F5" w14:textId="77777777" w:rsidR="00FF4DAA" w:rsidRDefault="00FF4DAA">
      <w:pPr>
        <w:rPr>
          <w:lang w:val="en-US"/>
        </w:rPr>
      </w:pPr>
    </w:p>
    <w:p w14:paraId="7238E178" w14:textId="77777777" w:rsidR="00AA05F0" w:rsidRDefault="00AA05F0">
      <w:pPr>
        <w:rPr>
          <w:u w:val="single"/>
          <w:lang w:val="en-US"/>
        </w:rPr>
      </w:pPr>
      <w:r>
        <w:rPr>
          <w:u w:val="single"/>
          <w:lang w:val="en-US"/>
        </w:rPr>
        <w:br w:type="page"/>
      </w:r>
    </w:p>
    <w:p w14:paraId="68C40EE6" w14:textId="5A05B6EC" w:rsidR="00400A25" w:rsidRDefault="00400A25" w:rsidP="00400A25">
      <w:pPr>
        <w:rPr>
          <w:lang w:val="en-US"/>
        </w:rPr>
      </w:pPr>
      <w:r w:rsidRPr="00A93316">
        <w:rPr>
          <w:u w:val="single"/>
          <w:lang w:val="en-US"/>
        </w:rPr>
        <w:lastRenderedPageBreak/>
        <w:t xml:space="preserve">Supplementary table </w:t>
      </w:r>
      <w:r w:rsidR="003F31C3">
        <w:rPr>
          <w:u w:val="single"/>
          <w:lang w:val="en-US"/>
        </w:rPr>
        <w:t>9</w:t>
      </w:r>
      <w:r>
        <w:rPr>
          <w:lang w:val="en-US"/>
        </w:rPr>
        <w:t xml:space="preserve">: infectious </w:t>
      </w:r>
      <w:r w:rsidR="00A04AC1">
        <w:rPr>
          <w:lang w:val="en-US"/>
        </w:rPr>
        <w:t>complications</w:t>
      </w:r>
      <w:r>
        <w:rPr>
          <w:lang w:val="en-US"/>
        </w:rPr>
        <w:t xml:space="preserve"> in the “ICU group”: </w:t>
      </w:r>
      <w:proofErr w:type="spellStart"/>
      <w:r>
        <w:rPr>
          <w:lang w:val="en-US"/>
        </w:rPr>
        <w:t>Tocilizumab</w:t>
      </w:r>
      <w:proofErr w:type="spellEnd"/>
      <w:r>
        <w:rPr>
          <w:lang w:val="en-US"/>
        </w:rPr>
        <w:t xml:space="preserve"> versus absence of </w:t>
      </w:r>
      <w:proofErr w:type="spellStart"/>
      <w:r>
        <w:rPr>
          <w:lang w:val="en-US"/>
        </w:rPr>
        <w:t>Tocilizumab</w:t>
      </w:r>
      <w:proofErr w:type="spellEnd"/>
    </w:p>
    <w:tbl>
      <w:tblPr>
        <w:tblW w:w="1103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833"/>
      </w:tblGrid>
      <w:tr w:rsidR="00400A25" w:rsidRPr="009B46ED" w14:paraId="51FD31A2" w14:textId="77777777" w:rsidTr="009906BB">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447C8990" w14:textId="77777777" w:rsidR="00400A25" w:rsidRPr="00AA05F0" w:rsidRDefault="00400A25" w:rsidP="009906BB">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bottom"/>
            <w:hideMark/>
          </w:tcPr>
          <w:p w14:paraId="78B62463" w14:textId="77777777" w:rsidR="00400A25" w:rsidRPr="009B46ED" w:rsidRDefault="00400A25"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Total (N=984)</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E9EEA50" w14:textId="77777777" w:rsidR="00400A25" w:rsidRPr="009B46ED" w:rsidRDefault="00400A25" w:rsidP="009906BB">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Pr="009B46ED">
              <w:rPr>
                <w:rFonts w:eastAsia="Times New Roman" w:cs="Calibri"/>
                <w:color w:val="000000"/>
                <w:lang w:eastAsia="fr-FR"/>
              </w:rPr>
              <w:t>ocilizumab</w:t>
            </w:r>
            <w:proofErr w:type="spellEnd"/>
            <w:r w:rsidRPr="009B46ED">
              <w:rPr>
                <w:rFonts w:eastAsia="Times New Roman" w:cs="Calibri"/>
                <w:color w:val="000000"/>
                <w:lang w:eastAsia="fr-FR"/>
              </w:rPr>
              <w:t xml:space="preserve"> (N=872)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3190051C" w14:textId="77777777" w:rsidR="00400A25" w:rsidRPr="009B46ED" w:rsidRDefault="00400A25" w:rsidP="009906BB">
            <w:pPr>
              <w:spacing w:after="0" w:line="240" w:lineRule="auto"/>
              <w:jc w:val="center"/>
              <w:rPr>
                <w:rFonts w:eastAsia="Times New Roman" w:cs="Calibri"/>
                <w:color w:val="000000"/>
                <w:lang w:eastAsia="fr-FR"/>
              </w:rPr>
            </w:pPr>
            <w:proofErr w:type="spellStart"/>
            <w:r w:rsidRPr="009B46ED">
              <w:rPr>
                <w:rFonts w:eastAsia="Times New Roman" w:cs="Calibri"/>
                <w:color w:val="000000"/>
                <w:lang w:eastAsia="fr-FR"/>
              </w:rPr>
              <w:t>Tocilizumab</w:t>
            </w:r>
            <w:proofErr w:type="spellEnd"/>
            <w:r w:rsidRPr="009B46ED">
              <w:rPr>
                <w:rFonts w:eastAsia="Times New Roman" w:cs="Calibri"/>
                <w:color w:val="000000"/>
                <w:lang w:eastAsia="fr-FR"/>
              </w:rPr>
              <w:t xml:space="preserve"> (N=112)</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D20DB5C" w14:textId="77777777" w:rsidR="00400A25" w:rsidRPr="009B46ED" w:rsidRDefault="00400A25"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OR [IC95%]</w:t>
            </w:r>
          </w:p>
        </w:tc>
        <w:tc>
          <w:tcPr>
            <w:tcW w:w="833" w:type="dxa"/>
            <w:tcBorders>
              <w:top w:val="single" w:sz="4" w:space="0" w:color="auto"/>
              <w:bottom w:val="single" w:sz="4" w:space="0" w:color="auto"/>
            </w:tcBorders>
            <w:shd w:val="clear" w:color="auto" w:fill="D9D9D9" w:themeFill="background1" w:themeFillShade="D9"/>
            <w:noWrap/>
            <w:vAlign w:val="bottom"/>
            <w:hideMark/>
          </w:tcPr>
          <w:p w14:paraId="708C509B" w14:textId="77777777" w:rsidR="00400A25" w:rsidRPr="009B46ED" w:rsidRDefault="00400A25" w:rsidP="009906BB">
            <w:pPr>
              <w:spacing w:after="0" w:line="240" w:lineRule="auto"/>
              <w:jc w:val="center"/>
              <w:rPr>
                <w:rFonts w:eastAsia="Times New Roman" w:cs="Calibri"/>
                <w:color w:val="000000"/>
                <w:lang w:eastAsia="fr-FR"/>
              </w:rPr>
            </w:pPr>
            <w:r w:rsidRPr="009B46ED">
              <w:rPr>
                <w:rFonts w:eastAsia="Times New Roman" w:cs="Calibri"/>
                <w:color w:val="000000"/>
                <w:lang w:eastAsia="fr-FR"/>
              </w:rPr>
              <w:t>p</w:t>
            </w:r>
          </w:p>
        </w:tc>
      </w:tr>
      <w:tr w:rsidR="00400A25" w:rsidRPr="009B46ED" w14:paraId="1CF634D7" w14:textId="77777777" w:rsidTr="009906BB">
        <w:trPr>
          <w:trHeight w:val="300"/>
          <w:jc w:val="center"/>
        </w:trPr>
        <w:tc>
          <w:tcPr>
            <w:tcW w:w="3402" w:type="dxa"/>
            <w:tcBorders>
              <w:top w:val="single" w:sz="4" w:space="0" w:color="auto"/>
            </w:tcBorders>
            <w:shd w:val="clear" w:color="auto" w:fill="auto"/>
            <w:noWrap/>
            <w:vAlign w:val="center"/>
            <w:hideMark/>
          </w:tcPr>
          <w:p w14:paraId="79660045" w14:textId="77777777" w:rsidR="00400A25" w:rsidRPr="009B46ED" w:rsidRDefault="00400A25" w:rsidP="009906BB">
            <w:pPr>
              <w:spacing w:after="0" w:line="240" w:lineRule="auto"/>
              <w:rPr>
                <w:rFonts w:eastAsia="Times New Roman" w:cs="Calibri"/>
                <w:b/>
                <w:color w:val="000000"/>
                <w:lang w:eastAsia="fr-FR"/>
              </w:rPr>
            </w:pPr>
            <w:r>
              <w:rPr>
                <w:rFonts w:eastAsia="Times New Roman" w:cs="Calibri"/>
                <w:b/>
                <w:color w:val="000000"/>
                <w:lang w:eastAsia="fr-FR"/>
              </w:rPr>
              <w:t xml:space="preserve">Infection </w:t>
            </w:r>
            <w:proofErr w:type="spellStart"/>
            <w:r>
              <w:rPr>
                <w:rFonts w:eastAsia="Times New Roman" w:cs="Calibri"/>
                <w:b/>
                <w:color w:val="000000"/>
                <w:lang w:eastAsia="fr-FR"/>
              </w:rPr>
              <w:t>during</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hospital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stay</w:t>
            </w:r>
            <w:proofErr w:type="spellEnd"/>
            <w:r>
              <w:rPr>
                <w:rFonts w:eastAsia="Times New Roman" w:cs="Calibri"/>
                <w:b/>
                <w:color w:val="000000"/>
                <w:lang w:eastAsia="fr-FR"/>
              </w:rPr>
              <w:t xml:space="preserve"> </w:t>
            </w:r>
          </w:p>
        </w:tc>
        <w:tc>
          <w:tcPr>
            <w:tcW w:w="1701" w:type="dxa"/>
            <w:tcBorders>
              <w:top w:val="single" w:sz="4" w:space="0" w:color="auto"/>
            </w:tcBorders>
            <w:shd w:val="clear" w:color="auto" w:fill="auto"/>
            <w:noWrap/>
            <w:vAlign w:val="bottom"/>
            <w:hideMark/>
          </w:tcPr>
          <w:p w14:paraId="592550E6"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429 (43.60%)</w:t>
            </w:r>
          </w:p>
        </w:tc>
        <w:tc>
          <w:tcPr>
            <w:tcW w:w="1701" w:type="dxa"/>
            <w:tcBorders>
              <w:top w:val="single" w:sz="4" w:space="0" w:color="auto"/>
            </w:tcBorders>
            <w:shd w:val="clear" w:color="auto" w:fill="auto"/>
            <w:noWrap/>
            <w:vAlign w:val="bottom"/>
            <w:hideMark/>
          </w:tcPr>
          <w:p w14:paraId="079D6EBC"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382 (43.81%)</w:t>
            </w:r>
          </w:p>
        </w:tc>
        <w:tc>
          <w:tcPr>
            <w:tcW w:w="1701" w:type="dxa"/>
            <w:tcBorders>
              <w:top w:val="single" w:sz="4" w:space="0" w:color="auto"/>
            </w:tcBorders>
            <w:shd w:val="clear" w:color="auto" w:fill="auto"/>
            <w:noWrap/>
            <w:vAlign w:val="bottom"/>
            <w:hideMark/>
          </w:tcPr>
          <w:p w14:paraId="3DADDA58"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47 (41.96%)</w:t>
            </w:r>
          </w:p>
        </w:tc>
        <w:tc>
          <w:tcPr>
            <w:tcW w:w="1701" w:type="dxa"/>
            <w:tcBorders>
              <w:top w:val="single" w:sz="4" w:space="0" w:color="auto"/>
            </w:tcBorders>
            <w:shd w:val="clear" w:color="auto" w:fill="auto"/>
            <w:noWrap/>
            <w:vAlign w:val="bottom"/>
            <w:hideMark/>
          </w:tcPr>
          <w:p w14:paraId="519E36B6"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0.93 [0.62;1.38]</w:t>
            </w:r>
          </w:p>
        </w:tc>
        <w:tc>
          <w:tcPr>
            <w:tcW w:w="833" w:type="dxa"/>
            <w:tcBorders>
              <w:top w:val="single" w:sz="4" w:space="0" w:color="auto"/>
            </w:tcBorders>
            <w:shd w:val="clear" w:color="auto" w:fill="auto"/>
            <w:noWrap/>
            <w:vAlign w:val="bottom"/>
            <w:hideMark/>
          </w:tcPr>
          <w:p w14:paraId="3DA5CEAA"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0.71</w:t>
            </w:r>
          </w:p>
        </w:tc>
      </w:tr>
      <w:tr w:rsidR="00400A25" w:rsidRPr="009B46ED" w14:paraId="79A7207E" w14:textId="77777777" w:rsidTr="009906BB">
        <w:trPr>
          <w:trHeight w:val="300"/>
          <w:jc w:val="center"/>
        </w:trPr>
        <w:tc>
          <w:tcPr>
            <w:tcW w:w="3402" w:type="dxa"/>
            <w:shd w:val="clear" w:color="auto" w:fill="auto"/>
            <w:noWrap/>
            <w:vAlign w:val="center"/>
            <w:hideMark/>
          </w:tcPr>
          <w:p w14:paraId="2C55D0DB" w14:textId="77777777" w:rsidR="00400A25" w:rsidRPr="009B46ED" w:rsidRDefault="00400A25"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Fungal</w:t>
            </w:r>
            <w:proofErr w:type="spellEnd"/>
            <w:r>
              <w:rPr>
                <w:rFonts w:eastAsia="Times New Roman" w:cs="Calibri"/>
                <w:b/>
                <w:color w:val="000000"/>
                <w:lang w:eastAsia="fr-FR"/>
              </w:rPr>
              <w:t xml:space="preserve"> infection  </w:t>
            </w:r>
          </w:p>
        </w:tc>
        <w:tc>
          <w:tcPr>
            <w:tcW w:w="1701" w:type="dxa"/>
            <w:shd w:val="clear" w:color="auto" w:fill="auto"/>
            <w:noWrap/>
            <w:vAlign w:val="bottom"/>
            <w:hideMark/>
          </w:tcPr>
          <w:p w14:paraId="733A3699"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32 (3.25%)</w:t>
            </w:r>
          </w:p>
        </w:tc>
        <w:tc>
          <w:tcPr>
            <w:tcW w:w="1701" w:type="dxa"/>
            <w:shd w:val="clear" w:color="auto" w:fill="auto"/>
            <w:noWrap/>
            <w:vAlign w:val="bottom"/>
            <w:hideMark/>
          </w:tcPr>
          <w:p w14:paraId="1B4D9202"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27 (3.10%)</w:t>
            </w:r>
          </w:p>
        </w:tc>
        <w:tc>
          <w:tcPr>
            <w:tcW w:w="1701" w:type="dxa"/>
            <w:shd w:val="clear" w:color="auto" w:fill="auto"/>
            <w:noWrap/>
            <w:vAlign w:val="bottom"/>
            <w:hideMark/>
          </w:tcPr>
          <w:p w14:paraId="09E704F6"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5 (4.46%)</w:t>
            </w:r>
          </w:p>
        </w:tc>
        <w:tc>
          <w:tcPr>
            <w:tcW w:w="1701" w:type="dxa"/>
            <w:shd w:val="clear" w:color="auto" w:fill="auto"/>
            <w:noWrap/>
            <w:vAlign w:val="bottom"/>
            <w:hideMark/>
          </w:tcPr>
          <w:p w14:paraId="7EB6079D"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1.46 [0.55;3.88]</w:t>
            </w:r>
          </w:p>
        </w:tc>
        <w:tc>
          <w:tcPr>
            <w:tcW w:w="833" w:type="dxa"/>
            <w:shd w:val="clear" w:color="auto" w:fill="auto"/>
            <w:noWrap/>
            <w:vAlign w:val="bottom"/>
            <w:hideMark/>
          </w:tcPr>
          <w:p w14:paraId="284EFF5B"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0.40</w:t>
            </w:r>
          </w:p>
        </w:tc>
      </w:tr>
      <w:tr w:rsidR="00400A25" w:rsidRPr="009B46ED" w14:paraId="7741968C" w14:textId="77777777" w:rsidTr="009906BB">
        <w:trPr>
          <w:trHeight w:val="300"/>
          <w:jc w:val="center"/>
        </w:trPr>
        <w:tc>
          <w:tcPr>
            <w:tcW w:w="3402" w:type="dxa"/>
            <w:shd w:val="clear" w:color="auto" w:fill="auto"/>
            <w:noWrap/>
            <w:vAlign w:val="center"/>
            <w:hideMark/>
          </w:tcPr>
          <w:p w14:paraId="1B968B32" w14:textId="77777777" w:rsidR="00400A25" w:rsidRPr="009B46ED" w:rsidRDefault="00400A25" w:rsidP="009906BB">
            <w:pPr>
              <w:spacing w:after="0" w:line="240" w:lineRule="auto"/>
              <w:rPr>
                <w:rFonts w:eastAsia="Times New Roman" w:cs="Calibri"/>
                <w:b/>
                <w:color w:val="000000"/>
                <w:lang w:eastAsia="fr-FR"/>
              </w:rPr>
            </w:pPr>
            <w:r>
              <w:rPr>
                <w:rFonts w:eastAsia="Times New Roman" w:cs="Calibri"/>
                <w:b/>
                <w:color w:val="000000"/>
                <w:lang w:eastAsia="fr-FR"/>
              </w:rPr>
              <w:t xml:space="preserve">Viral infection </w:t>
            </w:r>
          </w:p>
        </w:tc>
        <w:tc>
          <w:tcPr>
            <w:tcW w:w="1701" w:type="dxa"/>
            <w:shd w:val="clear" w:color="auto" w:fill="auto"/>
            <w:noWrap/>
            <w:vAlign w:val="bottom"/>
            <w:hideMark/>
          </w:tcPr>
          <w:p w14:paraId="7966B595"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30 (3.05%)</w:t>
            </w:r>
          </w:p>
        </w:tc>
        <w:tc>
          <w:tcPr>
            <w:tcW w:w="1701" w:type="dxa"/>
            <w:shd w:val="clear" w:color="auto" w:fill="auto"/>
            <w:noWrap/>
            <w:vAlign w:val="bottom"/>
            <w:hideMark/>
          </w:tcPr>
          <w:p w14:paraId="74510CB6"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26 (2.98%)</w:t>
            </w:r>
          </w:p>
        </w:tc>
        <w:tc>
          <w:tcPr>
            <w:tcW w:w="1701" w:type="dxa"/>
            <w:shd w:val="clear" w:color="auto" w:fill="auto"/>
            <w:noWrap/>
            <w:vAlign w:val="bottom"/>
            <w:hideMark/>
          </w:tcPr>
          <w:p w14:paraId="64619E6C"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 (3.57%)</w:t>
            </w:r>
          </w:p>
        </w:tc>
        <w:tc>
          <w:tcPr>
            <w:tcW w:w="1701" w:type="dxa"/>
            <w:shd w:val="clear" w:color="auto" w:fill="auto"/>
            <w:noWrap/>
            <w:vAlign w:val="bottom"/>
            <w:hideMark/>
          </w:tcPr>
          <w:p w14:paraId="10077C44"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1.21 [0.41;3.52]</w:t>
            </w:r>
          </w:p>
        </w:tc>
        <w:tc>
          <w:tcPr>
            <w:tcW w:w="833" w:type="dxa"/>
            <w:shd w:val="clear" w:color="auto" w:fill="auto"/>
            <w:noWrap/>
            <w:vAlign w:val="bottom"/>
            <w:hideMark/>
          </w:tcPr>
          <w:p w14:paraId="0A36E6D1"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0.77</w:t>
            </w:r>
          </w:p>
        </w:tc>
      </w:tr>
      <w:tr w:rsidR="00400A25" w:rsidRPr="007F411A" w14:paraId="61E06CA0" w14:textId="77777777" w:rsidTr="003E7925">
        <w:trPr>
          <w:trHeight w:val="300"/>
          <w:jc w:val="center"/>
        </w:trPr>
        <w:tc>
          <w:tcPr>
            <w:tcW w:w="3402" w:type="dxa"/>
            <w:shd w:val="clear" w:color="auto" w:fill="auto"/>
            <w:noWrap/>
            <w:vAlign w:val="center"/>
            <w:hideMark/>
          </w:tcPr>
          <w:p w14:paraId="2A3962A9" w14:textId="77777777" w:rsidR="00400A25" w:rsidRPr="007F411A" w:rsidRDefault="00400A25" w:rsidP="003E7925">
            <w:pPr>
              <w:spacing w:after="0" w:line="240" w:lineRule="auto"/>
              <w:rPr>
                <w:rFonts w:eastAsia="Times New Roman" w:cs="Calibri"/>
                <w:b/>
                <w:color w:val="000000"/>
                <w:lang w:val="en-US" w:eastAsia="fr-FR"/>
              </w:rPr>
            </w:pPr>
            <w:r w:rsidRPr="00BA4B87">
              <w:rPr>
                <w:rFonts w:eastAsia="Times New Roman" w:cs="Calibri"/>
                <w:b/>
                <w:color w:val="000000"/>
                <w:lang w:val="en-US" w:eastAsia="fr-FR"/>
              </w:rPr>
              <w:t xml:space="preserve">Number of infectious episode (N=95) </w:t>
            </w:r>
            <w:r w:rsidRPr="007F411A">
              <w:rPr>
                <w:rFonts w:eastAsia="Times New Roman" w:cs="Calibri"/>
                <w:color w:val="000000"/>
                <w:lang w:val="en-US" w:eastAsia="fr-FR"/>
              </w:rPr>
              <w:t>Median [Q1;Q3]</w:t>
            </w:r>
          </w:p>
        </w:tc>
        <w:tc>
          <w:tcPr>
            <w:tcW w:w="1701" w:type="dxa"/>
            <w:shd w:val="clear" w:color="auto" w:fill="auto"/>
            <w:noWrap/>
            <w:vAlign w:val="bottom"/>
            <w:hideMark/>
          </w:tcPr>
          <w:p w14:paraId="768AB326" w14:textId="77777777" w:rsidR="00400A25" w:rsidRPr="007F411A" w:rsidRDefault="00400A25" w:rsidP="009906BB">
            <w:pPr>
              <w:spacing w:after="0" w:line="240" w:lineRule="auto"/>
              <w:rPr>
                <w:rFonts w:eastAsia="Times New Roman" w:cs="Calibri"/>
                <w:b/>
                <w:color w:val="000000"/>
                <w:lang w:val="en-US" w:eastAsia="fr-FR"/>
              </w:rPr>
            </w:pPr>
            <w:r w:rsidRPr="009B46ED">
              <w:rPr>
                <w:rFonts w:eastAsia="Times New Roman" w:cs="Calibri"/>
                <w:color w:val="000000"/>
                <w:lang w:eastAsia="fr-FR"/>
              </w:rPr>
              <w:t>2.00 [1.00;3.00]</w:t>
            </w:r>
          </w:p>
        </w:tc>
        <w:tc>
          <w:tcPr>
            <w:tcW w:w="1701" w:type="dxa"/>
            <w:shd w:val="clear" w:color="auto" w:fill="auto"/>
            <w:noWrap/>
            <w:vAlign w:val="bottom"/>
            <w:hideMark/>
          </w:tcPr>
          <w:p w14:paraId="4207BD21" w14:textId="77777777" w:rsidR="00400A25" w:rsidRPr="007F411A" w:rsidRDefault="00400A25" w:rsidP="009906BB">
            <w:pPr>
              <w:spacing w:after="0" w:line="240" w:lineRule="auto"/>
              <w:rPr>
                <w:rFonts w:eastAsia="Times New Roman" w:cs="Calibri"/>
                <w:b/>
                <w:color w:val="000000"/>
                <w:lang w:val="en-US" w:eastAsia="fr-FR"/>
              </w:rPr>
            </w:pPr>
            <w:r w:rsidRPr="009B46ED">
              <w:rPr>
                <w:rFonts w:eastAsia="Times New Roman" w:cs="Calibri"/>
                <w:color w:val="000000"/>
                <w:lang w:eastAsia="fr-FR"/>
              </w:rPr>
              <w:t>2.00 [1.00;3.00]</w:t>
            </w:r>
          </w:p>
        </w:tc>
        <w:tc>
          <w:tcPr>
            <w:tcW w:w="1701" w:type="dxa"/>
            <w:shd w:val="clear" w:color="auto" w:fill="auto"/>
            <w:noWrap/>
            <w:vAlign w:val="bottom"/>
            <w:hideMark/>
          </w:tcPr>
          <w:p w14:paraId="3DEF6C49" w14:textId="77777777" w:rsidR="00400A25" w:rsidRPr="007F411A" w:rsidRDefault="00400A25" w:rsidP="009906BB">
            <w:pPr>
              <w:spacing w:after="0" w:line="240" w:lineRule="auto"/>
              <w:rPr>
                <w:rFonts w:eastAsia="Times New Roman" w:cs="Calibri"/>
                <w:b/>
                <w:color w:val="000000"/>
                <w:lang w:val="en-US" w:eastAsia="fr-FR"/>
              </w:rPr>
            </w:pPr>
            <w:r w:rsidRPr="009B46ED">
              <w:rPr>
                <w:rFonts w:eastAsia="Times New Roman" w:cs="Calibri"/>
                <w:color w:val="000000"/>
                <w:lang w:eastAsia="fr-FR"/>
              </w:rPr>
              <w:t>2.00 [1.00;2.50]</w:t>
            </w:r>
          </w:p>
        </w:tc>
        <w:tc>
          <w:tcPr>
            <w:tcW w:w="1701" w:type="dxa"/>
            <w:shd w:val="clear" w:color="auto" w:fill="auto"/>
            <w:noWrap/>
            <w:vAlign w:val="bottom"/>
            <w:hideMark/>
          </w:tcPr>
          <w:p w14:paraId="251A096F" w14:textId="77777777" w:rsidR="00400A25" w:rsidRPr="007F411A" w:rsidRDefault="00400A25" w:rsidP="009906BB">
            <w:pPr>
              <w:spacing w:after="0" w:line="240" w:lineRule="auto"/>
              <w:rPr>
                <w:rFonts w:eastAsia="Times New Roman" w:cs="Calibri"/>
                <w:b/>
                <w:color w:val="000000"/>
                <w:lang w:val="en-US" w:eastAsia="fr-FR"/>
              </w:rPr>
            </w:pPr>
          </w:p>
        </w:tc>
        <w:tc>
          <w:tcPr>
            <w:tcW w:w="833" w:type="dxa"/>
            <w:shd w:val="clear" w:color="auto" w:fill="auto"/>
            <w:noWrap/>
            <w:vAlign w:val="bottom"/>
            <w:hideMark/>
          </w:tcPr>
          <w:p w14:paraId="72E8A3CA" w14:textId="77777777" w:rsidR="00400A25" w:rsidRPr="007F411A" w:rsidRDefault="00400A25" w:rsidP="009906BB">
            <w:pPr>
              <w:spacing w:after="0" w:line="240" w:lineRule="auto"/>
              <w:rPr>
                <w:rFonts w:eastAsia="Times New Roman" w:cs="Calibri"/>
                <w:b/>
                <w:color w:val="000000"/>
                <w:lang w:val="en-US" w:eastAsia="fr-FR"/>
              </w:rPr>
            </w:pPr>
            <w:r w:rsidRPr="009B46ED">
              <w:rPr>
                <w:rFonts w:eastAsia="Times New Roman" w:cs="Calibri"/>
                <w:color w:val="000000"/>
                <w:lang w:eastAsia="fr-FR"/>
              </w:rPr>
              <w:t>0.88</w:t>
            </w:r>
          </w:p>
        </w:tc>
      </w:tr>
      <w:tr w:rsidR="00400A25" w:rsidRPr="009B46ED" w14:paraId="04C1CF18" w14:textId="77777777" w:rsidTr="009906BB">
        <w:trPr>
          <w:trHeight w:val="300"/>
          <w:jc w:val="center"/>
        </w:trPr>
        <w:tc>
          <w:tcPr>
            <w:tcW w:w="3402" w:type="dxa"/>
            <w:shd w:val="clear" w:color="auto" w:fill="auto"/>
            <w:noWrap/>
            <w:vAlign w:val="center"/>
            <w:hideMark/>
          </w:tcPr>
          <w:p w14:paraId="79B413B5" w14:textId="77777777" w:rsidR="00400A25" w:rsidRPr="007F411A" w:rsidRDefault="00400A25" w:rsidP="009906BB">
            <w:pPr>
              <w:spacing w:after="0" w:line="240" w:lineRule="auto"/>
              <w:jc w:val="right"/>
              <w:rPr>
                <w:rFonts w:eastAsia="Times New Roman" w:cs="Calibri"/>
                <w:color w:val="000000"/>
                <w:lang w:val="en-US" w:eastAsia="fr-FR"/>
              </w:rPr>
            </w:pPr>
          </w:p>
        </w:tc>
        <w:tc>
          <w:tcPr>
            <w:tcW w:w="1701" w:type="dxa"/>
            <w:shd w:val="clear" w:color="auto" w:fill="auto"/>
            <w:noWrap/>
            <w:vAlign w:val="bottom"/>
          </w:tcPr>
          <w:p w14:paraId="0C6501F1" w14:textId="77777777" w:rsidR="00400A25" w:rsidRPr="009B46ED" w:rsidRDefault="00400A25" w:rsidP="009906BB">
            <w:pPr>
              <w:spacing w:after="0" w:line="240" w:lineRule="auto"/>
              <w:jc w:val="center"/>
              <w:rPr>
                <w:rFonts w:eastAsia="Times New Roman" w:cs="Calibri"/>
                <w:color w:val="000000"/>
                <w:lang w:eastAsia="fr-FR"/>
              </w:rPr>
            </w:pPr>
          </w:p>
        </w:tc>
        <w:tc>
          <w:tcPr>
            <w:tcW w:w="1701" w:type="dxa"/>
            <w:shd w:val="clear" w:color="auto" w:fill="auto"/>
            <w:noWrap/>
            <w:vAlign w:val="bottom"/>
          </w:tcPr>
          <w:p w14:paraId="1A081F58" w14:textId="77777777" w:rsidR="00400A25" w:rsidRPr="009B46ED" w:rsidRDefault="00400A25" w:rsidP="009906BB">
            <w:pPr>
              <w:spacing w:after="0" w:line="240" w:lineRule="auto"/>
              <w:jc w:val="center"/>
              <w:rPr>
                <w:rFonts w:eastAsia="Times New Roman" w:cs="Calibri"/>
                <w:color w:val="000000"/>
                <w:lang w:eastAsia="fr-FR"/>
              </w:rPr>
            </w:pPr>
          </w:p>
        </w:tc>
        <w:tc>
          <w:tcPr>
            <w:tcW w:w="1701" w:type="dxa"/>
            <w:shd w:val="clear" w:color="auto" w:fill="auto"/>
            <w:noWrap/>
            <w:vAlign w:val="bottom"/>
          </w:tcPr>
          <w:p w14:paraId="44A72D90" w14:textId="77777777" w:rsidR="00400A25" w:rsidRPr="009B46ED" w:rsidRDefault="00400A25" w:rsidP="009906BB">
            <w:pPr>
              <w:spacing w:after="0" w:line="240" w:lineRule="auto"/>
              <w:jc w:val="center"/>
              <w:rPr>
                <w:rFonts w:eastAsia="Times New Roman" w:cs="Calibri"/>
                <w:color w:val="000000"/>
                <w:lang w:eastAsia="fr-FR"/>
              </w:rPr>
            </w:pPr>
          </w:p>
        </w:tc>
        <w:tc>
          <w:tcPr>
            <w:tcW w:w="1701" w:type="dxa"/>
            <w:shd w:val="clear" w:color="auto" w:fill="auto"/>
            <w:noWrap/>
            <w:vAlign w:val="bottom"/>
            <w:hideMark/>
          </w:tcPr>
          <w:p w14:paraId="5C8BC8CC" w14:textId="77777777" w:rsidR="00400A25" w:rsidRPr="009B46ED" w:rsidRDefault="00400A25" w:rsidP="009906BB">
            <w:pPr>
              <w:spacing w:after="0" w:line="240" w:lineRule="auto"/>
              <w:jc w:val="center"/>
              <w:rPr>
                <w:rFonts w:eastAsia="Times New Roman" w:cs="Calibri"/>
                <w:color w:val="000000"/>
                <w:lang w:eastAsia="fr-FR"/>
              </w:rPr>
            </w:pPr>
          </w:p>
        </w:tc>
        <w:tc>
          <w:tcPr>
            <w:tcW w:w="833" w:type="dxa"/>
            <w:shd w:val="clear" w:color="auto" w:fill="auto"/>
            <w:noWrap/>
            <w:vAlign w:val="bottom"/>
            <w:hideMark/>
          </w:tcPr>
          <w:p w14:paraId="79A331FE" w14:textId="77777777" w:rsidR="00400A25" w:rsidRPr="009B46ED" w:rsidRDefault="00400A25" w:rsidP="009906BB">
            <w:pPr>
              <w:spacing w:after="0" w:line="240" w:lineRule="auto"/>
              <w:jc w:val="center"/>
              <w:rPr>
                <w:rFonts w:eastAsia="Times New Roman" w:cs="Calibri"/>
                <w:color w:val="000000"/>
                <w:lang w:eastAsia="fr-FR"/>
              </w:rPr>
            </w:pPr>
          </w:p>
        </w:tc>
      </w:tr>
      <w:tr w:rsidR="00400A25" w:rsidRPr="009B46ED" w14:paraId="07830D56" w14:textId="77777777" w:rsidTr="009906BB">
        <w:trPr>
          <w:trHeight w:val="300"/>
          <w:jc w:val="center"/>
        </w:trPr>
        <w:tc>
          <w:tcPr>
            <w:tcW w:w="3402" w:type="dxa"/>
            <w:shd w:val="clear" w:color="auto" w:fill="auto"/>
            <w:noWrap/>
            <w:vAlign w:val="center"/>
            <w:hideMark/>
          </w:tcPr>
          <w:p w14:paraId="1A327BE6" w14:textId="77777777" w:rsidR="00400A25" w:rsidRPr="009B46ED" w:rsidRDefault="00400A25"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Urinary</w:t>
            </w:r>
            <w:proofErr w:type="spellEnd"/>
            <w:r>
              <w:rPr>
                <w:rFonts w:eastAsia="Times New Roman" w:cs="Calibri"/>
                <w:b/>
                <w:color w:val="000000"/>
                <w:lang w:eastAsia="fr-FR"/>
              </w:rPr>
              <w:t xml:space="preserve"> tract infection</w:t>
            </w:r>
            <w:r w:rsidRPr="009B46ED">
              <w:rPr>
                <w:rFonts w:eastAsia="Times New Roman" w:cs="Calibri"/>
                <w:b/>
                <w:color w:val="000000"/>
                <w:lang w:eastAsia="fr-FR"/>
              </w:rPr>
              <w:t xml:space="preserve"> (N=977)</w:t>
            </w:r>
            <w:r>
              <w:rPr>
                <w:rFonts w:eastAsia="Times New Roman" w:cs="Calibri"/>
                <w:b/>
                <w:color w:val="000000"/>
                <w:lang w:eastAsia="fr-FR"/>
              </w:rPr>
              <w:t xml:space="preserve"> </w:t>
            </w:r>
          </w:p>
        </w:tc>
        <w:tc>
          <w:tcPr>
            <w:tcW w:w="1701" w:type="dxa"/>
            <w:shd w:val="clear" w:color="auto" w:fill="auto"/>
            <w:noWrap/>
            <w:vAlign w:val="bottom"/>
            <w:hideMark/>
          </w:tcPr>
          <w:p w14:paraId="1DC7F887"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42 (4.30%)</w:t>
            </w:r>
          </w:p>
        </w:tc>
        <w:tc>
          <w:tcPr>
            <w:tcW w:w="1701" w:type="dxa"/>
            <w:shd w:val="clear" w:color="auto" w:fill="auto"/>
            <w:noWrap/>
            <w:vAlign w:val="bottom"/>
            <w:hideMark/>
          </w:tcPr>
          <w:p w14:paraId="1B9621F2"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38 (4.39%)</w:t>
            </w:r>
          </w:p>
        </w:tc>
        <w:tc>
          <w:tcPr>
            <w:tcW w:w="1701" w:type="dxa"/>
            <w:shd w:val="clear" w:color="auto" w:fill="auto"/>
            <w:noWrap/>
            <w:vAlign w:val="bottom"/>
            <w:hideMark/>
          </w:tcPr>
          <w:p w14:paraId="69A0FEA7"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 (3.57%)</w:t>
            </w:r>
          </w:p>
        </w:tc>
        <w:tc>
          <w:tcPr>
            <w:tcW w:w="1701" w:type="dxa"/>
            <w:shd w:val="clear" w:color="auto" w:fill="auto"/>
            <w:noWrap/>
            <w:vAlign w:val="bottom"/>
            <w:hideMark/>
          </w:tcPr>
          <w:p w14:paraId="60564048"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0.81 [0.28;2.30]</w:t>
            </w:r>
          </w:p>
        </w:tc>
        <w:tc>
          <w:tcPr>
            <w:tcW w:w="833" w:type="dxa"/>
            <w:shd w:val="clear" w:color="auto" w:fill="auto"/>
            <w:noWrap/>
            <w:vAlign w:val="bottom"/>
            <w:hideMark/>
          </w:tcPr>
          <w:p w14:paraId="67ECEE68"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&gt;0.99</w:t>
            </w:r>
          </w:p>
        </w:tc>
      </w:tr>
      <w:tr w:rsidR="00400A25" w:rsidRPr="009B46ED" w14:paraId="097D15B2" w14:textId="77777777" w:rsidTr="009906BB">
        <w:trPr>
          <w:trHeight w:val="300"/>
          <w:jc w:val="center"/>
        </w:trPr>
        <w:tc>
          <w:tcPr>
            <w:tcW w:w="3402" w:type="dxa"/>
            <w:shd w:val="clear" w:color="auto" w:fill="auto"/>
            <w:noWrap/>
            <w:vAlign w:val="center"/>
            <w:hideMark/>
          </w:tcPr>
          <w:p w14:paraId="49A351E4" w14:textId="77777777" w:rsidR="00400A25" w:rsidRPr="009B46ED" w:rsidRDefault="00400A25" w:rsidP="009906BB">
            <w:pPr>
              <w:spacing w:after="0" w:line="240" w:lineRule="auto"/>
              <w:rPr>
                <w:rFonts w:eastAsia="Times New Roman" w:cs="Calibri"/>
                <w:b/>
                <w:color w:val="000000"/>
                <w:lang w:eastAsia="fr-FR"/>
              </w:rPr>
            </w:pPr>
            <w:r>
              <w:rPr>
                <w:rFonts w:eastAsia="Times New Roman" w:cs="Calibri"/>
                <w:b/>
                <w:color w:val="000000"/>
                <w:lang w:eastAsia="fr-FR"/>
              </w:rPr>
              <w:t xml:space="preserve">Primitive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(N=978)</w:t>
            </w:r>
            <w:r>
              <w:rPr>
                <w:rFonts w:eastAsia="Times New Roman" w:cs="Calibri"/>
                <w:b/>
                <w:color w:val="000000"/>
                <w:lang w:eastAsia="fr-FR"/>
              </w:rPr>
              <w:t xml:space="preserve"> </w:t>
            </w:r>
          </w:p>
        </w:tc>
        <w:tc>
          <w:tcPr>
            <w:tcW w:w="1701" w:type="dxa"/>
            <w:shd w:val="clear" w:color="auto" w:fill="auto"/>
            <w:noWrap/>
            <w:vAlign w:val="bottom"/>
            <w:hideMark/>
          </w:tcPr>
          <w:p w14:paraId="198973C5"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75 (7.67%)</w:t>
            </w:r>
          </w:p>
        </w:tc>
        <w:tc>
          <w:tcPr>
            <w:tcW w:w="1701" w:type="dxa"/>
            <w:shd w:val="clear" w:color="auto" w:fill="auto"/>
            <w:noWrap/>
            <w:vAlign w:val="bottom"/>
            <w:hideMark/>
          </w:tcPr>
          <w:p w14:paraId="492AFB2C"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69 (7.97%)</w:t>
            </w:r>
          </w:p>
        </w:tc>
        <w:tc>
          <w:tcPr>
            <w:tcW w:w="1701" w:type="dxa"/>
            <w:shd w:val="clear" w:color="auto" w:fill="auto"/>
            <w:noWrap/>
            <w:vAlign w:val="bottom"/>
            <w:hideMark/>
          </w:tcPr>
          <w:p w14:paraId="10F2A014"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6 (5.36%)</w:t>
            </w:r>
          </w:p>
        </w:tc>
        <w:tc>
          <w:tcPr>
            <w:tcW w:w="1701" w:type="dxa"/>
            <w:shd w:val="clear" w:color="auto" w:fill="auto"/>
            <w:noWrap/>
            <w:vAlign w:val="bottom"/>
            <w:hideMark/>
          </w:tcPr>
          <w:p w14:paraId="46F3D19E"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0.65 [0.28;1.54]</w:t>
            </w:r>
          </w:p>
        </w:tc>
        <w:tc>
          <w:tcPr>
            <w:tcW w:w="833" w:type="dxa"/>
            <w:shd w:val="clear" w:color="auto" w:fill="auto"/>
            <w:noWrap/>
            <w:vAlign w:val="bottom"/>
            <w:hideMark/>
          </w:tcPr>
          <w:p w14:paraId="12BD76A3"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0.33</w:t>
            </w:r>
          </w:p>
        </w:tc>
      </w:tr>
      <w:tr w:rsidR="00400A25" w:rsidRPr="009B46ED" w14:paraId="69161051" w14:textId="77777777" w:rsidTr="009906BB">
        <w:trPr>
          <w:trHeight w:val="300"/>
          <w:jc w:val="center"/>
        </w:trPr>
        <w:tc>
          <w:tcPr>
            <w:tcW w:w="3402" w:type="dxa"/>
            <w:shd w:val="clear" w:color="auto" w:fill="auto"/>
            <w:noWrap/>
            <w:vAlign w:val="center"/>
            <w:hideMark/>
          </w:tcPr>
          <w:p w14:paraId="1EB61646" w14:textId="77777777" w:rsidR="00400A25" w:rsidRPr="009B46ED" w:rsidRDefault="00400A25"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Secondary</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(N=977)</w:t>
            </w:r>
            <w:r>
              <w:rPr>
                <w:rFonts w:eastAsia="Times New Roman" w:cs="Calibri"/>
                <w:b/>
                <w:color w:val="000000"/>
                <w:lang w:eastAsia="fr-FR"/>
              </w:rPr>
              <w:t xml:space="preserve"> </w:t>
            </w:r>
          </w:p>
        </w:tc>
        <w:tc>
          <w:tcPr>
            <w:tcW w:w="1701" w:type="dxa"/>
            <w:shd w:val="clear" w:color="auto" w:fill="auto"/>
            <w:noWrap/>
            <w:vAlign w:val="bottom"/>
            <w:hideMark/>
          </w:tcPr>
          <w:p w14:paraId="4A812F48"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50 (5.12%)</w:t>
            </w:r>
          </w:p>
        </w:tc>
        <w:tc>
          <w:tcPr>
            <w:tcW w:w="1701" w:type="dxa"/>
            <w:shd w:val="clear" w:color="auto" w:fill="auto"/>
            <w:noWrap/>
            <w:vAlign w:val="bottom"/>
            <w:hideMark/>
          </w:tcPr>
          <w:p w14:paraId="58FFAB4E"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46 (5.31%)</w:t>
            </w:r>
          </w:p>
        </w:tc>
        <w:tc>
          <w:tcPr>
            <w:tcW w:w="1701" w:type="dxa"/>
            <w:shd w:val="clear" w:color="auto" w:fill="auto"/>
            <w:noWrap/>
            <w:vAlign w:val="bottom"/>
            <w:hideMark/>
          </w:tcPr>
          <w:p w14:paraId="635BBA7B"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 (3.60%)</w:t>
            </w:r>
          </w:p>
        </w:tc>
        <w:tc>
          <w:tcPr>
            <w:tcW w:w="1701" w:type="dxa"/>
            <w:shd w:val="clear" w:color="auto" w:fill="auto"/>
            <w:noWrap/>
            <w:vAlign w:val="bottom"/>
            <w:hideMark/>
          </w:tcPr>
          <w:p w14:paraId="510DF725"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0.67 [0.24;1.89]</w:t>
            </w:r>
          </w:p>
        </w:tc>
        <w:tc>
          <w:tcPr>
            <w:tcW w:w="833" w:type="dxa"/>
            <w:shd w:val="clear" w:color="auto" w:fill="auto"/>
            <w:noWrap/>
            <w:vAlign w:val="bottom"/>
            <w:hideMark/>
          </w:tcPr>
          <w:p w14:paraId="1FCF26F4"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0.44</w:t>
            </w:r>
          </w:p>
        </w:tc>
      </w:tr>
      <w:tr w:rsidR="00400A25" w:rsidRPr="009B46ED" w14:paraId="1BDEB5B7" w14:textId="77777777" w:rsidTr="009906BB">
        <w:trPr>
          <w:trHeight w:val="300"/>
          <w:jc w:val="center"/>
        </w:trPr>
        <w:tc>
          <w:tcPr>
            <w:tcW w:w="3402" w:type="dxa"/>
            <w:shd w:val="clear" w:color="auto" w:fill="auto"/>
            <w:noWrap/>
            <w:vAlign w:val="center"/>
            <w:hideMark/>
          </w:tcPr>
          <w:p w14:paraId="0E7CDDAD" w14:textId="77777777" w:rsidR="00400A25" w:rsidRPr="009B46ED" w:rsidRDefault="00400A25"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Catheter-related</w:t>
            </w:r>
            <w:proofErr w:type="spellEnd"/>
            <w:r>
              <w:rPr>
                <w:rFonts w:eastAsia="Times New Roman" w:cs="Calibri"/>
                <w:b/>
                <w:color w:val="000000"/>
                <w:lang w:eastAsia="fr-FR"/>
              </w:rPr>
              <w:t xml:space="preserve"> infection</w:t>
            </w:r>
            <w:r w:rsidRPr="009B46ED">
              <w:rPr>
                <w:rFonts w:eastAsia="Times New Roman" w:cs="Calibri"/>
                <w:b/>
                <w:color w:val="000000"/>
                <w:lang w:eastAsia="fr-FR"/>
              </w:rPr>
              <w:t xml:space="preserve"> (N=976)</w:t>
            </w:r>
            <w:r>
              <w:rPr>
                <w:rFonts w:eastAsia="Times New Roman" w:cs="Calibri"/>
                <w:b/>
                <w:color w:val="000000"/>
                <w:lang w:eastAsia="fr-FR"/>
              </w:rPr>
              <w:t xml:space="preserve"> </w:t>
            </w:r>
          </w:p>
        </w:tc>
        <w:tc>
          <w:tcPr>
            <w:tcW w:w="1701" w:type="dxa"/>
            <w:shd w:val="clear" w:color="auto" w:fill="auto"/>
            <w:noWrap/>
            <w:vAlign w:val="bottom"/>
            <w:hideMark/>
          </w:tcPr>
          <w:p w14:paraId="6750FF0D"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30 (3.07%)</w:t>
            </w:r>
          </w:p>
        </w:tc>
        <w:tc>
          <w:tcPr>
            <w:tcW w:w="1701" w:type="dxa"/>
            <w:shd w:val="clear" w:color="auto" w:fill="auto"/>
            <w:noWrap/>
            <w:vAlign w:val="bottom"/>
            <w:hideMark/>
          </w:tcPr>
          <w:p w14:paraId="29558152"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30 (3.47%)</w:t>
            </w:r>
          </w:p>
        </w:tc>
        <w:tc>
          <w:tcPr>
            <w:tcW w:w="1701" w:type="dxa"/>
            <w:shd w:val="clear" w:color="auto" w:fill="auto"/>
            <w:noWrap/>
            <w:vAlign w:val="bottom"/>
            <w:hideMark/>
          </w:tcPr>
          <w:p w14:paraId="504EFA55"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 (0.00%)</w:t>
            </w:r>
          </w:p>
        </w:tc>
        <w:tc>
          <w:tcPr>
            <w:tcW w:w="1701" w:type="dxa"/>
            <w:shd w:val="clear" w:color="auto" w:fill="auto"/>
            <w:noWrap/>
            <w:vAlign w:val="bottom"/>
            <w:hideMark/>
          </w:tcPr>
          <w:p w14:paraId="00E67D07" w14:textId="77777777" w:rsidR="00400A25" w:rsidRPr="009B46ED" w:rsidRDefault="00400A25" w:rsidP="009906BB">
            <w:pPr>
              <w:spacing w:after="0" w:line="240" w:lineRule="auto"/>
              <w:rPr>
                <w:rFonts w:eastAsia="Times New Roman" w:cs="Calibri"/>
                <w:b/>
                <w:color w:val="000000"/>
                <w:lang w:eastAsia="fr-FR"/>
              </w:rPr>
            </w:pPr>
          </w:p>
        </w:tc>
        <w:tc>
          <w:tcPr>
            <w:tcW w:w="833" w:type="dxa"/>
            <w:shd w:val="clear" w:color="auto" w:fill="auto"/>
            <w:noWrap/>
            <w:vAlign w:val="bottom"/>
            <w:hideMark/>
          </w:tcPr>
          <w:p w14:paraId="25572978" w14:textId="77777777" w:rsidR="00400A25" w:rsidRPr="009B46ED" w:rsidRDefault="00400A25" w:rsidP="009906BB">
            <w:pPr>
              <w:spacing w:after="0" w:line="240" w:lineRule="auto"/>
              <w:rPr>
                <w:rFonts w:eastAsia="Times New Roman" w:cs="Calibri"/>
                <w:b/>
                <w:color w:val="000000"/>
                <w:lang w:eastAsia="fr-FR"/>
              </w:rPr>
            </w:pPr>
            <w:r w:rsidRPr="003F31C3">
              <w:rPr>
                <w:rFonts w:eastAsia="Times New Roman" w:cs="Calibri"/>
                <w:b/>
                <w:color w:val="000000"/>
                <w:lang w:eastAsia="fr-FR"/>
              </w:rPr>
              <w:t>0.0401</w:t>
            </w:r>
          </w:p>
        </w:tc>
      </w:tr>
      <w:tr w:rsidR="00400A25" w:rsidRPr="009B46ED" w14:paraId="34A3CEC0" w14:textId="77777777" w:rsidTr="009906BB">
        <w:trPr>
          <w:trHeight w:val="300"/>
          <w:jc w:val="center"/>
        </w:trPr>
        <w:tc>
          <w:tcPr>
            <w:tcW w:w="3402" w:type="dxa"/>
            <w:shd w:val="clear" w:color="auto" w:fill="auto"/>
            <w:noWrap/>
            <w:vAlign w:val="center"/>
            <w:hideMark/>
          </w:tcPr>
          <w:p w14:paraId="49EDF9A5" w14:textId="77777777" w:rsidR="00400A25" w:rsidRPr="009B46ED" w:rsidRDefault="00400A25"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Ventilator-associated</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pneumonia</w:t>
            </w:r>
            <w:proofErr w:type="spellEnd"/>
            <w:r>
              <w:rPr>
                <w:rFonts w:eastAsia="Times New Roman" w:cs="Calibri"/>
                <w:b/>
                <w:color w:val="000000"/>
                <w:lang w:eastAsia="fr-FR"/>
              </w:rPr>
              <w:t xml:space="preserve"> </w:t>
            </w:r>
          </w:p>
        </w:tc>
        <w:tc>
          <w:tcPr>
            <w:tcW w:w="1701" w:type="dxa"/>
            <w:shd w:val="clear" w:color="auto" w:fill="auto"/>
            <w:noWrap/>
            <w:vAlign w:val="bottom"/>
            <w:hideMark/>
          </w:tcPr>
          <w:p w14:paraId="498F0E10"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356 (36.18%)</w:t>
            </w:r>
          </w:p>
        </w:tc>
        <w:tc>
          <w:tcPr>
            <w:tcW w:w="1701" w:type="dxa"/>
            <w:shd w:val="clear" w:color="auto" w:fill="auto"/>
            <w:noWrap/>
            <w:vAlign w:val="bottom"/>
            <w:hideMark/>
          </w:tcPr>
          <w:p w14:paraId="101B5940"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314 (36.01%)</w:t>
            </w:r>
          </w:p>
        </w:tc>
        <w:tc>
          <w:tcPr>
            <w:tcW w:w="1701" w:type="dxa"/>
            <w:shd w:val="clear" w:color="auto" w:fill="auto"/>
            <w:noWrap/>
            <w:vAlign w:val="bottom"/>
            <w:hideMark/>
          </w:tcPr>
          <w:p w14:paraId="043BB323"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42 (37.50%)</w:t>
            </w:r>
          </w:p>
        </w:tc>
        <w:tc>
          <w:tcPr>
            <w:tcW w:w="1701" w:type="dxa"/>
            <w:shd w:val="clear" w:color="auto" w:fill="auto"/>
            <w:noWrap/>
            <w:vAlign w:val="bottom"/>
            <w:hideMark/>
          </w:tcPr>
          <w:p w14:paraId="0153F2C0"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1.07 [0.71;1.60]</w:t>
            </w:r>
          </w:p>
        </w:tc>
        <w:tc>
          <w:tcPr>
            <w:tcW w:w="833" w:type="dxa"/>
            <w:shd w:val="clear" w:color="auto" w:fill="auto"/>
            <w:noWrap/>
            <w:vAlign w:val="bottom"/>
            <w:hideMark/>
          </w:tcPr>
          <w:p w14:paraId="0C946999" w14:textId="77777777" w:rsidR="00400A25" w:rsidRPr="009B46ED" w:rsidRDefault="00400A25" w:rsidP="009906BB">
            <w:pPr>
              <w:spacing w:after="0" w:line="240" w:lineRule="auto"/>
              <w:rPr>
                <w:rFonts w:eastAsia="Times New Roman" w:cs="Calibri"/>
                <w:b/>
                <w:color w:val="000000"/>
                <w:lang w:eastAsia="fr-FR"/>
              </w:rPr>
            </w:pPr>
            <w:r w:rsidRPr="009B46ED">
              <w:rPr>
                <w:rFonts w:eastAsia="Times New Roman" w:cs="Calibri"/>
                <w:color w:val="000000"/>
                <w:lang w:eastAsia="fr-FR"/>
              </w:rPr>
              <w:t>0.76</w:t>
            </w:r>
          </w:p>
        </w:tc>
      </w:tr>
    </w:tbl>
    <w:p w14:paraId="23E379CA" w14:textId="77777777" w:rsidR="003E5A82" w:rsidRDefault="003E5A82">
      <w:pPr>
        <w:rPr>
          <w:lang w:val="en-US"/>
        </w:rPr>
      </w:pPr>
    </w:p>
    <w:p w14:paraId="75E74C6C" w14:textId="77777777" w:rsidR="00B843E1" w:rsidRDefault="00B843E1" w:rsidP="00AD17C6">
      <w:pPr>
        <w:rPr>
          <w:u w:val="single"/>
          <w:lang w:val="en-US"/>
        </w:rPr>
      </w:pPr>
    </w:p>
    <w:p w14:paraId="3C969DE0" w14:textId="379CD668" w:rsidR="00BB256C" w:rsidRDefault="00400A25">
      <w:pPr>
        <w:rPr>
          <w:lang w:val="en-US"/>
        </w:rPr>
      </w:pPr>
      <w:r>
        <w:rPr>
          <w:lang w:val="en-US"/>
        </w:rPr>
        <w:br w:type="page"/>
      </w:r>
    </w:p>
    <w:p w14:paraId="5F1E876D" w14:textId="76EA162A" w:rsidR="00400A25" w:rsidRDefault="00757B2A" w:rsidP="00400A25">
      <w:pPr>
        <w:rPr>
          <w:lang w:val="en-US"/>
        </w:rPr>
      </w:pPr>
      <w:r w:rsidRPr="00A858BB">
        <w:rPr>
          <w:u w:val="single"/>
          <w:lang w:val="en-US"/>
        </w:rPr>
        <w:lastRenderedPageBreak/>
        <w:t>Supplementary table 1</w:t>
      </w:r>
      <w:r w:rsidR="0029634D">
        <w:rPr>
          <w:u w:val="single"/>
          <w:lang w:val="en-US"/>
        </w:rPr>
        <w:t>0</w:t>
      </w:r>
      <w:r w:rsidRPr="003C678A">
        <w:rPr>
          <w:lang w:val="en-US"/>
        </w:rPr>
        <w:t>: non</w:t>
      </w:r>
      <w:r w:rsidR="003C678A">
        <w:rPr>
          <w:lang w:val="en-US"/>
        </w:rPr>
        <w:t>-</w:t>
      </w:r>
      <w:r w:rsidRPr="003C678A">
        <w:rPr>
          <w:lang w:val="en-US"/>
        </w:rPr>
        <w:t xml:space="preserve">infectious </w:t>
      </w:r>
      <w:r w:rsidR="00A04AC1">
        <w:rPr>
          <w:lang w:val="en-US"/>
        </w:rPr>
        <w:t>complication</w:t>
      </w:r>
      <w:r w:rsidRPr="003C678A">
        <w:rPr>
          <w:lang w:val="en-US"/>
        </w:rPr>
        <w:t xml:space="preserve">: </w:t>
      </w:r>
      <w:proofErr w:type="spellStart"/>
      <w:r w:rsidRPr="003C678A">
        <w:rPr>
          <w:lang w:val="en-US"/>
        </w:rPr>
        <w:t>Tocilizumab</w:t>
      </w:r>
      <w:proofErr w:type="spellEnd"/>
      <w:r w:rsidRPr="003C678A">
        <w:rPr>
          <w:lang w:val="en-US"/>
        </w:rPr>
        <w:t xml:space="preserve"> versus absence of </w:t>
      </w:r>
      <w:proofErr w:type="spellStart"/>
      <w:r w:rsidRPr="003C678A">
        <w:rPr>
          <w:lang w:val="en-US"/>
        </w:rPr>
        <w:t>Tocilizumab</w:t>
      </w:r>
      <w:proofErr w:type="spellEnd"/>
    </w:p>
    <w:tbl>
      <w:tblPr>
        <w:tblW w:w="1113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701"/>
        <w:gridCol w:w="1701"/>
        <w:gridCol w:w="1701"/>
        <w:gridCol w:w="1701"/>
        <w:gridCol w:w="933"/>
      </w:tblGrid>
      <w:tr w:rsidR="00E210CF" w:rsidRPr="00541D30" w14:paraId="421BDA5B" w14:textId="77777777" w:rsidTr="006A7818">
        <w:trPr>
          <w:trHeight w:val="300"/>
          <w:jc w:val="center"/>
        </w:trPr>
        <w:tc>
          <w:tcPr>
            <w:tcW w:w="3402" w:type="dxa"/>
            <w:tcBorders>
              <w:top w:val="single" w:sz="4" w:space="0" w:color="auto"/>
              <w:bottom w:val="single" w:sz="4" w:space="0" w:color="auto"/>
            </w:tcBorders>
            <w:shd w:val="clear" w:color="auto" w:fill="D9D9D9" w:themeFill="background1" w:themeFillShade="D9"/>
            <w:noWrap/>
            <w:vAlign w:val="center"/>
            <w:hideMark/>
          </w:tcPr>
          <w:p w14:paraId="464EFC65" w14:textId="77777777" w:rsidR="00E210CF" w:rsidRPr="00E210CF" w:rsidRDefault="00E210CF" w:rsidP="009906BB">
            <w:pPr>
              <w:spacing w:after="0" w:line="240" w:lineRule="auto"/>
              <w:jc w:val="right"/>
              <w:rPr>
                <w:rFonts w:eastAsia="Times New Roman" w:cs="Calibri"/>
                <w:color w:val="000000"/>
                <w:lang w:val="en-US" w:eastAsia="fr-FR"/>
              </w:rPr>
            </w:pPr>
          </w:p>
        </w:tc>
        <w:tc>
          <w:tcPr>
            <w:tcW w:w="1701" w:type="dxa"/>
            <w:tcBorders>
              <w:top w:val="single" w:sz="4" w:space="0" w:color="auto"/>
              <w:bottom w:val="single" w:sz="4" w:space="0" w:color="auto"/>
            </w:tcBorders>
            <w:shd w:val="clear" w:color="auto" w:fill="D9D9D9" w:themeFill="background1" w:themeFillShade="D9"/>
            <w:noWrap/>
            <w:vAlign w:val="center"/>
            <w:hideMark/>
          </w:tcPr>
          <w:p w14:paraId="5F359830" w14:textId="77777777" w:rsidR="00E210CF" w:rsidRPr="00541D30" w:rsidRDefault="00E210CF"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Total (N=2587)</w:t>
            </w:r>
          </w:p>
        </w:tc>
        <w:tc>
          <w:tcPr>
            <w:tcW w:w="1701" w:type="dxa"/>
            <w:tcBorders>
              <w:top w:val="single" w:sz="4" w:space="0" w:color="auto"/>
              <w:bottom w:val="single" w:sz="4" w:space="0" w:color="auto"/>
            </w:tcBorders>
            <w:shd w:val="clear" w:color="auto" w:fill="D9D9D9" w:themeFill="background1" w:themeFillShade="D9"/>
            <w:noWrap/>
            <w:vAlign w:val="center"/>
            <w:hideMark/>
          </w:tcPr>
          <w:p w14:paraId="261C600D" w14:textId="05BF2155" w:rsidR="00E210CF" w:rsidRPr="00541D30" w:rsidRDefault="00E210CF" w:rsidP="006A7818">
            <w:pPr>
              <w:spacing w:after="0" w:line="240" w:lineRule="auto"/>
              <w:jc w:val="center"/>
              <w:rPr>
                <w:rFonts w:eastAsia="Times New Roman" w:cs="Calibri"/>
                <w:color w:val="000000"/>
                <w:lang w:eastAsia="fr-FR"/>
              </w:rPr>
            </w:pPr>
            <w:r>
              <w:rPr>
                <w:rFonts w:eastAsia="Times New Roman" w:cs="Calibri"/>
                <w:color w:val="000000"/>
                <w:lang w:eastAsia="fr-FR"/>
              </w:rPr>
              <w:t xml:space="preserve">No </w:t>
            </w:r>
            <w:proofErr w:type="spellStart"/>
            <w:r>
              <w:rPr>
                <w:rFonts w:eastAsia="Times New Roman" w:cs="Calibri"/>
                <w:color w:val="000000"/>
                <w:lang w:eastAsia="fr-FR"/>
              </w:rPr>
              <w:t>T</w:t>
            </w:r>
            <w:r w:rsidRPr="00541D30">
              <w:rPr>
                <w:rFonts w:eastAsia="Times New Roman" w:cs="Calibri"/>
                <w:color w:val="000000"/>
                <w:lang w:eastAsia="fr-FR"/>
              </w:rPr>
              <w:t>ocilizumab</w:t>
            </w:r>
            <w:proofErr w:type="spellEnd"/>
            <w:r w:rsidRPr="00541D30">
              <w:rPr>
                <w:rFonts w:eastAsia="Times New Roman" w:cs="Calibri"/>
                <w:color w:val="000000"/>
                <w:lang w:eastAsia="fr-FR"/>
              </w:rPr>
              <w:t xml:space="preserve"> (N=2395)</w:t>
            </w:r>
          </w:p>
        </w:tc>
        <w:tc>
          <w:tcPr>
            <w:tcW w:w="1701" w:type="dxa"/>
            <w:tcBorders>
              <w:top w:val="single" w:sz="4" w:space="0" w:color="auto"/>
              <w:bottom w:val="single" w:sz="4" w:space="0" w:color="auto"/>
            </w:tcBorders>
            <w:shd w:val="clear" w:color="auto" w:fill="D9D9D9" w:themeFill="background1" w:themeFillShade="D9"/>
            <w:noWrap/>
            <w:vAlign w:val="center"/>
            <w:hideMark/>
          </w:tcPr>
          <w:p w14:paraId="299D9ACE" w14:textId="77777777" w:rsidR="00E210CF" w:rsidRPr="00541D30" w:rsidRDefault="00E210CF" w:rsidP="006A7818">
            <w:pPr>
              <w:spacing w:after="0" w:line="240" w:lineRule="auto"/>
              <w:jc w:val="center"/>
              <w:rPr>
                <w:rFonts w:eastAsia="Times New Roman" w:cs="Calibri"/>
                <w:color w:val="000000"/>
                <w:lang w:eastAsia="fr-FR"/>
              </w:rPr>
            </w:pPr>
            <w:proofErr w:type="spellStart"/>
            <w:r w:rsidRPr="00541D30">
              <w:rPr>
                <w:rFonts w:eastAsia="Times New Roman" w:cs="Calibri"/>
                <w:color w:val="000000"/>
                <w:lang w:eastAsia="fr-FR"/>
              </w:rPr>
              <w:t>Tocilizumab</w:t>
            </w:r>
            <w:proofErr w:type="spellEnd"/>
            <w:r w:rsidRPr="00541D30">
              <w:rPr>
                <w:rFonts w:eastAsia="Times New Roman" w:cs="Calibri"/>
                <w:color w:val="000000"/>
                <w:lang w:eastAsia="fr-FR"/>
              </w:rPr>
              <w:t xml:space="preserve"> (N=192)</w:t>
            </w:r>
          </w:p>
        </w:tc>
        <w:tc>
          <w:tcPr>
            <w:tcW w:w="1701" w:type="dxa"/>
            <w:tcBorders>
              <w:top w:val="single" w:sz="4" w:space="0" w:color="auto"/>
              <w:bottom w:val="single" w:sz="4" w:space="0" w:color="auto"/>
            </w:tcBorders>
            <w:shd w:val="clear" w:color="auto" w:fill="D9D9D9" w:themeFill="background1" w:themeFillShade="D9"/>
            <w:noWrap/>
            <w:vAlign w:val="center"/>
            <w:hideMark/>
          </w:tcPr>
          <w:p w14:paraId="1E48A0A3" w14:textId="77777777" w:rsidR="00E210CF" w:rsidRPr="00541D30" w:rsidRDefault="00E210CF"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OR [IC95%]</w:t>
            </w:r>
          </w:p>
        </w:tc>
        <w:tc>
          <w:tcPr>
            <w:tcW w:w="933" w:type="dxa"/>
            <w:tcBorders>
              <w:top w:val="single" w:sz="4" w:space="0" w:color="auto"/>
              <w:bottom w:val="single" w:sz="4" w:space="0" w:color="auto"/>
            </w:tcBorders>
            <w:shd w:val="clear" w:color="auto" w:fill="D9D9D9" w:themeFill="background1" w:themeFillShade="D9"/>
            <w:noWrap/>
            <w:vAlign w:val="center"/>
            <w:hideMark/>
          </w:tcPr>
          <w:p w14:paraId="634751D9" w14:textId="77777777" w:rsidR="00E210CF" w:rsidRPr="00541D30" w:rsidRDefault="00E210CF"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p</w:t>
            </w:r>
          </w:p>
        </w:tc>
      </w:tr>
      <w:tr w:rsidR="0076591B" w:rsidRPr="00541D30" w14:paraId="68840509" w14:textId="77777777" w:rsidTr="006A7818">
        <w:trPr>
          <w:trHeight w:val="300"/>
          <w:jc w:val="center"/>
        </w:trPr>
        <w:tc>
          <w:tcPr>
            <w:tcW w:w="3402" w:type="dxa"/>
            <w:tcBorders>
              <w:top w:val="single" w:sz="4" w:space="0" w:color="auto"/>
            </w:tcBorders>
            <w:shd w:val="clear" w:color="auto" w:fill="DEEAF6" w:themeFill="accent1" w:themeFillTint="33"/>
            <w:noWrap/>
            <w:vAlign w:val="center"/>
          </w:tcPr>
          <w:p w14:paraId="7217EC33" w14:textId="5FD8E598" w:rsidR="0076591B" w:rsidRDefault="0076591B" w:rsidP="009906BB">
            <w:pPr>
              <w:spacing w:after="0" w:line="240" w:lineRule="auto"/>
              <w:rPr>
                <w:rFonts w:eastAsia="Times New Roman" w:cs="Calibri"/>
                <w:b/>
                <w:color w:val="000000"/>
                <w:lang w:eastAsia="fr-FR"/>
              </w:rPr>
            </w:pPr>
            <w:r w:rsidRPr="0076591B">
              <w:rPr>
                <w:rFonts w:eastAsia="Times New Roman" w:cs="Calibri"/>
                <w:b/>
                <w:color w:val="000000"/>
                <w:sz w:val="24"/>
                <w:szCs w:val="24"/>
                <w:lang w:eastAsia="fr-FR"/>
              </w:rPr>
              <w:t>Global population</w:t>
            </w:r>
          </w:p>
        </w:tc>
        <w:tc>
          <w:tcPr>
            <w:tcW w:w="1701" w:type="dxa"/>
            <w:tcBorders>
              <w:top w:val="single" w:sz="4" w:space="0" w:color="auto"/>
            </w:tcBorders>
            <w:shd w:val="clear" w:color="auto" w:fill="DEEAF6" w:themeFill="accent1" w:themeFillTint="33"/>
            <w:noWrap/>
            <w:vAlign w:val="center"/>
          </w:tcPr>
          <w:p w14:paraId="1ACD5917" w14:textId="77777777" w:rsidR="0076591B" w:rsidRPr="00541D30" w:rsidRDefault="0076591B" w:rsidP="006A7818">
            <w:pPr>
              <w:spacing w:after="0" w:line="240" w:lineRule="auto"/>
              <w:jc w:val="center"/>
              <w:rPr>
                <w:rFonts w:eastAsia="Times New Roman" w:cs="Calibri"/>
                <w:b/>
                <w:color w:val="000000"/>
                <w:lang w:eastAsia="fr-FR"/>
              </w:rPr>
            </w:pPr>
          </w:p>
        </w:tc>
        <w:tc>
          <w:tcPr>
            <w:tcW w:w="1701" w:type="dxa"/>
            <w:tcBorders>
              <w:top w:val="single" w:sz="4" w:space="0" w:color="auto"/>
            </w:tcBorders>
            <w:shd w:val="clear" w:color="auto" w:fill="DEEAF6" w:themeFill="accent1" w:themeFillTint="33"/>
            <w:noWrap/>
            <w:vAlign w:val="center"/>
          </w:tcPr>
          <w:p w14:paraId="52DF84DF" w14:textId="77777777" w:rsidR="0076591B" w:rsidRPr="00541D30" w:rsidRDefault="0076591B" w:rsidP="006A7818">
            <w:pPr>
              <w:spacing w:after="0" w:line="240" w:lineRule="auto"/>
              <w:jc w:val="center"/>
              <w:rPr>
                <w:rFonts w:eastAsia="Times New Roman" w:cs="Calibri"/>
                <w:b/>
                <w:color w:val="000000"/>
                <w:lang w:eastAsia="fr-FR"/>
              </w:rPr>
            </w:pPr>
          </w:p>
        </w:tc>
        <w:tc>
          <w:tcPr>
            <w:tcW w:w="1701" w:type="dxa"/>
            <w:tcBorders>
              <w:top w:val="single" w:sz="4" w:space="0" w:color="auto"/>
            </w:tcBorders>
            <w:shd w:val="clear" w:color="auto" w:fill="DEEAF6" w:themeFill="accent1" w:themeFillTint="33"/>
            <w:noWrap/>
            <w:vAlign w:val="center"/>
          </w:tcPr>
          <w:p w14:paraId="63F93DB8" w14:textId="77777777" w:rsidR="0076591B" w:rsidRPr="00541D30" w:rsidRDefault="0076591B" w:rsidP="006A7818">
            <w:pPr>
              <w:spacing w:after="0" w:line="240" w:lineRule="auto"/>
              <w:jc w:val="center"/>
              <w:rPr>
                <w:rFonts w:eastAsia="Times New Roman" w:cs="Calibri"/>
                <w:b/>
                <w:color w:val="000000"/>
                <w:lang w:eastAsia="fr-FR"/>
              </w:rPr>
            </w:pPr>
          </w:p>
        </w:tc>
        <w:tc>
          <w:tcPr>
            <w:tcW w:w="1701" w:type="dxa"/>
            <w:tcBorders>
              <w:top w:val="single" w:sz="4" w:space="0" w:color="auto"/>
            </w:tcBorders>
            <w:shd w:val="clear" w:color="auto" w:fill="DEEAF6" w:themeFill="accent1" w:themeFillTint="33"/>
            <w:noWrap/>
            <w:vAlign w:val="center"/>
          </w:tcPr>
          <w:p w14:paraId="6BC1AC75" w14:textId="77777777" w:rsidR="0076591B" w:rsidRPr="00541D30" w:rsidRDefault="0076591B" w:rsidP="006A7818">
            <w:pPr>
              <w:spacing w:after="0" w:line="240" w:lineRule="auto"/>
              <w:jc w:val="center"/>
              <w:rPr>
                <w:rFonts w:eastAsia="Times New Roman" w:cs="Calibri"/>
                <w:b/>
                <w:color w:val="000000"/>
                <w:lang w:eastAsia="fr-FR"/>
              </w:rPr>
            </w:pPr>
          </w:p>
        </w:tc>
        <w:tc>
          <w:tcPr>
            <w:tcW w:w="933" w:type="dxa"/>
            <w:tcBorders>
              <w:top w:val="single" w:sz="4" w:space="0" w:color="auto"/>
            </w:tcBorders>
            <w:shd w:val="clear" w:color="auto" w:fill="DEEAF6" w:themeFill="accent1" w:themeFillTint="33"/>
            <w:noWrap/>
            <w:vAlign w:val="center"/>
          </w:tcPr>
          <w:p w14:paraId="000204EF" w14:textId="77777777" w:rsidR="0076591B" w:rsidRPr="00541D30" w:rsidRDefault="0076591B" w:rsidP="006A7818">
            <w:pPr>
              <w:spacing w:after="0" w:line="240" w:lineRule="auto"/>
              <w:jc w:val="center"/>
              <w:rPr>
                <w:rFonts w:eastAsia="Times New Roman" w:cs="Calibri"/>
                <w:b/>
                <w:color w:val="000000"/>
                <w:lang w:eastAsia="fr-FR"/>
              </w:rPr>
            </w:pPr>
          </w:p>
        </w:tc>
      </w:tr>
      <w:tr w:rsidR="00E210CF" w:rsidRPr="00541D30" w14:paraId="5D70AD20" w14:textId="77777777" w:rsidTr="006A7818">
        <w:trPr>
          <w:trHeight w:val="300"/>
          <w:jc w:val="center"/>
        </w:trPr>
        <w:tc>
          <w:tcPr>
            <w:tcW w:w="3402" w:type="dxa"/>
            <w:tcBorders>
              <w:top w:val="single" w:sz="4" w:space="0" w:color="auto"/>
              <w:bottom w:val="nil"/>
            </w:tcBorders>
            <w:shd w:val="clear" w:color="auto" w:fill="auto"/>
            <w:noWrap/>
            <w:vAlign w:val="center"/>
          </w:tcPr>
          <w:p w14:paraId="61474D1E" w14:textId="1F8B97FD" w:rsidR="00E210CF" w:rsidRPr="00541D30" w:rsidRDefault="005B6F37"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Any</w:t>
            </w:r>
            <w:proofErr w:type="spellEnd"/>
            <w:r>
              <w:rPr>
                <w:rFonts w:eastAsia="Times New Roman" w:cs="Calibri"/>
                <w:b/>
                <w:color w:val="000000"/>
                <w:lang w:eastAsia="fr-FR"/>
              </w:rPr>
              <w:t xml:space="preserve"> adverse </w:t>
            </w:r>
            <w:proofErr w:type="spellStart"/>
            <w:r>
              <w:rPr>
                <w:rFonts w:eastAsia="Times New Roman" w:cs="Calibri"/>
                <w:b/>
                <w:color w:val="000000"/>
                <w:lang w:eastAsia="fr-FR"/>
              </w:rPr>
              <w:t>event</w:t>
            </w:r>
            <w:proofErr w:type="spellEnd"/>
          </w:p>
        </w:tc>
        <w:tc>
          <w:tcPr>
            <w:tcW w:w="1701" w:type="dxa"/>
            <w:tcBorders>
              <w:top w:val="single" w:sz="4" w:space="0" w:color="auto"/>
              <w:bottom w:val="nil"/>
            </w:tcBorders>
            <w:shd w:val="clear" w:color="auto" w:fill="auto"/>
            <w:noWrap/>
            <w:vAlign w:val="center"/>
          </w:tcPr>
          <w:p w14:paraId="07666E5D" w14:textId="77777777" w:rsidR="00E210CF" w:rsidRPr="00541D30" w:rsidRDefault="00E210CF" w:rsidP="006A7818">
            <w:pPr>
              <w:spacing w:after="0" w:line="240" w:lineRule="auto"/>
              <w:jc w:val="center"/>
              <w:rPr>
                <w:rFonts w:eastAsia="Times New Roman" w:cs="Calibri"/>
                <w:b/>
                <w:color w:val="000000"/>
                <w:lang w:eastAsia="fr-FR"/>
              </w:rPr>
            </w:pPr>
          </w:p>
        </w:tc>
        <w:tc>
          <w:tcPr>
            <w:tcW w:w="1701" w:type="dxa"/>
            <w:tcBorders>
              <w:top w:val="single" w:sz="4" w:space="0" w:color="auto"/>
              <w:bottom w:val="nil"/>
            </w:tcBorders>
            <w:shd w:val="clear" w:color="auto" w:fill="auto"/>
            <w:noWrap/>
            <w:vAlign w:val="center"/>
          </w:tcPr>
          <w:p w14:paraId="7FA49FED" w14:textId="77777777" w:rsidR="00E210CF" w:rsidRPr="00541D30" w:rsidRDefault="00E210CF" w:rsidP="006A7818">
            <w:pPr>
              <w:spacing w:after="0" w:line="240" w:lineRule="auto"/>
              <w:jc w:val="center"/>
              <w:rPr>
                <w:rFonts w:eastAsia="Times New Roman" w:cs="Calibri"/>
                <w:b/>
                <w:color w:val="000000"/>
                <w:lang w:eastAsia="fr-FR"/>
              </w:rPr>
            </w:pPr>
          </w:p>
        </w:tc>
        <w:tc>
          <w:tcPr>
            <w:tcW w:w="1701" w:type="dxa"/>
            <w:tcBorders>
              <w:top w:val="single" w:sz="4" w:space="0" w:color="auto"/>
              <w:bottom w:val="nil"/>
            </w:tcBorders>
            <w:shd w:val="clear" w:color="auto" w:fill="auto"/>
            <w:noWrap/>
            <w:vAlign w:val="center"/>
          </w:tcPr>
          <w:p w14:paraId="69984580" w14:textId="77777777" w:rsidR="00E210CF" w:rsidRPr="00541D30" w:rsidRDefault="00E210CF" w:rsidP="006A7818">
            <w:pPr>
              <w:spacing w:after="0" w:line="240" w:lineRule="auto"/>
              <w:jc w:val="center"/>
              <w:rPr>
                <w:rFonts w:eastAsia="Times New Roman" w:cs="Calibri"/>
                <w:b/>
                <w:color w:val="000000"/>
                <w:lang w:eastAsia="fr-FR"/>
              </w:rPr>
            </w:pPr>
          </w:p>
        </w:tc>
        <w:tc>
          <w:tcPr>
            <w:tcW w:w="1701" w:type="dxa"/>
            <w:tcBorders>
              <w:top w:val="single" w:sz="4" w:space="0" w:color="auto"/>
              <w:bottom w:val="nil"/>
            </w:tcBorders>
            <w:shd w:val="clear" w:color="auto" w:fill="auto"/>
            <w:noWrap/>
            <w:vAlign w:val="center"/>
          </w:tcPr>
          <w:p w14:paraId="11AF29D4" w14:textId="77777777" w:rsidR="00E210CF" w:rsidRPr="00541D30" w:rsidRDefault="00E210CF" w:rsidP="006A7818">
            <w:pPr>
              <w:spacing w:after="0" w:line="240" w:lineRule="auto"/>
              <w:jc w:val="center"/>
              <w:rPr>
                <w:rFonts w:eastAsia="Times New Roman" w:cs="Calibri"/>
                <w:b/>
                <w:color w:val="000000"/>
                <w:lang w:eastAsia="fr-FR"/>
              </w:rPr>
            </w:pPr>
          </w:p>
        </w:tc>
        <w:tc>
          <w:tcPr>
            <w:tcW w:w="933" w:type="dxa"/>
            <w:tcBorders>
              <w:top w:val="single" w:sz="4" w:space="0" w:color="auto"/>
              <w:bottom w:val="nil"/>
            </w:tcBorders>
            <w:shd w:val="clear" w:color="auto" w:fill="auto"/>
            <w:noWrap/>
            <w:vAlign w:val="center"/>
          </w:tcPr>
          <w:p w14:paraId="07E453D4" w14:textId="77777777" w:rsidR="00E210CF" w:rsidRPr="00541D30" w:rsidRDefault="00E210CF" w:rsidP="006A7818">
            <w:pPr>
              <w:spacing w:after="0" w:line="240" w:lineRule="auto"/>
              <w:jc w:val="center"/>
              <w:rPr>
                <w:rFonts w:eastAsia="Times New Roman" w:cs="Calibri"/>
                <w:b/>
                <w:color w:val="000000"/>
                <w:lang w:eastAsia="fr-FR"/>
              </w:rPr>
            </w:pPr>
          </w:p>
        </w:tc>
      </w:tr>
      <w:tr w:rsidR="00E210CF" w:rsidRPr="0009503D" w14:paraId="0F8A14D3" w14:textId="77777777" w:rsidTr="006A7818">
        <w:trPr>
          <w:trHeight w:val="300"/>
          <w:jc w:val="center"/>
        </w:trPr>
        <w:tc>
          <w:tcPr>
            <w:tcW w:w="3402" w:type="dxa"/>
            <w:tcBorders>
              <w:top w:val="nil"/>
              <w:bottom w:val="nil"/>
            </w:tcBorders>
            <w:shd w:val="clear" w:color="auto" w:fill="auto"/>
            <w:noWrap/>
            <w:vAlign w:val="center"/>
          </w:tcPr>
          <w:p w14:paraId="46AE9EE8" w14:textId="033FCD64" w:rsidR="00E210CF" w:rsidRPr="005B6F37" w:rsidRDefault="005B6F37" w:rsidP="009906BB">
            <w:pPr>
              <w:spacing w:after="0" w:line="240" w:lineRule="auto"/>
              <w:rPr>
                <w:rFonts w:eastAsia="Times New Roman" w:cs="Calibri"/>
                <w:b/>
                <w:color w:val="000000"/>
                <w:lang w:val="en-US" w:eastAsia="fr-FR"/>
              </w:rPr>
            </w:pPr>
            <w:r w:rsidRPr="005B6F37">
              <w:rPr>
                <w:rFonts w:eastAsia="Times New Roman" w:cs="Calibri"/>
                <w:b/>
                <w:color w:val="000000"/>
                <w:lang w:val="en-US" w:eastAsia="fr-FR"/>
              </w:rPr>
              <w:t>Number of non-infectious a</w:t>
            </w:r>
            <w:r>
              <w:rPr>
                <w:rFonts w:eastAsia="Times New Roman" w:cs="Calibri"/>
                <w:b/>
                <w:color w:val="000000"/>
                <w:lang w:val="en-US" w:eastAsia="fr-FR"/>
              </w:rPr>
              <w:t xml:space="preserve">dverse event </w:t>
            </w:r>
            <w:r w:rsidRPr="005B6F37">
              <w:rPr>
                <w:rFonts w:eastAsia="Times New Roman" w:cs="Calibri"/>
                <w:bCs/>
                <w:color w:val="000000"/>
                <w:lang w:val="en-US" w:eastAsia="fr-FR"/>
              </w:rPr>
              <w:t>(</w:t>
            </w:r>
            <w:r>
              <w:rPr>
                <w:rFonts w:eastAsia="Times New Roman" w:cs="Calibri"/>
                <w:bCs/>
                <w:color w:val="000000"/>
                <w:lang w:val="en-US" w:eastAsia="fr-FR"/>
              </w:rPr>
              <w:t>Median</w:t>
            </w:r>
            <w:r w:rsidRPr="005B6F37">
              <w:rPr>
                <w:rFonts w:eastAsia="Times New Roman" w:cs="Calibri"/>
                <w:color w:val="000000"/>
                <w:lang w:val="en-US" w:eastAsia="fr-FR"/>
              </w:rPr>
              <w:t xml:space="preserve"> [Q1;Q3]</w:t>
            </w:r>
            <w:r>
              <w:rPr>
                <w:rFonts w:eastAsia="Times New Roman" w:cs="Calibri"/>
                <w:color w:val="000000"/>
                <w:lang w:val="en-US" w:eastAsia="fr-FR"/>
              </w:rPr>
              <w:t>)</w:t>
            </w:r>
          </w:p>
        </w:tc>
        <w:tc>
          <w:tcPr>
            <w:tcW w:w="1701" w:type="dxa"/>
            <w:tcBorders>
              <w:top w:val="nil"/>
              <w:bottom w:val="nil"/>
            </w:tcBorders>
            <w:shd w:val="clear" w:color="auto" w:fill="auto"/>
            <w:noWrap/>
            <w:vAlign w:val="center"/>
          </w:tcPr>
          <w:p w14:paraId="341314E8" w14:textId="77777777" w:rsidR="00E210CF" w:rsidRPr="005B6F37" w:rsidRDefault="00E210CF" w:rsidP="006A7818">
            <w:pPr>
              <w:spacing w:after="0" w:line="240" w:lineRule="auto"/>
              <w:jc w:val="center"/>
              <w:rPr>
                <w:rFonts w:eastAsia="Times New Roman" w:cs="Calibri"/>
                <w:b/>
                <w:color w:val="000000"/>
                <w:lang w:val="en-US" w:eastAsia="fr-FR"/>
              </w:rPr>
            </w:pPr>
          </w:p>
        </w:tc>
        <w:tc>
          <w:tcPr>
            <w:tcW w:w="1701" w:type="dxa"/>
            <w:tcBorders>
              <w:top w:val="nil"/>
              <w:bottom w:val="nil"/>
            </w:tcBorders>
            <w:shd w:val="clear" w:color="auto" w:fill="auto"/>
            <w:noWrap/>
            <w:vAlign w:val="center"/>
          </w:tcPr>
          <w:p w14:paraId="5B15CDF7" w14:textId="77777777" w:rsidR="00E210CF" w:rsidRPr="005B6F37" w:rsidRDefault="00E210CF" w:rsidP="006A7818">
            <w:pPr>
              <w:spacing w:after="0" w:line="240" w:lineRule="auto"/>
              <w:jc w:val="center"/>
              <w:rPr>
                <w:rFonts w:eastAsia="Times New Roman" w:cs="Calibri"/>
                <w:b/>
                <w:color w:val="000000"/>
                <w:lang w:val="en-US" w:eastAsia="fr-FR"/>
              </w:rPr>
            </w:pPr>
          </w:p>
        </w:tc>
        <w:tc>
          <w:tcPr>
            <w:tcW w:w="1701" w:type="dxa"/>
            <w:tcBorders>
              <w:top w:val="nil"/>
              <w:bottom w:val="nil"/>
            </w:tcBorders>
            <w:shd w:val="clear" w:color="auto" w:fill="auto"/>
            <w:noWrap/>
            <w:vAlign w:val="center"/>
          </w:tcPr>
          <w:p w14:paraId="6E8B53B8" w14:textId="77777777" w:rsidR="00E210CF" w:rsidRPr="005B6F37" w:rsidRDefault="00E210CF" w:rsidP="006A7818">
            <w:pPr>
              <w:spacing w:after="0" w:line="240" w:lineRule="auto"/>
              <w:jc w:val="center"/>
              <w:rPr>
                <w:rFonts w:eastAsia="Times New Roman" w:cs="Calibri"/>
                <w:b/>
                <w:color w:val="000000"/>
                <w:lang w:val="en-US" w:eastAsia="fr-FR"/>
              </w:rPr>
            </w:pPr>
          </w:p>
        </w:tc>
        <w:tc>
          <w:tcPr>
            <w:tcW w:w="1701" w:type="dxa"/>
            <w:tcBorders>
              <w:top w:val="nil"/>
              <w:bottom w:val="nil"/>
            </w:tcBorders>
            <w:shd w:val="clear" w:color="auto" w:fill="auto"/>
            <w:noWrap/>
            <w:vAlign w:val="center"/>
          </w:tcPr>
          <w:p w14:paraId="7217B59F" w14:textId="77777777" w:rsidR="00E210CF" w:rsidRPr="005B6F37" w:rsidRDefault="00E210CF" w:rsidP="006A7818">
            <w:pPr>
              <w:spacing w:after="0" w:line="240" w:lineRule="auto"/>
              <w:jc w:val="center"/>
              <w:rPr>
                <w:rFonts w:eastAsia="Times New Roman" w:cs="Calibri"/>
                <w:b/>
                <w:color w:val="000000"/>
                <w:lang w:val="en-US" w:eastAsia="fr-FR"/>
              </w:rPr>
            </w:pPr>
          </w:p>
        </w:tc>
        <w:tc>
          <w:tcPr>
            <w:tcW w:w="933" w:type="dxa"/>
            <w:tcBorders>
              <w:top w:val="nil"/>
              <w:bottom w:val="nil"/>
            </w:tcBorders>
            <w:shd w:val="clear" w:color="auto" w:fill="auto"/>
            <w:noWrap/>
            <w:vAlign w:val="center"/>
          </w:tcPr>
          <w:p w14:paraId="129F97AA" w14:textId="77777777" w:rsidR="00E210CF" w:rsidRPr="005B6F37" w:rsidRDefault="00E210CF" w:rsidP="006A7818">
            <w:pPr>
              <w:spacing w:after="0" w:line="240" w:lineRule="auto"/>
              <w:jc w:val="center"/>
              <w:rPr>
                <w:rFonts w:eastAsia="Times New Roman" w:cs="Calibri"/>
                <w:b/>
                <w:color w:val="000000"/>
                <w:lang w:val="en-US" w:eastAsia="fr-FR"/>
              </w:rPr>
            </w:pPr>
          </w:p>
        </w:tc>
      </w:tr>
      <w:tr w:rsidR="003E7925" w:rsidRPr="005B6F37" w14:paraId="3516D97C" w14:textId="77777777" w:rsidTr="006A7818">
        <w:trPr>
          <w:trHeight w:val="300"/>
          <w:jc w:val="center"/>
        </w:trPr>
        <w:tc>
          <w:tcPr>
            <w:tcW w:w="3402" w:type="dxa"/>
            <w:tcBorders>
              <w:top w:val="nil"/>
            </w:tcBorders>
            <w:shd w:val="clear" w:color="auto" w:fill="auto"/>
            <w:noWrap/>
            <w:vAlign w:val="center"/>
          </w:tcPr>
          <w:p w14:paraId="3F4DA1BE" w14:textId="771A63EF" w:rsidR="003E7925" w:rsidRPr="005B6F37" w:rsidRDefault="003E7925" w:rsidP="003E7925">
            <w:pPr>
              <w:spacing w:after="0" w:line="240" w:lineRule="auto"/>
              <w:rPr>
                <w:rFonts w:eastAsia="Times New Roman" w:cs="Calibri"/>
                <w:b/>
                <w:color w:val="000000"/>
                <w:lang w:val="en-US" w:eastAsia="fr-FR"/>
              </w:rPr>
            </w:pPr>
            <w:r>
              <w:rPr>
                <w:rFonts w:eastAsia="Times New Roman" w:cs="Calibri"/>
                <w:b/>
                <w:color w:val="000000"/>
                <w:lang w:val="en-US" w:eastAsia="fr-FR"/>
              </w:rPr>
              <w:t>Hematological complication</w:t>
            </w:r>
          </w:p>
        </w:tc>
        <w:tc>
          <w:tcPr>
            <w:tcW w:w="1701" w:type="dxa"/>
            <w:tcBorders>
              <w:top w:val="nil"/>
            </w:tcBorders>
            <w:shd w:val="clear" w:color="auto" w:fill="auto"/>
            <w:noWrap/>
            <w:vAlign w:val="center"/>
          </w:tcPr>
          <w:p w14:paraId="2042CD9E" w14:textId="1B746F22" w:rsidR="003E7925" w:rsidRPr="005B6F37"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63 (2.44%)</w:t>
            </w:r>
          </w:p>
        </w:tc>
        <w:tc>
          <w:tcPr>
            <w:tcW w:w="1701" w:type="dxa"/>
            <w:tcBorders>
              <w:top w:val="nil"/>
            </w:tcBorders>
            <w:shd w:val="clear" w:color="auto" w:fill="auto"/>
            <w:noWrap/>
            <w:vAlign w:val="center"/>
          </w:tcPr>
          <w:p w14:paraId="3DD6E6D6" w14:textId="5CD81E87" w:rsidR="003E7925" w:rsidRPr="005B6F37"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55 (2.30%)</w:t>
            </w:r>
          </w:p>
        </w:tc>
        <w:tc>
          <w:tcPr>
            <w:tcW w:w="1701" w:type="dxa"/>
            <w:tcBorders>
              <w:top w:val="nil"/>
            </w:tcBorders>
            <w:shd w:val="clear" w:color="auto" w:fill="auto"/>
            <w:noWrap/>
            <w:vAlign w:val="center"/>
          </w:tcPr>
          <w:p w14:paraId="786281AC" w14:textId="6A17FD34" w:rsidR="003E7925" w:rsidRPr="005B6F37"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8 (4.17%)</w:t>
            </w:r>
          </w:p>
        </w:tc>
        <w:tc>
          <w:tcPr>
            <w:tcW w:w="1701" w:type="dxa"/>
            <w:tcBorders>
              <w:top w:val="nil"/>
            </w:tcBorders>
            <w:shd w:val="clear" w:color="auto" w:fill="auto"/>
            <w:noWrap/>
            <w:vAlign w:val="center"/>
          </w:tcPr>
          <w:p w14:paraId="76158CD5" w14:textId="35599DC4" w:rsidR="003E7925" w:rsidRPr="005B6F37"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1.85 [0.87;3.94]</w:t>
            </w:r>
          </w:p>
        </w:tc>
        <w:tc>
          <w:tcPr>
            <w:tcW w:w="933" w:type="dxa"/>
            <w:tcBorders>
              <w:top w:val="nil"/>
            </w:tcBorders>
            <w:shd w:val="clear" w:color="auto" w:fill="auto"/>
            <w:noWrap/>
            <w:vAlign w:val="center"/>
          </w:tcPr>
          <w:p w14:paraId="33C8B00E" w14:textId="2E9323A5" w:rsidR="003E7925" w:rsidRPr="005B6F37"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0.14</w:t>
            </w:r>
          </w:p>
        </w:tc>
      </w:tr>
      <w:tr w:rsidR="003E7925" w:rsidRPr="00541D30" w14:paraId="6D29225A" w14:textId="77777777" w:rsidTr="006A7818">
        <w:trPr>
          <w:trHeight w:val="300"/>
          <w:jc w:val="center"/>
        </w:trPr>
        <w:tc>
          <w:tcPr>
            <w:tcW w:w="3402" w:type="dxa"/>
            <w:shd w:val="clear" w:color="auto" w:fill="auto"/>
            <w:noWrap/>
            <w:vAlign w:val="center"/>
            <w:hideMark/>
          </w:tcPr>
          <w:p w14:paraId="22713982" w14:textId="5BA045E2" w:rsidR="003E7925" w:rsidRPr="003E7925" w:rsidRDefault="003E7925" w:rsidP="003E7925">
            <w:pPr>
              <w:pStyle w:val="Paragraphedeliste"/>
              <w:numPr>
                <w:ilvl w:val="0"/>
                <w:numId w:val="3"/>
              </w:numPr>
              <w:spacing w:after="0" w:line="240" w:lineRule="auto"/>
              <w:rPr>
                <w:rFonts w:eastAsia="Times New Roman" w:cs="Calibri"/>
                <w:bCs/>
                <w:color w:val="000000"/>
                <w:lang w:eastAsia="fr-FR"/>
              </w:rPr>
            </w:pPr>
            <w:proofErr w:type="spellStart"/>
            <w:r w:rsidRPr="003E7925">
              <w:rPr>
                <w:rFonts w:eastAsia="Times New Roman" w:cs="Calibri"/>
                <w:bCs/>
                <w:color w:val="000000"/>
                <w:lang w:eastAsia="fr-FR"/>
              </w:rPr>
              <w:t>Thrombopenia</w:t>
            </w:r>
            <w:proofErr w:type="spellEnd"/>
            <w:r w:rsidRPr="003E7925">
              <w:rPr>
                <w:rFonts w:eastAsia="Times New Roman" w:cs="Calibri"/>
                <w:bCs/>
                <w:color w:val="000000"/>
                <w:lang w:eastAsia="fr-FR"/>
              </w:rPr>
              <w:t xml:space="preserve"> (N=62) </w:t>
            </w:r>
          </w:p>
        </w:tc>
        <w:tc>
          <w:tcPr>
            <w:tcW w:w="1701" w:type="dxa"/>
            <w:shd w:val="clear" w:color="auto" w:fill="auto"/>
            <w:noWrap/>
            <w:vAlign w:val="center"/>
            <w:hideMark/>
          </w:tcPr>
          <w:p w14:paraId="6CB7F1B6" w14:textId="595CAD38"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58 (93.55%)</w:t>
            </w:r>
          </w:p>
        </w:tc>
        <w:tc>
          <w:tcPr>
            <w:tcW w:w="1701" w:type="dxa"/>
            <w:shd w:val="clear" w:color="auto" w:fill="auto"/>
            <w:noWrap/>
            <w:vAlign w:val="center"/>
            <w:hideMark/>
          </w:tcPr>
          <w:p w14:paraId="67C0C9E0" w14:textId="536E30E2"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50 (92.59%)</w:t>
            </w:r>
          </w:p>
        </w:tc>
        <w:tc>
          <w:tcPr>
            <w:tcW w:w="1701" w:type="dxa"/>
            <w:shd w:val="clear" w:color="auto" w:fill="auto"/>
            <w:noWrap/>
            <w:vAlign w:val="center"/>
            <w:hideMark/>
          </w:tcPr>
          <w:p w14:paraId="6A0D92D4" w14:textId="45562B63"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8 (100.00%)</w:t>
            </w:r>
          </w:p>
        </w:tc>
        <w:tc>
          <w:tcPr>
            <w:tcW w:w="1701" w:type="dxa"/>
            <w:shd w:val="clear" w:color="auto" w:fill="auto"/>
            <w:noWrap/>
            <w:vAlign w:val="center"/>
            <w:hideMark/>
          </w:tcPr>
          <w:p w14:paraId="25C6C3E8" w14:textId="77777777" w:rsidR="003E7925" w:rsidRPr="00541D30" w:rsidRDefault="003E7925" w:rsidP="006A7818">
            <w:pPr>
              <w:spacing w:after="0" w:line="240" w:lineRule="auto"/>
              <w:jc w:val="center"/>
              <w:rPr>
                <w:rFonts w:eastAsia="Times New Roman" w:cs="Calibri"/>
                <w:b/>
                <w:color w:val="000000"/>
                <w:lang w:eastAsia="fr-FR"/>
              </w:rPr>
            </w:pPr>
          </w:p>
        </w:tc>
        <w:tc>
          <w:tcPr>
            <w:tcW w:w="933" w:type="dxa"/>
            <w:shd w:val="clear" w:color="auto" w:fill="auto"/>
            <w:noWrap/>
            <w:vAlign w:val="center"/>
            <w:hideMark/>
          </w:tcPr>
          <w:p w14:paraId="55565C8B" w14:textId="4F69B4A2"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&gt;0.99</w:t>
            </w:r>
          </w:p>
        </w:tc>
      </w:tr>
      <w:tr w:rsidR="003E7925" w:rsidRPr="003E7925" w14:paraId="2557155D" w14:textId="77777777" w:rsidTr="006A7818">
        <w:trPr>
          <w:trHeight w:val="300"/>
          <w:jc w:val="center"/>
        </w:trPr>
        <w:tc>
          <w:tcPr>
            <w:tcW w:w="3402" w:type="dxa"/>
            <w:shd w:val="clear" w:color="auto" w:fill="auto"/>
            <w:noWrap/>
            <w:vAlign w:val="center"/>
            <w:hideMark/>
          </w:tcPr>
          <w:p w14:paraId="16FD54D6" w14:textId="71466643" w:rsidR="003E7925" w:rsidRPr="003E7925" w:rsidRDefault="003E7925" w:rsidP="003E7925">
            <w:pPr>
              <w:pStyle w:val="Paragraphedeliste"/>
              <w:numPr>
                <w:ilvl w:val="0"/>
                <w:numId w:val="3"/>
              </w:numPr>
              <w:spacing w:after="0" w:line="240" w:lineRule="auto"/>
              <w:rPr>
                <w:rFonts w:eastAsia="Times New Roman" w:cs="Calibri"/>
                <w:bCs/>
                <w:color w:val="000000"/>
                <w:lang w:val="en-US" w:eastAsia="fr-FR"/>
              </w:rPr>
            </w:pPr>
            <w:r w:rsidRPr="003E7925">
              <w:rPr>
                <w:rFonts w:eastAsia="Times New Roman" w:cs="Calibri"/>
                <w:bCs/>
                <w:color w:val="000000"/>
                <w:lang w:val="en-US" w:eastAsia="fr-FR"/>
              </w:rPr>
              <w:t xml:space="preserve">Length of </w:t>
            </w:r>
            <w:proofErr w:type="spellStart"/>
            <w:r w:rsidRPr="003E7925">
              <w:rPr>
                <w:rFonts w:eastAsia="Times New Roman" w:cs="Calibri"/>
                <w:bCs/>
                <w:color w:val="000000"/>
                <w:lang w:val="en-US" w:eastAsia="fr-FR"/>
              </w:rPr>
              <w:t>thrombopenia</w:t>
            </w:r>
            <w:proofErr w:type="spellEnd"/>
            <w:r w:rsidRPr="003E7925">
              <w:rPr>
                <w:rFonts w:eastAsia="Times New Roman" w:cs="Calibri"/>
                <w:bCs/>
                <w:color w:val="000000"/>
                <w:lang w:val="en-US" w:eastAsia="fr-FR"/>
              </w:rPr>
              <w:t xml:space="preserve"> (days) (N=57) </w:t>
            </w:r>
            <w:r w:rsidRPr="003E7925">
              <w:rPr>
                <w:rFonts w:eastAsia="Times New Roman" w:cs="Calibri"/>
                <w:color w:val="000000"/>
                <w:lang w:val="en-US" w:eastAsia="fr-FR"/>
              </w:rPr>
              <w:t>Median [Q1;Q3]</w:t>
            </w:r>
          </w:p>
        </w:tc>
        <w:tc>
          <w:tcPr>
            <w:tcW w:w="1701" w:type="dxa"/>
            <w:shd w:val="clear" w:color="auto" w:fill="auto"/>
            <w:noWrap/>
            <w:vAlign w:val="center"/>
            <w:hideMark/>
          </w:tcPr>
          <w:p w14:paraId="0FAC4267" w14:textId="3AC319D4"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4.00 [2.00;7.00]</w:t>
            </w:r>
          </w:p>
        </w:tc>
        <w:tc>
          <w:tcPr>
            <w:tcW w:w="1701" w:type="dxa"/>
            <w:shd w:val="clear" w:color="auto" w:fill="auto"/>
            <w:noWrap/>
            <w:vAlign w:val="center"/>
            <w:hideMark/>
          </w:tcPr>
          <w:p w14:paraId="5E7C26C8" w14:textId="69C2BA25"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4.00 [2.00;6.00]</w:t>
            </w:r>
          </w:p>
        </w:tc>
        <w:tc>
          <w:tcPr>
            <w:tcW w:w="1701" w:type="dxa"/>
            <w:shd w:val="clear" w:color="auto" w:fill="auto"/>
            <w:noWrap/>
            <w:vAlign w:val="center"/>
            <w:hideMark/>
          </w:tcPr>
          <w:p w14:paraId="5BE8BDCA" w14:textId="6E6C1F5D"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4.00 [1.75;10.00]</w:t>
            </w:r>
          </w:p>
        </w:tc>
        <w:tc>
          <w:tcPr>
            <w:tcW w:w="1701" w:type="dxa"/>
            <w:shd w:val="clear" w:color="auto" w:fill="auto"/>
            <w:noWrap/>
            <w:vAlign w:val="center"/>
            <w:hideMark/>
          </w:tcPr>
          <w:p w14:paraId="0AC5E73F" w14:textId="77777777" w:rsidR="003E7925" w:rsidRPr="003E7925" w:rsidRDefault="003E7925" w:rsidP="006A7818">
            <w:pPr>
              <w:spacing w:after="0" w:line="240" w:lineRule="auto"/>
              <w:jc w:val="center"/>
              <w:rPr>
                <w:rFonts w:eastAsia="Times New Roman" w:cs="Calibri"/>
                <w:b/>
                <w:color w:val="000000"/>
                <w:lang w:val="en-US" w:eastAsia="fr-FR"/>
              </w:rPr>
            </w:pPr>
          </w:p>
        </w:tc>
        <w:tc>
          <w:tcPr>
            <w:tcW w:w="933" w:type="dxa"/>
            <w:shd w:val="clear" w:color="auto" w:fill="auto"/>
            <w:noWrap/>
            <w:vAlign w:val="center"/>
            <w:hideMark/>
          </w:tcPr>
          <w:p w14:paraId="65450ED6" w14:textId="6C4FCC5B"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0.94</w:t>
            </w:r>
          </w:p>
        </w:tc>
      </w:tr>
      <w:tr w:rsidR="003E7925" w:rsidRPr="00541D30" w14:paraId="533A9D54" w14:textId="77777777" w:rsidTr="006A7818">
        <w:trPr>
          <w:trHeight w:val="300"/>
          <w:jc w:val="center"/>
        </w:trPr>
        <w:tc>
          <w:tcPr>
            <w:tcW w:w="3402" w:type="dxa"/>
            <w:shd w:val="clear" w:color="auto" w:fill="auto"/>
            <w:noWrap/>
            <w:vAlign w:val="center"/>
            <w:hideMark/>
          </w:tcPr>
          <w:p w14:paraId="18DB60A9" w14:textId="75CA300B" w:rsidR="003E7925" w:rsidRPr="003E7925" w:rsidRDefault="003E7925" w:rsidP="003E7925">
            <w:pPr>
              <w:pStyle w:val="Paragraphedeliste"/>
              <w:numPr>
                <w:ilvl w:val="0"/>
                <w:numId w:val="3"/>
              </w:numPr>
              <w:spacing w:after="0" w:line="240" w:lineRule="auto"/>
              <w:rPr>
                <w:rFonts w:eastAsia="Times New Roman" w:cs="Calibri"/>
                <w:color w:val="000000"/>
                <w:lang w:val="en-US" w:eastAsia="fr-FR"/>
              </w:rPr>
            </w:pPr>
            <w:r>
              <w:rPr>
                <w:rFonts w:eastAsia="Times New Roman" w:cs="Calibri"/>
                <w:color w:val="000000"/>
                <w:lang w:val="en-US" w:eastAsia="fr-FR"/>
              </w:rPr>
              <w:t>Neutropeni</w:t>
            </w:r>
            <w:r w:rsidRPr="003E7925">
              <w:rPr>
                <w:rFonts w:eastAsia="Times New Roman" w:cs="Calibri"/>
                <w:color w:val="000000"/>
                <w:lang w:val="en-US" w:eastAsia="fr-FR"/>
              </w:rPr>
              <w:t>a</w:t>
            </w:r>
            <w:r w:rsidRPr="003E7925">
              <w:rPr>
                <w:rFonts w:eastAsia="Times New Roman" w:cs="Calibri"/>
                <w:color w:val="000000"/>
                <w:lang w:eastAsia="fr-FR"/>
              </w:rPr>
              <w:t>(N=63)</w:t>
            </w:r>
          </w:p>
        </w:tc>
        <w:tc>
          <w:tcPr>
            <w:tcW w:w="1701" w:type="dxa"/>
            <w:shd w:val="clear" w:color="auto" w:fill="auto"/>
            <w:noWrap/>
            <w:vAlign w:val="center"/>
          </w:tcPr>
          <w:p w14:paraId="3317FF00" w14:textId="612D8434"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8 (12.70%)</w:t>
            </w:r>
          </w:p>
        </w:tc>
        <w:tc>
          <w:tcPr>
            <w:tcW w:w="1701" w:type="dxa"/>
            <w:shd w:val="clear" w:color="auto" w:fill="auto"/>
            <w:noWrap/>
            <w:vAlign w:val="center"/>
          </w:tcPr>
          <w:p w14:paraId="3A9E610B" w14:textId="2A35B25B"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8 (14.55%)</w:t>
            </w:r>
          </w:p>
        </w:tc>
        <w:tc>
          <w:tcPr>
            <w:tcW w:w="1701" w:type="dxa"/>
            <w:shd w:val="clear" w:color="auto" w:fill="auto"/>
            <w:noWrap/>
            <w:vAlign w:val="center"/>
          </w:tcPr>
          <w:p w14:paraId="68FDA5C1" w14:textId="69082360"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 (0.00%)</w:t>
            </w:r>
          </w:p>
        </w:tc>
        <w:tc>
          <w:tcPr>
            <w:tcW w:w="1701" w:type="dxa"/>
            <w:shd w:val="clear" w:color="auto" w:fill="auto"/>
            <w:noWrap/>
            <w:vAlign w:val="center"/>
            <w:hideMark/>
          </w:tcPr>
          <w:p w14:paraId="65CCD73F" w14:textId="7ED2020E"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1.00</w:t>
            </w:r>
          </w:p>
        </w:tc>
        <w:tc>
          <w:tcPr>
            <w:tcW w:w="933" w:type="dxa"/>
            <w:shd w:val="clear" w:color="auto" w:fill="auto"/>
            <w:noWrap/>
            <w:vAlign w:val="center"/>
            <w:hideMark/>
          </w:tcPr>
          <w:p w14:paraId="7E6A6892" w14:textId="59A5C307"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0.58</w:t>
            </w:r>
          </w:p>
        </w:tc>
      </w:tr>
      <w:tr w:rsidR="003E7925" w:rsidRPr="00541D30" w14:paraId="0228B357" w14:textId="77777777" w:rsidTr="006A7818">
        <w:trPr>
          <w:trHeight w:val="300"/>
          <w:jc w:val="center"/>
        </w:trPr>
        <w:tc>
          <w:tcPr>
            <w:tcW w:w="3402" w:type="dxa"/>
            <w:shd w:val="clear" w:color="auto" w:fill="auto"/>
            <w:noWrap/>
            <w:vAlign w:val="center"/>
            <w:hideMark/>
          </w:tcPr>
          <w:p w14:paraId="1631725A" w14:textId="79ECD34B" w:rsidR="003E7925" w:rsidRPr="003E7925" w:rsidRDefault="003E7925" w:rsidP="003E7925">
            <w:pPr>
              <w:pStyle w:val="Paragraphedeliste"/>
              <w:numPr>
                <w:ilvl w:val="0"/>
                <w:numId w:val="3"/>
              </w:numPr>
              <w:spacing w:after="0" w:line="240" w:lineRule="auto"/>
              <w:rPr>
                <w:rFonts w:eastAsia="Times New Roman" w:cs="Calibri"/>
                <w:bCs/>
                <w:color w:val="000000"/>
                <w:lang w:eastAsia="fr-FR"/>
              </w:rPr>
            </w:pPr>
            <w:proofErr w:type="spellStart"/>
            <w:r w:rsidRPr="003E7925">
              <w:rPr>
                <w:rFonts w:eastAsia="Times New Roman" w:cs="Calibri"/>
                <w:bCs/>
                <w:color w:val="000000"/>
                <w:lang w:eastAsia="fr-FR"/>
              </w:rPr>
              <w:t>Severe</w:t>
            </w:r>
            <w:proofErr w:type="spellEnd"/>
            <w:r w:rsidRPr="003E7925">
              <w:rPr>
                <w:rFonts w:eastAsia="Times New Roman" w:cs="Calibri"/>
                <w:bCs/>
                <w:color w:val="000000"/>
                <w:lang w:eastAsia="fr-FR"/>
              </w:rPr>
              <w:t xml:space="preserve"> </w:t>
            </w:r>
            <w:proofErr w:type="spellStart"/>
            <w:r w:rsidRPr="003E7925">
              <w:rPr>
                <w:rFonts w:eastAsia="Times New Roman" w:cs="Calibri"/>
                <w:bCs/>
                <w:color w:val="000000"/>
                <w:lang w:eastAsia="fr-FR"/>
              </w:rPr>
              <w:t>neutropenia</w:t>
            </w:r>
            <w:proofErr w:type="spellEnd"/>
            <w:r w:rsidRPr="003E7925">
              <w:rPr>
                <w:rFonts w:eastAsia="Times New Roman" w:cs="Calibri"/>
                <w:bCs/>
                <w:color w:val="000000"/>
                <w:lang w:eastAsia="fr-FR"/>
              </w:rPr>
              <w:t xml:space="preserve"> (N=62) </w:t>
            </w:r>
          </w:p>
        </w:tc>
        <w:tc>
          <w:tcPr>
            <w:tcW w:w="1701" w:type="dxa"/>
            <w:shd w:val="clear" w:color="auto" w:fill="auto"/>
            <w:noWrap/>
            <w:vAlign w:val="center"/>
            <w:hideMark/>
          </w:tcPr>
          <w:p w14:paraId="01FC9D3F" w14:textId="7AAA6816"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3 (4.84%)</w:t>
            </w:r>
          </w:p>
        </w:tc>
        <w:tc>
          <w:tcPr>
            <w:tcW w:w="1701" w:type="dxa"/>
            <w:shd w:val="clear" w:color="auto" w:fill="auto"/>
            <w:noWrap/>
            <w:vAlign w:val="center"/>
            <w:hideMark/>
          </w:tcPr>
          <w:p w14:paraId="5329365A" w14:textId="76680056"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3 (5.56%)</w:t>
            </w:r>
          </w:p>
        </w:tc>
        <w:tc>
          <w:tcPr>
            <w:tcW w:w="1701" w:type="dxa"/>
            <w:shd w:val="clear" w:color="auto" w:fill="auto"/>
            <w:noWrap/>
            <w:vAlign w:val="center"/>
            <w:hideMark/>
          </w:tcPr>
          <w:p w14:paraId="6F170AF0" w14:textId="0EE1D61C"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0 (0.00%)</w:t>
            </w:r>
          </w:p>
        </w:tc>
        <w:tc>
          <w:tcPr>
            <w:tcW w:w="1701" w:type="dxa"/>
            <w:shd w:val="clear" w:color="auto" w:fill="auto"/>
            <w:noWrap/>
            <w:vAlign w:val="center"/>
            <w:hideMark/>
          </w:tcPr>
          <w:p w14:paraId="620B8DC6" w14:textId="36AB4096"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1.00</w:t>
            </w:r>
          </w:p>
        </w:tc>
        <w:tc>
          <w:tcPr>
            <w:tcW w:w="933" w:type="dxa"/>
            <w:shd w:val="clear" w:color="auto" w:fill="auto"/>
            <w:noWrap/>
            <w:vAlign w:val="center"/>
            <w:hideMark/>
          </w:tcPr>
          <w:p w14:paraId="704AD70B" w14:textId="62D97E00"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&gt;0.99</w:t>
            </w:r>
          </w:p>
        </w:tc>
      </w:tr>
      <w:tr w:rsidR="003E7925" w:rsidRPr="00E210CF" w14:paraId="5EE6F779" w14:textId="77777777" w:rsidTr="006A7818">
        <w:trPr>
          <w:trHeight w:val="300"/>
          <w:jc w:val="center"/>
        </w:trPr>
        <w:tc>
          <w:tcPr>
            <w:tcW w:w="3402" w:type="dxa"/>
            <w:shd w:val="clear" w:color="auto" w:fill="auto"/>
            <w:noWrap/>
            <w:vAlign w:val="center"/>
            <w:hideMark/>
          </w:tcPr>
          <w:p w14:paraId="220FD996" w14:textId="70F93482" w:rsidR="003E7925" w:rsidRPr="00541D30" w:rsidRDefault="003E7925" w:rsidP="003E7925">
            <w:pPr>
              <w:spacing w:after="0" w:line="240" w:lineRule="auto"/>
              <w:rPr>
                <w:rFonts w:eastAsia="Times New Roman" w:cs="Calibri"/>
                <w:b/>
                <w:color w:val="000000"/>
                <w:lang w:val="en-GB" w:eastAsia="fr-FR"/>
              </w:rPr>
            </w:pPr>
            <w:r>
              <w:rPr>
                <w:rFonts w:eastAsia="Times New Roman" w:cs="Calibri"/>
                <w:b/>
                <w:color w:val="000000"/>
                <w:lang w:val="en-GB" w:eastAsia="fr-FR"/>
              </w:rPr>
              <w:t>Bleeding</w:t>
            </w:r>
            <w:r w:rsidRPr="00541D30">
              <w:rPr>
                <w:rFonts w:eastAsia="Times New Roman" w:cs="Calibri"/>
                <w:b/>
                <w:color w:val="000000"/>
                <w:lang w:val="en-GB" w:eastAsia="fr-FR"/>
              </w:rPr>
              <w:t xml:space="preserve"> (N=2586)</w:t>
            </w:r>
            <w:r>
              <w:rPr>
                <w:rFonts w:eastAsia="Times New Roman" w:cs="Calibri"/>
                <w:b/>
                <w:color w:val="000000"/>
                <w:lang w:val="en-GB" w:eastAsia="fr-FR"/>
              </w:rPr>
              <w:t xml:space="preserve"> </w:t>
            </w:r>
          </w:p>
        </w:tc>
        <w:tc>
          <w:tcPr>
            <w:tcW w:w="1701" w:type="dxa"/>
            <w:shd w:val="clear" w:color="auto" w:fill="auto"/>
            <w:noWrap/>
            <w:vAlign w:val="center"/>
            <w:hideMark/>
          </w:tcPr>
          <w:p w14:paraId="551B03DE" w14:textId="57F5162B" w:rsidR="003E7925" w:rsidRPr="00541D30" w:rsidRDefault="003E7925" w:rsidP="006A7818">
            <w:pPr>
              <w:spacing w:after="0" w:line="240" w:lineRule="auto"/>
              <w:jc w:val="center"/>
              <w:rPr>
                <w:rFonts w:eastAsia="Times New Roman" w:cs="Calibri"/>
                <w:b/>
                <w:color w:val="000000"/>
                <w:lang w:val="en-GB" w:eastAsia="fr-FR"/>
              </w:rPr>
            </w:pPr>
            <w:r w:rsidRPr="00541D30">
              <w:rPr>
                <w:rFonts w:eastAsia="Times New Roman" w:cs="Calibri"/>
                <w:color w:val="000000"/>
                <w:lang w:eastAsia="fr-FR"/>
              </w:rPr>
              <w:t>76 (2.94%)</w:t>
            </w:r>
          </w:p>
        </w:tc>
        <w:tc>
          <w:tcPr>
            <w:tcW w:w="1701" w:type="dxa"/>
            <w:shd w:val="clear" w:color="auto" w:fill="auto"/>
            <w:noWrap/>
            <w:vAlign w:val="center"/>
            <w:hideMark/>
          </w:tcPr>
          <w:p w14:paraId="08703438" w14:textId="706056F2" w:rsidR="003E7925" w:rsidRPr="00541D30" w:rsidRDefault="003E7925" w:rsidP="006A7818">
            <w:pPr>
              <w:spacing w:after="0" w:line="240" w:lineRule="auto"/>
              <w:jc w:val="center"/>
              <w:rPr>
                <w:rFonts w:eastAsia="Times New Roman" w:cs="Calibri"/>
                <w:b/>
                <w:color w:val="000000"/>
                <w:lang w:val="en-GB" w:eastAsia="fr-FR"/>
              </w:rPr>
            </w:pPr>
            <w:r w:rsidRPr="00541D30">
              <w:rPr>
                <w:rFonts w:eastAsia="Times New Roman" w:cs="Calibri"/>
                <w:color w:val="000000"/>
                <w:lang w:eastAsia="fr-FR"/>
              </w:rPr>
              <w:t>73 (3.05%)</w:t>
            </w:r>
          </w:p>
        </w:tc>
        <w:tc>
          <w:tcPr>
            <w:tcW w:w="1701" w:type="dxa"/>
            <w:shd w:val="clear" w:color="auto" w:fill="auto"/>
            <w:noWrap/>
            <w:vAlign w:val="center"/>
            <w:hideMark/>
          </w:tcPr>
          <w:p w14:paraId="538FF048" w14:textId="3AF46E43" w:rsidR="003E7925" w:rsidRPr="00541D30" w:rsidRDefault="003E7925" w:rsidP="006A7818">
            <w:pPr>
              <w:spacing w:after="0" w:line="240" w:lineRule="auto"/>
              <w:jc w:val="center"/>
              <w:rPr>
                <w:rFonts w:eastAsia="Times New Roman" w:cs="Calibri"/>
                <w:b/>
                <w:color w:val="000000"/>
                <w:lang w:val="en-GB" w:eastAsia="fr-FR"/>
              </w:rPr>
            </w:pPr>
            <w:r w:rsidRPr="00541D30">
              <w:rPr>
                <w:rFonts w:eastAsia="Times New Roman" w:cs="Calibri"/>
                <w:color w:val="000000"/>
                <w:lang w:eastAsia="fr-FR"/>
              </w:rPr>
              <w:t>3 (1.57%)</w:t>
            </w:r>
          </w:p>
        </w:tc>
        <w:tc>
          <w:tcPr>
            <w:tcW w:w="1701" w:type="dxa"/>
            <w:shd w:val="clear" w:color="auto" w:fill="auto"/>
            <w:noWrap/>
            <w:vAlign w:val="center"/>
            <w:hideMark/>
          </w:tcPr>
          <w:p w14:paraId="5401CCE0" w14:textId="4E36CCD7" w:rsidR="003E7925" w:rsidRPr="00541D30" w:rsidRDefault="003E7925" w:rsidP="006A7818">
            <w:pPr>
              <w:spacing w:after="0" w:line="240" w:lineRule="auto"/>
              <w:jc w:val="center"/>
              <w:rPr>
                <w:rFonts w:eastAsia="Times New Roman" w:cs="Calibri"/>
                <w:b/>
                <w:color w:val="000000"/>
                <w:lang w:val="en-GB" w:eastAsia="fr-FR"/>
              </w:rPr>
            </w:pPr>
            <w:r w:rsidRPr="00541D30">
              <w:rPr>
                <w:rFonts w:eastAsia="Times New Roman" w:cs="Calibri"/>
                <w:color w:val="000000"/>
                <w:lang w:eastAsia="fr-FR"/>
              </w:rPr>
              <w:t>0.51 [0.16;1.63]</w:t>
            </w:r>
          </w:p>
        </w:tc>
        <w:tc>
          <w:tcPr>
            <w:tcW w:w="933" w:type="dxa"/>
            <w:shd w:val="clear" w:color="auto" w:fill="auto"/>
            <w:noWrap/>
            <w:vAlign w:val="center"/>
            <w:hideMark/>
          </w:tcPr>
          <w:p w14:paraId="641D9B98" w14:textId="688DAA67" w:rsidR="003E7925" w:rsidRPr="00541D30" w:rsidRDefault="003E7925" w:rsidP="006A7818">
            <w:pPr>
              <w:spacing w:after="0" w:line="240" w:lineRule="auto"/>
              <w:jc w:val="center"/>
              <w:rPr>
                <w:rFonts w:eastAsia="Times New Roman" w:cs="Calibri"/>
                <w:b/>
                <w:color w:val="000000"/>
                <w:lang w:val="en-GB" w:eastAsia="fr-FR"/>
              </w:rPr>
            </w:pPr>
            <w:r w:rsidRPr="00541D30">
              <w:rPr>
                <w:rFonts w:eastAsia="Times New Roman" w:cs="Calibri"/>
                <w:color w:val="000000"/>
                <w:lang w:eastAsia="fr-FR"/>
              </w:rPr>
              <w:t>0.24</w:t>
            </w:r>
          </w:p>
        </w:tc>
      </w:tr>
      <w:tr w:rsidR="003E7925" w:rsidRPr="003E7925" w14:paraId="52AC6F99" w14:textId="77777777" w:rsidTr="006A7818">
        <w:trPr>
          <w:trHeight w:val="300"/>
          <w:jc w:val="center"/>
        </w:trPr>
        <w:tc>
          <w:tcPr>
            <w:tcW w:w="3402" w:type="dxa"/>
            <w:shd w:val="clear" w:color="auto" w:fill="auto"/>
            <w:noWrap/>
            <w:vAlign w:val="center"/>
            <w:hideMark/>
          </w:tcPr>
          <w:p w14:paraId="712B85EA" w14:textId="6D896A8B" w:rsidR="003E7925" w:rsidRPr="003E7925" w:rsidRDefault="003E7925" w:rsidP="009B65B1">
            <w:pPr>
              <w:pStyle w:val="Paragraphedeliste"/>
              <w:numPr>
                <w:ilvl w:val="0"/>
                <w:numId w:val="3"/>
              </w:numPr>
              <w:spacing w:after="0" w:line="240" w:lineRule="auto"/>
              <w:rPr>
                <w:rFonts w:eastAsia="Times New Roman" w:cs="Calibri"/>
                <w:b/>
                <w:color w:val="000000"/>
                <w:lang w:val="en-US" w:eastAsia="fr-FR"/>
              </w:rPr>
            </w:pPr>
            <w:r w:rsidRPr="003E7925">
              <w:rPr>
                <w:rFonts w:eastAsia="Times New Roman" w:cs="Calibri"/>
                <w:bCs/>
                <w:color w:val="000000"/>
                <w:lang w:val="en-US" w:eastAsia="fr-FR"/>
              </w:rPr>
              <w:t>Number of bleeding episodes (N=)</w:t>
            </w:r>
            <w:r w:rsidRPr="003E7925">
              <w:rPr>
                <w:rFonts w:eastAsia="Times New Roman" w:cs="Calibri"/>
                <w:b/>
                <w:color w:val="000000"/>
                <w:lang w:val="en-US" w:eastAsia="fr-FR"/>
              </w:rPr>
              <w:t xml:space="preserve"> </w:t>
            </w:r>
            <w:r w:rsidRPr="003E7925">
              <w:rPr>
                <w:rFonts w:eastAsia="Times New Roman" w:cs="Calibri"/>
                <w:color w:val="000000"/>
                <w:lang w:val="en-US" w:eastAsia="fr-FR"/>
              </w:rPr>
              <w:t>Mean (SD)</w:t>
            </w:r>
          </w:p>
        </w:tc>
        <w:tc>
          <w:tcPr>
            <w:tcW w:w="1701" w:type="dxa"/>
            <w:shd w:val="clear" w:color="auto" w:fill="auto"/>
            <w:noWrap/>
            <w:vAlign w:val="center"/>
            <w:hideMark/>
          </w:tcPr>
          <w:p w14:paraId="2DBD4C1C" w14:textId="0EEB7262"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1.22 (0.56)</w:t>
            </w:r>
          </w:p>
        </w:tc>
        <w:tc>
          <w:tcPr>
            <w:tcW w:w="1701" w:type="dxa"/>
            <w:shd w:val="clear" w:color="auto" w:fill="auto"/>
            <w:noWrap/>
            <w:vAlign w:val="center"/>
            <w:hideMark/>
          </w:tcPr>
          <w:p w14:paraId="521D8970" w14:textId="798FCAD4"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1.21 (0.53)</w:t>
            </w:r>
          </w:p>
        </w:tc>
        <w:tc>
          <w:tcPr>
            <w:tcW w:w="1701" w:type="dxa"/>
            <w:shd w:val="clear" w:color="auto" w:fill="auto"/>
            <w:noWrap/>
            <w:vAlign w:val="center"/>
            <w:hideMark/>
          </w:tcPr>
          <w:p w14:paraId="522E8187" w14:textId="1C650DD2"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1.67 (1.15)</w:t>
            </w:r>
          </w:p>
        </w:tc>
        <w:tc>
          <w:tcPr>
            <w:tcW w:w="1701" w:type="dxa"/>
            <w:shd w:val="clear" w:color="auto" w:fill="auto"/>
            <w:noWrap/>
            <w:vAlign w:val="center"/>
            <w:hideMark/>
          </w:tcPr>
          <w:p w14:paraId="5D2BEAD6" w14:textId="77777777" w:rsidR="003E7925" w:rsidRPr="003E7925" w:rsidRDefault="003E7925" w:rsidP="006A7818">
            <w:pPr>
              <w:spacing w:after="0" w:line="240" w:lineRule="auto"/>
              <w:jc w:val="center"/>
              <w:rPr>
                <w:rFonts w:eastAsia="Times New Roman" w:cs="Calibri"/>
                <w:b/>
                <w:color w:val="000000"/>
                <w:lang w:val="en-US" w:eastAsia="fr-FR"/>
              </w:rPr>
            </w:pPr>
          </w:p>
        </w:tc>
        <w:tc>
          <w:tcPr>
            <w:tcW w:w="933" w:type="dxa"/>
            <w:shd w:val="clear" w:color="auto" w:fill="auto"/>
            <w:noWrap/>
            <w:vAlign w:val="center"/>
            <w:hideMark/>
          </w:tcPr>
          <w:p w14:paraId="78DD08ED" w14:textId="7FE48AF4"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0.36</w:t>
            </w:r>
          </w:p>
        </w:tc>
      </w:tr>
      <w:tr w:rsidR="003E7925" w:rsidRPr="00541D30" w14:paraId="34C74B7F" w14:textId="77777777" w:rsidTr="006A7818">
        <w:trPr>
          <w:trHeight w:val="300"/>
          <w:jc w:val="center"/>
        </w:trPr>
        <w:tc>
          <w:tcPr>
            <w:tcW w:w="3402" w:type="dxa"/>
            <w:shd w:val="clear" w:color="auto" w:fill="auto"/>
            <w:noWrap/>
            <w:vAlign w:val="center"/>
            <w:hideMark/>
          </w:tcPr>
          <w:p w14:paraId="3C421208" w14:textId="057285BD" w:rsidR="003E7925" w:rsidRPr="003E7925" w:rsidRDefault="003E7925" w:rsidP="009B65B1">
            <w:pPr>
              <w:pStyle w:val="Paragraphedeliste"/>
              <w:numPr>
                <w:ilvl w:val="0"/>
                <w:numId w:val="3"/>
              </w:numPr>
              <w:spacing w:after="0" w:line="240" w:lineRule="auto"/>
              <w:rPr>
                <w:rFonts w:eastAsia="Times New Roman" w:cs="Calibri"/>
                <w:color w:val="000000"/>
                <w:lang w:val="en-US" w:eastAsia="fr-FR"/>
              </w:rPr>
            </w:pPr>
            <w:r>
              <w:rPr>
                <w:rFonts w:eastAsia="Times New Roman" w:cs="Calibri"/>
                <w:color w:val="000000"/>
                <w:lang w:val="en-US" w:eastAsia="fr-FR"/>
              </w:rPr>
              <w:t xml:space="preserve">Gastroduodenal bleeding </w:t>
            </w:r>
            <w:r w:rsidRPr="003E7925">
              <w:rPr>
                <w:rFonts w:eastAsia="Times New Roman" w:cs="Calibri"/>
                <w:bCs/>
                <w:color w:val="000000"/>
                <w:lang w:eastAsia="fr-FR"/>
              </w:rPr>
              <w:t xml:space="preserve">(N=76) </w:t>
            </w:r>
            <w:r>
              <w:rPr>
                <w:rFonts w:eastAsia="Times New Roman" w:cs="Calibri"/>
                <w:color w:val="000000"/>
                <w:lang w:val="en-US" w:eastAsia="fr-FR"/>
              </w:rPr>
              <w:t xml:space="preserve"> </w:t>
            </w:r>
          </w:p>
        </w:tc>
        <w:tc>
          <w:tcPr>
            <w:tcW w:w="1701" w:type="dxa"/>
            <w:shd w:val="clear" w:color="auto" w:fill="auto"/>
            <w:noWrap/>
            <w:vAlign w:val="center"/>
          </w:tcPr>
          <w:p w14:paraId="4DBA8164" w14:textId="5E639C46"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21 (27.63%)</w:t>
            </w:r>
          </w:p>
        </w:tc>
        <w:tc>
          <w:tcPr>
            <w:tcW w:w="1701" w:type="dxa"/>
            <w:shd w:val="clear" w:color="auto" w:fill="auto"/>
            <w:noWrap/>
            <w:vAlign w:val="center"/>
          </w:tcPr>
          <w:p w14:paraId="0702B3EC" w14:textId="2E6F1015"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21 (28.77%)</w:t>
            </w:r>
          </w:p>
        </w:tc>
        <w:tc>
          <w:tcPr>
            <w:tcW w:w="1701" w:type="dxa"/>
            <w:shd w:val="clear" w:color="auto" w:fill="auto"/>
            <w:noWrap/>
            <w:vAlign w:val="center"/>
          </w:tcPr>
          <w:p w14:paraId="0DBD0901" w14:textId="75C8C99F"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 (0.00%)</w:t>
            </w:r>
          </w:p>
        </w:tc>
        <w:tc>
          <w:tcPr>
            <w:tcW w:w="1701" w:type="dxa"/>
            <w:shd w:val="clear" w:color="auto" w:fill="auto"/>
            <w:noWrap/>
            <w:vAlign w:val="center"/>
            <w:hideMark/>
          </w:tcPr>
          <w:p w14:paraId="280F1B8B" w14:textId="2814632F"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1.00</w:t>
            </w:r>
          </w:p>
        </w:tc>
        <w:tc>
          <w:tcPr>
            <w:tcW w:w="933" w:type="dxa"/>
            <w:shd w:val="clear" w:color="auto" w:fill="auto"/>
            <w:noWrap/>
            <w:vAlign w:val="center"/>
            <w:hideMark/>
          </w:tcPr>
          <w:p w14:paraId="66A07577" w14:textId="312DD1CD" w:rsidR="003E7925" w:rsidRPr="00541D30" w:rsidRDefault="003E7925"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0.56</w:t>
            </w:r>
          </w:p>
        </w:tc>
      </w:tr>
      <w:tr w:rsidR="003E7925" w:rsidRPr="003E7925" w14:paraId="3457738B" w14:textId="77777777" w:rsidTr="006A7818">
        <w:trPr>
          <w:trHeight w:val="300"/>
          <w:jc w:val="center"/>
        </w:trPr>
        <w:tc>
          <w:tcPr>
            <w:tcW w:w="3402" w:type="dxa"/>
            <w:shd w:val="clear" w:color="auto" w:fill="auto"/>
            <w:noWrap/>
            <w:vAlign w:val="center"/>
            <w:hideMark/>
          </w:tcPr>
          <w:p w14:paraId="5E272046" w14:textId="4802C4F3" w:rsidR="003E7925" w:rsidRPr="003E7925" w:rsidRDefault="003E7925" w:rsidP="009B65B1">
            <w:pPr>
              <w:pStyle w:val="Paragraphedeliste"/>
              <w:numPr>
                <w:ilvl w:val="0"/>
                <w:numId w:val="3"/>
              </w:numPr>
              <w:spacing w:after="0" w:line="240" w:lineRule="auto"/>
              <w:rPr>
                <w:rFonts w:eastAsia="Times New Roman" w:cs="Calibri"/>
                <w:bCs/>
                <w:color w:val="000000"/>
                <w:lang w:val="en-US" w:eastAsia="fr-FR"/>
              </w:rPr>
            </w:pPr>
            <w:r w:rsidRPr="003E7925">
              <w:rPr>
                <w:rFonts w:eastAsia="Times New Roman" w:cs="Calibri"/>
                <w:bCs/>
                <w:color w:val="000000"/>
                <w:lang w:val="en-US" w:eastAsia="fr-FR"/>
              </w:rPr>
              <w:t xml:space="preserve">Lower digestive tract bleeding (N=76) </w:t>
            </w:r>
          </w:p>
        </w:tc>
        <w:tc>
          <w:tcPr>
            <w:tcW w:w="1701" w:type="dxa"/>
            <w:shd w:val="clear" w:color="auto" w:fill="auto"/>
            <w:noWrap/>
            <w:vAlign w:val="center"/>
            <w:hideMark/>
          </w:tcPr>
          <w:p w14:paraId="1E0E17A4" w14:textId="6DF2C256"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7 (9.21%)</w:t>
            </w:r>
          </w:p>
        </w:tc>
        <w:tc>
          <w:tcPr>
            <w:tcW w:w="1701" w:type="dxa"/>
            <w:shd w:val="clear" w:color="auto" w:fill="auto"/>
            <w:noWrap/>
            <w:vAlign w:val="center"/>
            <w:hideMark/>
          </w:tcPr>
          <w:p w14:paraId="1DADABDF" w14:textId="15165E46"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7 (9.59%)</w:t>
            </w:r>
          </w:p>
        </w:tc>
        <w:tc>
          <w:tcPr>
            <w:tcW w:w="1701" w:type="dxa"/>
            <w:shd w:val="clear" w:color="auto" w:fill="auto"/>
            <w:noWrap/>
            <w:vAlign w:val="center"/>
            <w:hideMark/>
          </w:tcPr>
          <w:p w14:paraId="2AA753D1" w14:textId="162B4EAB"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0 (0.00%)</w:t>
            </w:r>
          </w:p>
        </w:tc>
        <w:tc>
          <w:tcPr>
            <w:tcW w:w="1701" w:type="dxa"/>
            <w:shd w:val="clear" w:color="auto" w:fill="auto"/>
            <w:noWrap/>
            <w:vAlign w:val="center"/>
            <w:hideMark/>
          </w:tcPr>
          <w:p w14:paraId="70474F8A" w14:textId="0AD3850D"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1.00</w:t>
            </w:r>
          </w:p>
        </w:tc>
        <w:tc>
          <w:tcPr>
            <w:tcW w:w="933" w:type="dxa"/>
            <w:shd w:val="clear" w:color="auto" w:fill="auto"/>
            <w:noWrap/>
            <w:vAlign w:val="center"/>
            <w:hideMark/>
          </w:tcPr>
          <w:p w14:paraId="7AC3606F" w14:textId="6FA40BBA" w:rsidR="003E7925" w:rsidRPr="003E7925" w:rsidRDefault="003E7925" w:rsidP="006A7818">
            <w:pPr>
              <w:spacing w:after="0" w:line="240" w:lineRule="auto"/>
              <w:jc w:val="center"/>
              <w:rPr>
                <w:rFonts w:eastAsia="Times New Roman" w:cs="Calibri"/>
                <w:b/>
                <w:color w:val="000000"/>
                <w:lang w:val="en-US" w:eastAsia="fr-FR"/>
              </w:rPr>
            </w:pPr>
            <w:r w:rsidRPr="00541D30">
              <w:rPr>
                <w:rFonts w:eastAsia="Times New Roman" w:cs="Calibri"/>
                <w:color w:val="000000"/>
                <w:lang w:eastAsia="fr-FR"/>
              </w:rPr>
              <w:t>&gt;0.99</w:t>
            </w:r>
          </w:p>
        </w:tc>
      </w:tr>
      <w:tr w:rsidR="003E7925" w:rsidRPr="00541D30" w14:paraId="5A7FC141" w14:textId="77777777" w:rsidTr="006A7818">
        <w:trPr>
          <w:trHeight w:val="300"/>
          <w:jc w:val="center"/>
        </w:trPr>
        <w:tc>
          <w:tcPr>
            <w:tcW w:w="3402" w:type="dxa"/>
            <w:tcBorders>
              <w:bottom w:val="single" w:sz="4" w:space="0" w:color="auto"/>
            </w:tcBorders>
            <w:shd w:val="clear" w:color="auto" w:fill="auto"/>
            <w:noWrap/>
            <w:vAlign w:val="center"/>
            <w:hideMark/>
          </w:tcPr>
          <w:p w14:paraId="5C7E1DA1" w14:textId="10ABC4D0" w:rsidR="003E7925" w:rsidRPr="00541D30" w:rsidRDefault="003E7925" w:rsidP="003E7925">
            <w:pPr>
              <w:spacing w:after="0" w:line="240" w:lineRule="auto"/>
              <w:rPr>
                <w:rFonts w:eastAsia="Times New Roman" w:cs="Calibri"/>
                <w:b/>
                <w:color w:val="000000"/>
                <w:lang w:eastAsia="fr-FR"/>
              </w:rPr>
            </w:pPr>
            <w:r>
              <w:rPr>
                <w:rFonts w:eastAsia="Times New Roman" w:cs="Calibri"/>
                <w:b/>
                <w:color w:val="000000"/>
                <w:lang w:eastAsia="fr-FR"/>
              </w:rPr>
              <w:t>Digestive p</w:t>
            </w:r>
            <w:r w:rsidRPr="00541D30">
              <w:rPr>
                <w:rFonts w:eastAsia="Times New Roman" w:cs="Calibri"/>
                <w:b/>
                <w:color w:val="000000"/>
                <w:lang w:eastAsia="fr-FR"/>
              </w:rPr>
              <w:t xml:space="preserve">erforation (N=76) </w:t>
            </w:r>
          </w:p>
        </w:tc>
        <w:tc>
          <w:tcPr>
            <w:tcW w:w="1701" w:type="dxa"/>
            <w:tcBorders>
              <w:bottom w:val="single" w:sz="4" w:space="0" w:color="auto"/>
            </w:tcBorders>
            <w:shd w:val="clear" w:color="auto" w:fill="auto"/>
            <w:noWrap/>
            <w:vAlign w:val="center"/>
            <w:hideMark/>
          </w:tcPr>
          <w:p w14:paraId="6D43831A" w14:textId="5E547551"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2 (2.63%)</w:t>
            </w:r>
          </w:p>
        </w:tc>
        <w:tc>
          <w:tcPr>
            <w:tcW w:w="1701" w:type="dxa"/>
            <w:tcBorders>
              <w:bottom w:val="single" w:sz="4" w:space="0" w:color="auto"/>
            </w:tcBorders>
            <w:shd w:val="clear" w:color="auto" w:fill="auto"/>
            <w:noWrap/>
            <w:vAlign w:val="center"/>
            <w:hideMark/>
          </w:tcPr>
          <w:p w14:paraId="52095F93" w14:textId="69257C04"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1 (1.37%)</w:t>
            </w:r>
          </w:p>
        </w:tc>
        <w:tc>
          <w:tcPr>
            <w:tcW w:w="1701" w:type="dxa"/>
            <w:tcBorders>
              <w:bottom w:val="single" w:sz="4" w:space="0" w:color="auto"/>
            </w:tcBorders>
            <w:shd w:val="clear" w:color="auto" w:fill="auto"/>
            <w:noWrap/>
            <w:vAlign w:val="center"/>
            <w:hideMark/>
          </w:tcPr>
          <w:p w14:paraId="4CA4703B" w14:textId="5E138C41"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1 (33.33%)</w:t>
            </w:r>
          </w:p>
        </w:tc>
        <w:tc>
          <w:tcPr>
            <w:tcW w:w="1701" w:type="dxa"/>
            <w:tcBorders>
              <w:bottom w:val="single" w:sz="4" w:space="0" w:color="auto"/>
            </w:tcBorders>
            <w:shd w:val="clear" w:color="auto" w:fill="auto"/>
            <w:noWrap/>
            <w:vAlign w:val="center"/>
            <w:hideMark/>
          </w:tcPr>
          <w:p w14:paraId="5B725B80" w14:textId="2EF87B8C"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36.00 [1.61;805.20]</w:t>
            </w:r>
          </w:p>
        </w:tc>
        <w:tc>
          <w:tcPr>
            <w:tcW w:w="933" w:type="dxa"/>
            <w:tcBorders>
              <w:bottom w:val="single" w:sz="4" w:space="0" w:color="auto"/>
            </w:tcBorders>
            <w:shd w:val="clear" w:color="auto" w:fill="auto"/>
            <w:noWrap/>
            <w:vAlign w:val="center"/>
            <w:hideMark/>
          </w:tcPr>
          <w:p w14:paraId="4D2D360F" w14:textId="5807F2C3" w:rsidR="003E7925" w:rsidRPr="00541D30" w:rsidRDefault="003E7925" w:rsidP="006A7818">
            <w:pPr>
              <w:spacing w:after="0" w:line="240" w:lineRule="auto"/>
              <w:jc w:val="center"/>
              <w:rPr>
                <w:rFonts w:eastAsia="Times New Roman" w:cs="Calibri"/>
                <w:b/>
                <w:color w:val="000000"/>
                <w:lang w:eastAsia="fr-FR"/>
              </w:rPr>
            </w:pPr>
            <w:r w:rsidRPr="00541D30">
              <w:rPr>
                <w:rFonts w:eastAsia="Times New Roman" w:cs="Calibri"/>
                <w:color w:val="000000"/>
                <w:lang w:eastAsia="fr-FR"/>
              </w:rPr>
              <w:t>0.08</w:t>
            </w:r>
          </w:p>
        </w:tc>
      </w:tr>
      <w:tr w:rsidR="0076591B" w:rsidRPr="00541D30" w14:paraId="03298F3B" w14:textId="77777777" w:rsidTr="006A7818">
        <w:trPr>
          <w:trHeight w:val="300"/>
          <w:jc w:val="center"/>
        </w:trPr>
        <w:tc>
          <w:tcPr>
            <w:tcW w:w="3402" w:type="dxa"/>
            <w:tcBorders>
              <w:top w:val="single" w:sz="4" w:space="0" w:color="auto"/>
              <w:left w:val="single" w:sz="4" w:space="0" w:color="auto"/>
              <w:bottom w:val="nil"/>
            </w:tcBorders>
            <w:shd w:val="clear" w:color="auto" w:fill="DEEAF6" w:themeFill="accent1" w:themeFillTint="33"/>
            <w:noWrap/>
            <w:vAlign w:val="center"/>
          </w:tcPr>
          <w:p w14:paraId="64C95B6D" w14:textId="27A3DB7E" w:rsidR="0076591B" w:rsidRDefault="0076591B" w:rsidP="009906BB">
            <w:pPr>
              <w:spacing w:after="0" w:line="240" w:lineRule="auto"/>
              <w:rPr>
                <w:rFonts w:eastAsia="Times New Roman" w:cs="Calibri"/>
                <w:b/>
                <w:color w:val="000000"/>
                <w:lang w:eastAsia="fr-FR"/>
              </w:rPr>
            </w:pPr>
            <w:r w:rsidRPr="0076591B">
              <w:rPr>
                <w:rFonts w:eastAsia="Times New Roman" w:cs="Calibri"/>
                <w:b/>
                <w:color w:val="000000"/>
                <w:sz w:val="24"/>
                <w:szCs w:val="24"/>
                <w:lang w:eastAsia="fr-FR"/>
              </w:rPr>
              <w:t>Ward group</w:t>
            </w:r>
          </w:p>
        </w:tc>
        <w:tc>
          <w:tcPr>
            <w:tcW w:w="1701" w:type="dxa"/>
            <w:tcBorders>
              <w:top w:val="single" w:sz="4" w:space="0" w:color="auto"/>
              <w:bottom w:val="nil"/>
            </w:tcBorders>
            <w:shd w:val="clear" w:color="auto" w:fill="DEEAF6" w:themeFill="accent1" w:themeFillTint="33"/>
            <w:noWrap/>
            <w:vAlign w:val="center"/>
          </w:tcPr>
          <w:p w14:paraId="1BC545EF" w14:textId="77777777" w:rsidR="0076591B" w:rsidRPr="0076591B" w:rsidRDefault="0076591B"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DEEAF6" w:themeFill="accent1" w:themeFillTint="33"/>
            <w:noWrap/>
            <w:vAlign w:val="center"/>
          </w:tcPr>
          <w:p w14:paraId="7A18936C" w14:textId="77777777" w:rsidR="0076591B" w:rsidRPr="0076591B" w:rsidRDefault="0076591B"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DEEAF6" w:themeFill="accent1" w:themeFillTint="33"/>
            <w:noWrap/>
            <w:vAlign w:val="center"/>
          </w:tcPr>
          <w:p w14:paraId="1BDC9FE1" w14:textId="77777777" w:rsidR="0076591B" w:rsidRPr="0076591B" w:rsidRDefault="0076591B"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DEEAF6" w:themeFill="accent1" w:themeFillTint="33"/>
            <w:noWrap/>
            <w:vAlign w:val="center"/>
          </w:tcPr>
          <w:p w14:paraId="79EE4823" w14:textId="77777777" w:rsidR="0076591B" w:rsidRPr="0076591B" w:rsidRDefault="0076591B" w:rsidP="006A7818">
            <w:pPr>
              <w:spacing w:after="0" w:line="240" w:lineRule="auto"/>
              <w:jc w:val="center"/>
              <w:rPr>
                <w:rFonts w:eastAsia="Times New Roman" w:cs="Calibri"/>
                <w:color w:val="000000"/>
                <w:lang w:eastAsia="fr-FR"/>
              </w:rPr>
            </w:pPr>
          </w:p>
        </w:tc>
        <w:tc>
          <w:tcPr>
            <w:tcW w:w="933" w:type="dxa"/>
            <w:tcBorders>
              <w:top w:val="single" w:sz="4" w:space="0" w:color="auto"/>
              <w:bottom w:val="nil"/>
              <w:right w:val="single" w:sz="4" w:space="0" w:color="auto"/>
            </w:tcBorders>
            <w:shd w:val="clear" w:color="auto" w:fill="DEEAF6" w:themeFill="accent1" w:themeFillTint="33"/>
            <w:noWrap/>
            <w:vAlign w:val="center"/>
          </w:tcPr>
          <w:p w14:paraId="455258E8" w14:textId="77777777" w:rsidR="0076591B" w:rsidRPr="0076591B" w:rsidRDefault="0076591B" w:rsidP="006A7818">
            <w:pPr>
              <w:spacing w:after="0" w:line="240" w:lineRule="auto"/>
              <w:jc w:val="center"/>
              <w:rPr>
                <w:rFonts w:eastAsia="Times New Roman" w:cs="Calibri"/>
                <w:color w:val="000000"/>
                <w:lang w:eastAsia="fr-FR"/>
              </w:rPr>
            </w:pPr>
          </w:p>
        </w:tc>
      </w:tr>
      <w:tr w:rsidR="0076591B" w:rsidRPr="00541D30" w14:paraId="1CEBBA78" w14:textId="77777777" w:rsidTr="006A7818">
        <w:trPr>
          <w:trHeight w:val="300"/>
          <w:jc w:val="center"/>
        </w:trPr>
        <w:tc>
          <w:tcPr>
            <w:tcW w:w="3402" w:type="dxa"/>
            <w:tcBorders>
              <w:top w:val="single" w:sz="4" w:space="0" w:color="auto"/>
              <w:left w:val="single" w:sz="4" w:space="0" w:color="auto"/>
              <w:bottom w:val="nil"/>
            </w:tcBorders>
            <w:shd w:val="clear" w:color="auto" w:fill="auto"/>
            <w:noWrap/>
            <w:vAlign w:val="center"/>
            <w:hideMark/>
          </w:tcPr>
          <w:p w14:paraId="0182D988" w14:textId="77777777" w:rsidR="0076591B" w:rsidRPr="00541D30" w:rsidRDefault="0076591B" w:rsidP="009906BB">
            <w:pPr>
              <w:spacing w:after="0" w:line="240" w:lineRule="auto"/>
              <w:rPr>
                <w:rFonts w:eastAsia="Times New Roman" w:cs="Calibri"/>
                <w:b/>
                <w:color w:val="000000"/>
                <w:lang w:eastAsia="fr-FR"/>
              </w:rPr>
            </w:pPr>
            <w:proofErr w:type="spellStart"/>
            <w:r>
              <w:rPr>
                <w:rFonts w:eastAsia="Times New Roman" w:cs="Calibri"/>
                <w:b/>
                <w:color w:val="000000"/>
                <w:lang w:eastAsia="fr-FR"/>
              </w:rPr>
              <w:t>Any</w:t>
            </w:r>
            <w:proofErr w:type="spellEnd"/>
            <w:r>
              <w:rPr>
                <w:rFonts w:eastAsia="Times New Roman" w:cs="Calibri"/>
                <w:b/>
                <w:color w:val="000000"/>
                <w:lang w:eastAsia="fr-FR"/>
              </w:rPr>
              <w:t xml:space="preserve"> adverse </w:t>
            </w:r>
            <w:proofErr w:type="spellStart"/>
            <w:r>
              <w:rPr>
                <w:rFonts w:eastAsia="Times New Roman" w:cs="Calibri"/>
                <w:b/>
                <w:color w:val="000000"/>
                <w:lang w:eastAsia="fr-FR"/>
              </w:rPr>
              <w:t>event</w:t>
            </w:r>
            <w:proofErr w:type="spellEnd"/>
          </w:p>
        </w:tc>
        <w:tc>
          <w:tcPr>
            <w:tcW w:w="1701" w:type="dxa"/>
            <w:tcBorders>
              <w:top w:val="single" w:sz="4" w:space="0" w:color="auto"/>
              <w:bottom w:val="nil"/>
            </w:tcBorders>
            <w:shd w:val="clear" w:color="auto" w:fill="auto"/>
            <w:noWrap/>
            <w:vAlign w:val="center"/>
            <w:hideMark/>
          </w:tcPr>
          <w:p w14:paraId="13DFE4F1" w14:textId="77777777" w:rsidR="0076591B" w:rsidRPr="0076591B" w:rsidRDefault="0076591B"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auto"/>
            <w:noWrap/>
            <w:vAlign w:val="center"/>
            <w:hideMark/>
          </w:tcPr>
          <w:p w14:paraId="0F5E9D50" w14:textId="77777777" w:rsidR="0076591B" w:rsidRPr="0076591B" w:rsidRDefault="0076591B"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auto"/>
            <w:noWrap/>
            <w:vAlign w:val="center"/>
            <w:hideMark/>
          </w:tcPr>
          <w:p w14:paraId="3BC5C80A" w14:textId="77777777" w:rsidR="0076591B" w:rsidRPr="0076591B" w:rsidRDefault="0076591B"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auto"/>
            <w:noWrap/>
            <w:vAlign w:val="center"/>
            <w:hideMark/>
          </w:tcPr>
          <w:p w14:paraId="2D97EBC8" w14:textId="77777777" w:rsidR="0076591B" w:rsidRPr="0076591B" w:rsidRDefault="0076591B" w:rsidP="006A7818">
            <w:pPr>
              <w:spacing w:after="0" w:line="240" w:lineRule="auto"/>
              <w:jc w:val="center"/>
              <w:rPr>
                <w:rFonts w:eastAsia="Times New Roman" w:cs="Calibri"/>
                <w:color w:val="000000"/>
                <w:lang w:eastAsia="fr-FR"/>
              </w:rPr>
            </w:pPr>
          </w:p>
        </w:tc>
        <w:tc>
          <w:tcPr>
            <w:tcW w:w="933" w:type="dxa"/>
            <w:tcBorders>
              <w:top w:val="single" w:sz="4" w:space="0" w:color="auto"/>
              <w:bottom w:val="nil"/>
              <w:right w:val="single" w:sz="4" w:space="0" w:color="auto"/>
            </w:tcBorders>
            <w:shd w:val="clear" w:color="auto" w:fill="auto"/>
            <w:noWrap/>
            <w:vAlign w:val="center"/>
            <w:hideMark/>
          </w:tcPr>
          <w:p w14:paraId="383D261B" w14:textId="77777777" w:rsidR="0076591B" w:rsidRPr="0076591B" w:rsidRDefault="0076591B" w:rsidP="006A7818">
            <w:pPr>
              <w:spacing w:after="0" w:line="240" w:lineRule="auto"/>
              <w:jc w:val="center"/>
              <w:rPr>
                <w:rFonts w:eastAsia="Times New Roman" w:cs="Calibri"/>
                <w:color w:val="000000"/>
                <w:lang w:eastAsia="fr-FR"/>
              </w:rPr>
            </w:pPr>
          </w:p>
        </w:tc>
      </w:tr>
      <w:tr w:rsidR="0076591B" w:rsidRPr="0009503D" w14:paraId="0D489C07" w14:textId="77777777" w:rsidTr="006A7818">
        <w:trPr>
          <w:trHeight w:val="300"/>
          <w:jc w:val="center"/>
        </w:trPr>
        <w:tc>
          <w:tcPr>
            <w:tcW w:w="3402" w:type="dxa"/>
            <w:tcBorders>
              <w:top w:val="nil"/>
              <w:left w:val="single" w:sz="4" w:space="0" w:color="auto"/>
            </w:tcBorders>
            <w:shd w:val="clear" w:color="auto" w:fill="auto"/>
            <w:noWrap/>
            <w:vAlign w:val="center"/>
            <w:hideMark/>
          </w:tcPr>
          <w:p w14:paraId="1A5D4D36" w14:textId="77777777" w:rsidR="0076591B" w:rsidRPr="0076591B" w:rsidRDefault="0076591B" w:rsidP="009906BB">
            <w:pPr>
              <w:spacing w:after="0" w:line="240" w:lineRule="auto"/>
              <w:rPr>
                <w:rFonts w:eastAsia="Times New Roman" w:cs="Calibri"/>
                <w:b/>
                <w:color w:val="000000"/>
                <w:lang w:val="en-US" w:eastAsia="fr-FR"/>
              </w:rPr>
            </w:pPr>
            <w:r w:rsidRPr="0076591B">
              <w:rPr>
                <w:rFonts w:eastAsia="Times New Roman" w:cs="Calibri"/>
                <w:b/>
                <w:color w:val="000000"/>
                <w:lang w:val="en-US" w:eastAsia="fr-FR"/>
              </w:rPr>
              <w:t>Number of non-infectious adverse event (Median [Q1;Q3])</w:t>
            </w:r>
          </w:p>
        </w:tc>
        <w:tc>
          <w:tcPr>
            <w:tcW w:w="1701" w:type="dxa"/>
            <w:tcBorders>
              <w:top w:val="nil"/>
            </w:tcBorders>
            <w:shd w:val="clear" w:color="auto" w:fill="auto"/>
            <w:noWrap/>
            <w:vAlign w:val="center"/>
            <w:hideMark/>
          </w:tcPr>
          <w:p w14:paraId="0867CC44" w14:textId="77777777" w:rsidR="0076591B" w:rsidRPr="0076591B" w:rsidRDefault="0076591B" w:rsidP="006A7818">
            <w:pPr>
              <w:spacing w:after="0" w:line="240" w:lineRule="auto"/>
              <w:jc w:val="center"/>
              <w:rPr>
                <w:rFonts w:eastAsia="Times New Roman" w:cs="Calibri"/>
                <w:color w:val="000000"/>
                <w:lang w:val="en-US" w:eastAsia="fr-FR"/>
              </w:rPr>
            </w:pPr>
          </w:p>
        </w:tc>
        <w:tc>
          <w:tcPr>
            <w:tcW w:w="1701" w:type="dxa"/>
            <w:tcBorders>
              <w:top w:val="nil"/>
            </w:tcBorders>
            <w:shd w:val="clear" w:color="auto" w:fill="auto"/>
            <w:noWrap/>
            <w:vAlign w:val="center"/>
            <w:hideMark/>
          </w:tcPr>
          <w:p w14:paraId="1113F04C" w14:textId="77777777" w:rsidR="0076591B" w:rsidRPr="0076591B" w:rsidRDefault="0076591B" w:rsidP="006A7818">
            <w:pPr>
              <w:spacing w:after="0" w:line="240" w:lineRule="auto"/>
              <w:jc w:val="center"/>
              <w:rPr>
                <w:rFonts w:eastAsia="Times New Roman" w:cs="Calibri"/>
                <w:color w:val="000000"/>
                <w:lang w:val="en-US" w:eastAsia="fr-FR"/>
              </w:rPr>
            </w:pPr>
          </w:p>
        </w:tc>
        <w:tc>
          <w:tcPr>
            <w:tcW w:w="1701" w:type="dxa"/>
            <w:tcBorders>
              <w:top w:val="nil"/>
            </w:tcBorders>
            <w:shd w:val="clear" w:color="auto" w:fill="auto"/>
            <w:noWrap/>
            <w:vAlign w:val="center"/>
            <w:hideMark/>
          </w:tcPr>
          <w:p w14:paraId="44F651CD" w14:textId="77777777" w:rsidR="0076591B" w:rsidRPr="0076591B" w:rsidRDefault="0076591B" w:rsidP="006A7818">
            <w:pPr>
              <w:spacing w:after="0" w:line="240" w:lineRule="auto"/>
              <w:jc w:val="center"/>
              <w:rPr>
                <w:rFonts w:eastAsia="Times New Roman" w:cs="Calibri"/>
                <w:color w:val="000000"/>
                <w:lang w:val="en-US" w:eastAsia="fr-FR"/>
              </w:rPr>
            </w:pPr>
          </w:p>
        </w:tc>
        <w:tc>
          <w:tcPr>
            <w:tcW w:w="1701" w:type="dxa"/>
            <w:tcBorders>
              <w:top w:val="nil"/>
            </w:tcBorders>
            <w:shd w:val="clear" w:color="auto" w:fill="auto"/>
            <w:noWrap/>
            <w:vAlign w:val="center"/>
            <w:hideMark/>
          </w:tcPr>
          <w:p w14:paraId="38ACF62C" w14:textId="77777777" w:rsidR="0076591B" w:rsidRPr="0076591B" w:rsidRDefault="0076591B" w:rsidP="006A7818">
            <w:pPr>
              <w:spacing w:after="0" w:line="240" w:lineRule="auto"/>
              <w:jc w:val="center"/>
              <w:rPr>
                <w:rFonts w:eastAsia="Times New Roman" w:cs="Calibri"/>
                <w:color w:val="000000"/>
                <w:lang w:val="en-US" w:eastAsia="fr-FR"/>
              </w:rPr>
            </w:pPr>
          </w:p>
        </w:tc>
        <w:tc>
          <w:tcPr>
            <w:tcW w:w="933" w:type="dxa"/>
            <w:tcBorders>
              <w:top w:val="nil"/>
              <w:right w:val="single" w:sz="4" w:space="0" w:color="auto"/>
            </w:tcBorders>
            <w:shd w:val="clear" w:color="auto" w:fill="auto"/>
            <w:noWrap/>
            <w:vAlign w:val="center"/>
            <w:hideMark/>
          </w:tcPr>
          <w:p w14:paraId="5E6CC183" w14:textId="77777777" w:rsidR="0076591B" w:rsidRPr="0076591B" w:rsidRDefault="0076591B" w:rsidP="006A7818">
            <w:pPr>
              <w:spacing w:after="0" w:line="240" w:lineRule="auto"/>
              <w:jc w:val="center"/>
              <w:rPr>
                <w:rFonts w:eastAsia="Times New Roman" w:cs="Calibri"/>
                <w:color w:val="000000"/>
                <w:lang w:val="en-US" w:eastAsia="fr-FR"/>
              </w:rPr>
            </w:pPr>
          </w:p>
        </w:tc>
      </w:tr>
      <w:tr w:rsidR="00890A63" w:rsidRPr="005B6F37" w14:paraId="3FDF183D" w14:textId="77777777" w:rsidTr="006A7818">
        <w:trPr>
          <w:trHeight w:val="300"/>
          <w:jc w:val="center"/>
        </w:trPr>
        <w:tc>
          <w:tcPr>
            <w:tcW w:w="3402" w:type="dxa"/>
            <w:tcBorders>
              <w:left w:val="single" w:sz="4" w:space="0" w:color="auto"/>
            </w:tcBorders>
            <w:shd w:val="clear" w:color="auto" w:fill="auto"/>
            <w:noWrap/>
            <w:vAlign w:val="center"/>
            <w:hideMark/>
          </w:tcPr>
          <w:p w14:paraId="35967F6D" w14:textId="77777777" w:rsidR="00890A63" w:rsidRPr="0076591B" w:rsidRDefault="00890A63" w:rsidP="00890A63">
            <w:pPr>
              <w:spacing w:after="0" w:line="240" w:lineRule="auto"/>
              <w:rPr>
                <w:rFonts w:eastAsia="Times New Roman" w:cs="Calibri"/>
                <w:b/>
                <w:color w:val="000000"/>
                <w:lang w:eastAsia="fr-FR"/>
              </w:rPr>
            </w:pPr>
            <w:proofErr w:type="spellStart"/>
            <w:r w:rsidRPr="0076591B">
              <w:rPr>
                <w:rFonts w:eastAsia="Times New Roman" w:cs="Calibri"/>
                <w:b/>
                <w:color w:val="000000"/>
                <w:lang w:eastAsia="fr-FR"/>
              </w:rPr>
              <w:t>Hematological</w:t>
            </w:r>
            <w:proofErr w:type="spellEnd"/>
            <w:r w:rsidRPr="0076591B">
              <w:rPr>
                <w:rFonts w:eastAsia="Times New Roman" w:cs="Calibri"/>
                <w:b/>
                <w:color w:val="000000"/>
                <w:lang w:eastAsia="fr-FR"/>
              </w:rPr>
              <w:t xml:space="preserve"> complication</w:t>
            </w:r>
          </w:p>
        </w:tc>
        <w:tc>
          <w:tcPr>
            <w:tcW w:w="1701" w:type="dxa"/>
            <w:shd w:val="clear" w:color="auto" w:fill="auto"/>
            <w:noWrap/>
            <w:vAlign w:val="center"/>
          </w:tcPr>
          <w:p w14:paraId="69A34BFE" w14:textId="06D4C680"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33 (2.06%)</w:t>
            </w:r>
          </w:p>
        </w:tc>
        <w:tc>
          <w:tcPr>
            <w:tcW w:w="1701" w:type="dxa"/>
            <w:shd w:val="clear" w:color="auto" w:fill="auto"/>
            <w:noWrap/>
            <w:vAlign w:val="center"/>
          </w:tcPr>
          <w:p w14:paraId="38A72F7B" w14:textId="2BCFCFAD"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29 (1.90%)</w:t>
            </w:r>
          </w:p>
        </w:tc>
        <w:tc>
          <w:tcPr>
            <w:tcW w:w="1701" w:type="dxa"/>
            <w:shd w:val="clear" w:color="auto" w:fill="auto"/>
            <w:noWrap/>
            <w:vAlign w:val="center"/>
          </w:tcPr>
          <w:p w14:paraId="00D56438" w14:textId="5E5EFC02"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4 (5.00%)</w:t>
            </w:r>
          </w:p>
        </w:tc>
        <w:tc>
          <w:tcPr>
            <w:tcW w:w="1701" w:type="dxa"/>
            <w:shd w:val="clear" w:color="auto" w:fill="auto"/>
            <w:noWrap/>
            <w:vAlign w:val="center"/>
          </w:tcPr>
          <w:p w14:paraId="1572665A" w14:textId="7CF6C299"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2.71 [0.93;7.91]</w:t>
            </w:r>
          </w:p>
        </w:tc>
        <w:tc>
          <w:tcPr>
            <w:tcW w:w="933" w:type="dxa"/>
            <w:tcBorders>
              <w:right w:val="single" w:sz="4" w:space="0" w:color="auto"/>
            </w:tcBorders>
            <w:shd w:val="clear" w:color="auto" w:fill="auto"/>
            <w:noWrap/>
            <w:vAlign w:val="center"/>
          </w:tcPr>
          <w:p w14:paraId="60CD5267" w14:textId="53675253"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0.08</w:t>
            </w:r>
          </w:p>
        </w:tc>
      </w:tr>
      <w:tr w:rsidR="00890A63" w:rsidRPr="00541D30" w14:paraId="21973B90" w14:textId="77777777" w:rsidTr="006A7818">
        <w:trPr>
          <w:trHeight w:val="300"/>
          <w:jc w:val="center"/>
        </w:trPr>
        <w:tc>
          <w:tcPr>
            <w:tcW w:w="3402" w:type="dxa"/>
            <w:tcBorders>
              <w:left w:val="single" w:sz="4" w:space="0" w:color="auto"/>
            </w:tcBorders>
            <w:shd w:val="clear" w:color="auto" w:fill="auto"/>
            <w:noWrap/>
            <w:vAlign w:val="center"/>
            <w:hideMark/>
          </w:tcPr>
          <w:p w14:paraId="6CB1C415" w14:textId="717CB5AF" w:rsidR="00890A63" w:rsidRPr="009B65B1" w:rsidRDefault="00890A63" w:rsidP="00890A63">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Thrombopenia</w:t>
            </w:r>
            <w:proofErr w:type="spellEnd"/>
            <w:r w:rsidRPr="009B65B1">
              <w:rPr>
                <w:rFonts w:eastAsia="Times New Roman" w:cs="Calibri"/>
                <w:bCs/>
                <w:color w:val="000000"/>
                <w:lang w:eastAsia="fr-FR"/>
              </w:rPr>
              <w:t xml:space="preserve"> (N=</w:t>
            </w:r>
            <w:r>
              <w:rPr>
                <w:rFonts w:eastAsia="Times New Roman" w:cs="Calibri"/>
                <w:bCs/>
                <w:color w:val="000000"/>
                <w:lang w:eastAsia="fr-FR"/>
              </w:rPr>
              <w:t>3</w:t>
            </w:r>
            <w:r w:rsidRPr="009B65B1">
              <w:rPr>
                <w:rFonts w:eastAsia="Times New Roman" w:cs="Calibri"/>
                <w:bCs/>
                <w:color w:val="000000"/>
                <w:lang w:eastAsia="fr-FR"/>
              </w:rPr>
              <w:t xml:space="preserve">2) </w:t>
            </w:r>
          </w:p>
        </w:tc>
        <w:tc>
          <w:tcPr>
            <w:tcW w:w="1701" w:type="dxa"/>
            <w:shd w:val="clear" w:color="auto" w:fill="auto"/>
            <w:noWrap/>
            <w:vAlign w:val="center"/>
          </w:tcPr>
          <w:p w14:paraId="7ABC575B" w14:textId="2BC24500"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30 (93.75%)</w:t>
            </w:r>
          </w:p>
        </w:tc>
        <w:tc>
          <w:tcPr>
            <w:tcW w:w="1701" w:type="dxa"/>
            <w:shd w:val="clear" w:color="auto" w:fill="auto"/>
            <w:noWrap/>
            <w:vAlign w:val="center"/>
          </w:tcPr>
          <w:p w14:paraId="26703652" w14:textId="56DDE751"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26 (92.86%)</w:t>
            </w:r>
          </w:p>
        </w:tc>
        <w:tc>
          <w:tcPr>
            <w:tcW w:w="1701" w:type="dxa"/>
            <w:shd w:val="clear" w:color="auto" w:fill="auto"/>
            <w:noWrap/>
            <w:vAlign w:val="center"/>
          </w:tcPr>
          <w:p w14:paraId="39E0AFCC" w14:textId="19FFF1DC"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4 (100.00%)</w:t>
            </w:r>
          </w:p>
        </w:tc>
        <w:tc>
          <w:tcPr>
            <w:tcW w:w="1701" w:type="dxa"/>
            <w:shd w:val="clear" w:color="auto" w:fill="auto"/>
            <w:noWrap/>
            <w:vAlign w:val="center"/>
          </w:tcPr>
          <w:p w14:paraId="7BC4EDF0" w14:textId="4AB35216"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1.00</w:t>
            </w:r>
          </w:p>
        </w:tc>
        <w:tc>
          <w:tcPr>
            <w:tcW w:w="933" w:type="dxa"/>
            <w:tcBorders>
              <w:right w:val="single" w:sz="4" w:space="0" w:color="auto"/>
            </w:tcBorders>
            <w:shd w:val="clear" w:color="auto" w:fill="auto"/>
            <w:noWrap/>
            <w:vAlign w:val="center"/>
          </w:tcPr>
          <w:p w14:paraId="4CE8FF4E" w14:textId="5C60F18E" w:rsidR="00890A63" w:rsidRPr="0076591B"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&gt;0.99</w:t>
            </w:r>
          </w:p>
        </w:tc>
      </w:tr>
      <w:tr w:rsidR="00890A63" w:rsidRPr="003E7925" w14:paraId="59897655" w14:textId="77777777" w:rsidTr="006A7818">
        <w:trPr>
          <w:trHeight w:val="300"/>
          <w:jc w:val="center"/>
        </w:trPr>
        <w:tc>
          <w:tcPr>
            <w:tcW w:w="3402" w:type="dxa"/>
            <w:tcBorders>
              <w:left w:val="single" w:sz="4" w:space="0" w:color="auto"/>
            </w:tcBorders>
            <w:shd w:val="clear" w:color="auto" w:fill="auto"/>
            <w:noWrap/>
            <w:vAlign w:val="center"/>
            <w:hideMark/>
          </w:tcPr>
          <w:p w14:paraId="41D4D030" w14:textId="6A72C2E6" w:rsidR="00890A63" w:rsidRPr="009B65B1" w:rsidRDefault="00890A63" w:rsidP="00890A63">
            <w:pPr>
              <w:pStyle w:val="Paragraphedeliste"/>
              <w:numPr>
                <w:ilvl w:val="0"/>
                <w:numId w:val="3"/>
              </w:numPr>
              <w:spacing w:after="0" w:line="240" w:lineRule="auto"/>
              <w:rPr>
                <w:rFonts w:eastAsia="Times New Roman" w:cs="Calibri"/>
                <w:bCs/>
                <w:color w:val="000000"/>
                <w:lang w:val="en-US" w:eastAsia="fr-FR"/>
              </w:rPr>
            </w:pPr>
            <w:r w:rsidRPr="009B65B1">
              <w:rPr>
                <w:rFonts w:eastAsia="Times New Roman" w:cs="Calibri"/>
                <w:bCs/>
                <w:color w:val="000000"/>
                <w:lang w:val="en-US" w:eastAsia="fr-FR"/>
              </w:rPr>
              <w:t xml:space="preserve">Length of </w:t>
            </w:r>
            <w:proofErr w:type="spellStart"/>
            <w:r w:rsidRPr="009B65B1">
              <w:rPr>
                <w:rFonts w:eastAsia="Times New Roman" w:cs="Calibri"/>
                <w:bCs/>
                <w:color w:val="000000"/>
                <w:lang w:val="en-US" w:eastAsia="fr-FR"/>
              </w:rPr>
              <w:t>thrombopenia</w:t>
            </w:r>
            <w:proofErr w:type="spellEnd"/>
            <w:r w:rsidRPr="009B65B1">
              <w:rPr>
                <w:rFonts w:eastAsia="Times New Roman" w:cs="Calibri"/>
                <w:bCs/>
                <w:color w:val="000000"/>
                <w:lang w:val="en-US" w:eastAsia="fr-FR"/>
              </w:rPr>
              <w:t xml:space="preserve"> (days) (N=</w:t>
            </w:r>
            <w:r>
              <w:rPr>
                <w:rFonts w:eastAsia="Times New Roman" w:cs="Calibri"/>
                <w:bCs/>
                <w:color w:val="000000"/>
                <w:lang w:val="en-US" w:eastAsia="fr-FR"/>
              </w:rPr>
              <w:t>30</w:t>
            </w:r>
            <w:r w:rsidRPr="009B65B1">
              <w:rPr>
                <w:rFonts w:eastAsia="Times New Roman" w:cs="Calibri"/>
                <w:bCs/>
                <w:color w:val="000000"/>
                <w:lang w:val="en-US" w:eastAsia="fr-FR"/>
              </w:rPr>
              <w:t>) Median [Q1;Q3]</w:t>
            </w:r>
          </w:p>
        </w:tc>
        <w:tc>
          <w:tcPr>
            <w:tcW w:w="1701" w:type="dxa"/>
            <w:shd w:val="clear" w:color="auto" w:fill="auto"/>
            <w:noWrap/>
            <w:vAlign w:val="center"/>
          </w:tcPr>
          <w:p w14:paraId="1C43A937" w14:textId="1C4E8804" w:rsidR="00890A63" w:rsidRPr="00890A63" w:rsidRDefault="00890A63"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2.00 [1.00;4.75]</w:t>
            </w:r>
          </w:p>
        </w:tc>
        <w:tc>
          <w:tcPr>
            <w:tcW w:w="1701" w:type="dxa"/>
            <w:shd w:val="clear" w:color="auto" w:fill="auto"/>
            <w:noWrap/>
            <w:vAlign w:val="center"/>
          </w:tcPr>
          <w:p w14:paraId="6ABF6C68" w14:textId="0BC4D29B" w:rsidR="00890A63" w:rsidRPr="00890A63" w:rsidRDefault="00890A63"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2.50 [1.00;5.75]</w:t>
            </w:r>
          </w:p>
        </w:tc>
        <w:tc>
          <w:tcPr>
            <w:tcW w:w="1701" w:type="dxa"/>
            <w:shd w:val="clear" w:color="auto" w:fill="auto"/>
            <w:noWrap/>
            <w:vAlign w:val="center"/>
          </w:tcPr>
          <w:p w14:paraId="4CAED248" w14:textId="18D02CEC" w:rsidR="00890A63" w:rsidRPr="00890A63" w:rsidRDefault="00890A63"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1.50 [1.00;2.00]</w:t>
            </w:r>
          </w:p>
        </w:tc>
        <w:tc>
          <w:tcPr>
            <w:tcW w:w="1701" w:type="dxa"/>
            <w:shd w:val="clear" w:color="auto" w:fill="auto"/>
            <w:noWrap/>
            <w:vAlign w:val="center"/>
          </w:tcPr>
          <w:p w14:paraId="69C601B3" w14:textId="77777777" w:rsidR="00890A63" w:rsidRPr="00890A63" w:rsidRDefault="00890A63" w:rsidP="006A7818">
            <w:pPr>
              <w:spacing w:after="0" w:line="240" w:lineRule="auto"/>
              <w:jc w:val="center"/>
              <w:rPr>
                <w:rFonts w:eastAsia="Times New Roman" w:cs="Calibri"/>
                <w:color w:val="000000"/>
                <w:lang w:val="en-US" w:eastAsia="fr-FR"/>
              </w:rPr>
            </w:pPr>
          </w:p>
        </w:tc>
        <w:tc>
          <w:tcPr>
            <w:tcW w:w="933" w:type="dxa"/>
            <w:tcBorders>
              <w:right w:val="single" w:sz="4" w:space="0" w:color="auto"/>
            </w:tcBorders>
            <w:shd w:val="clear" w:color="auto" w:fill="auto"/>
            <w:noWrap/>
            <w:vAlign w:val="center"/>
          </w:tcPr>
          <w:p w14:paraId="6C3C1F4B" w14:textId="2094C48C" w:rsidR="00890A63" w:rsidRPr="00890A63" w:rsidRDefault="00890A63"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0.20</w:t>
            </w:r>
          </w:p>
        </w:tc>
      </w:tr>
      <w:tr w:rsidR="00890A63" w:rsidRPr="00541D30" w14:paraId="30170339" w14:textId="77777777" w:rsidTr="006A7818">
        <w:trPr>
          <w:trHeight w:val="300"/>
          <w:jc w:val="center"/>
        </w:trPr>
        <w:tc>
          <w:tcPr>
            <w:tcW w:w="3402" w:type="dxa"/>
            <w:tcBorders>
              <w:left w:val="single" w:sz="4" w:space="0" w:color="auto"/>
            </w:tcBorders>
            <w:shd w:val="clear" w:color="auto" w:fill="auto"/>
            <w:noWrap/>
            <w:vAlign w:val="center"/>
            <w:hideMark/>
          </w:tcPr>
          <w:p w14:paraId="098D7EE9" w14:textId="69C4E314" w:rsidR="00890A63" w:rsidRPr="009B65B1" w:rsidRDefault="00890A63" w:rsidP="00890A63">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Neutropenia</w:t>
            </w:r>
            <w:proofErr w:type="spellEnd"/>
            <w:r w:rsidRPr="009B65B1">
              <w:rPr>
                <w:rFonts w:eastAsia="Times New Roman" w:cs="Calibri"/>
                <w:bCs/>
                <w:color w:val="000000"/>
                <w:lang w:eastAsia="fr-FR"/>
              </w:rPr>
              <w:t>(N=</w:t>
            </w:r>
            <w:r>
              <w:rPr>
                <w:rFonts w:eastAsia="Times New Roman" w:cs="Calibri"/>
                <w:bCs/>
                <w:color w:val="000000"/>
                <w:lang w:eastAsia="fr-FR"/>
              </w:rPr>
              <w:t>33</w:t>
            </w:r>
            <w:r w:rsidRPr="009B65B1">
              <w:rPr>
                <w:rFonts w:eastAsia="Times New Roman" w:cs="Calibri"/>
                <w:bCs/>
                <w:color w:val="000000"/>
                <w:lang w:eastAsia="fr-FR"/>
              </w:rPr>
              <w:t>)</w:t>
            </w:r>
          </w:p>
        </w:tc>
        <w:tc>
          <w:tcPr>
            <w:tcW w:w="1701" w:type="dxa"/>
            <w:shd w:val="clear" w:color="auto" w:fill="auto"/>
            <w:noWrap/>
            <w:vAlign w:val="center"/>
          </w:tcPr>
          <w:p w14:paraId="144A76EE" w14:textId="02204F48" w:rsidR="00890A63" w:rsidRPr="00541D30"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5 (15.15%)</w:t>
            </w:r>
          </w:p>
        </w:tc>
        <w:tc>
          <w:tcPr>
            <w:tcW w:w="1701" w:type="dxa"/>
            <w:shd w:val="clear" w:color="auto" w:fill="auto"/>
            <w:noWrap/>
            <w:vAlign w:val="center"/>
          </w:tcPr>
          <w:p w14:paraId="07C14A7A" w14:textId="2C8E246C" w:rsidR="00890A63" w:rsidRPr="00541D30"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5 (17.24%)</w:t>
            </w:r>
          </w:p>
        </w:tc>
        <w:tc>
          <w:tcPr>
            <w:tcW w:w="1701" w:type="dxa"/>
            <w:shd w:val="clear" w:color="auto" w:fill="auto"/>
            <w:noWrap/>
            <w:vAlign w:val="center"/>
          </w:tcPr>
          <w:p w14:paraId="1D52DEC6" w14:textId="6417FD9B" w:rsidR="00890A63" w:rsidRPr="00541D30"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 (0.00%)</w:t>
            </w:r>
          </w:p>
        </w:tc>
        <w:tc>
          <w:tcPr>
            <w:tcW w:w="1701" w:type="dxa"/>
            <w:shd w:val="clear" w:color="auto" w:fill="auto"/>
            <w:noWrap/>
            <w:vAlign w:val="center"/>
          </w:tcPr>
          <w:p w14:paraId="0F390B1A" w14:textId="2F9593BB" w:rsidR="00890A63" w:rsidRPr="00541D30"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1.00</w:t>
            </w:r>
          </w:p>
        </w:tc>
        <w:tc>
          <w:tcPr>
            <w:tcW w:w="933" w:type="dxa"/>
            <w:tcBorders>
              <w:right w:val="single" w:sz="4" w:space="0" w:color="auto"/>
            </w:tcBorders>
            <w:shd w:val="clear" w:color="auto" w:fill="auto"/>
            <w:noWrap/>
            <w:vAlign w:val="center"/>
          </w:tcPr>
          <w:p w14:paraId="1A6BAEA0" w14:textId="18513DB6" w:rsidR="00890A63" w:rsidRPr="00541D30" w:rsidRDefault="00890A63"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&gt;0.99</w:t>
            </w:r>
          </w:p>
        </w:tc>
      </w:tr>
      <w:tr w:rsidR="00A164F1" w:rsidRPr="00541D30" w14:paraId="158543F6" w14:textId="77777777" w:rsidTr="006A7818">
        <w:trPr>
          <w:trHeight w:val="300"/>
          <w:jc w:val="center"/>
        </w:trPr>
        <w:tc>
          <w:tcPr>
            <w:tcW w:w="3402" w:type="dxa"/>
            <w:tcBorders>
              <w:left w:val="single" w:sz="4" w:space="0" w:color="auto"/>
            </w:tcBorders>
            <w:shd w:val="clear" w:color="auto" w:fill="auto"/>
            <w:noWrap/>
            <w:vAlign w:val="center"/>
            <w:hideMark/>
          </w:tcPr>
          <w:p w14:paraId="7DE3660A" w14:textId="52180228" w:rsidR="00A164F1" w:rsidRPr="009B65B1" w:rsidRDefault="00A164F1" w:rsidP="00A164F1">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Severe</w:t>
            </w:r>
            <w:proofErr w:type="spellEnd"/>
            <w:r w:rsidRPr="009B65B1">
              <w:rPr>
                <w:rFonts w:eastAsia="Times New Roman" w:cs="Calibri"/>
                <w:bCs/>
                <w:color w:val="000000"/>
                <w:lang w:eastAsia="fr-FR"/>
              </w:rPr>
              <w:t xml:space="preserve"> </w:t>
            </w:r>
            <w:proofErr w:type="spellStart"/>
            <w:r w:rsidRPr="009B65B1">
              <w:rPr>
                <w:rFonts w:eastAsia="Times New Roman" w:cs="Calibri"/>
                <w:bCs/>
                <w:color w:val="000000"/>
                <w:lang w:eastAsia="fr-FR"/>
              </w:rPr>
              <w:t>neutropenia</w:t>
            </w:r>
            <w:proofErr w:type="spellEnd"/>
            <w:r w:rsidRPr="009B65B1">
              <w:rPr>
                <w:rFonts w:eastAsia="Times New Roman" w:cs="Calibri"/>
                <w:bCs/>
                <w:color w:val="000000"/>
                <w:lang w:eastAsia="fr-FR"/>
              </w:rPr>
              <w:t xml:space="preserve"> (N=</w:t>
            </w:r>
            <w:r>
              <w:rPr>
                <w:rFonts w:eastAsia="Times New Roman" w:cs="Calibri"/>
                <w:bCs/>
                <w:color w:val="000000"/>
                <w:lang w:eastAsia="fr-FR"/>
              </w:rPr>
              <w:t>33</w:t>
            </w:r>
            <w:r w:rsidRPr="009B65B1">
              <w:rPr>
                <w:rFonts w:eastAsia="Times New Roman" w:cs="Calibri"/>
                <w:bCs/>
                <w:color w:val="000000"/>
                <w:lang w:eastAsia="fr-FR"/>
              </w:rPr>
              <w:t xml:space="preserve">) </w:t>
            </w:r>
          </w:p>
        </w:tc>
        <w:tc>
          <w:tcPr>
            <w:tcW w:w="1701" w:type="dxa"/>
            <w:shd w:val="clear" w:color="auto" w:fill="auto"/>
            <w:noWrap/>
            <w:vAlign w:val="center"/>
          </w:tcPr>
          <w:p w14:paraId="17CE80A7" w14:textId="228A0342" w:rsidR="00A164F1" w:rsidRPr="0076591B" w:rsidRDefault="00A164F1"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(3.03%)</w:t>
            </w:r>
          </w:p>
        </w:tc>
        <w:tc>
          <w:tcPr>
            <w:tcW w:w="1701" w:type="dxa"/>
            <w:shd w:val="clear" w:color="auto" w:fill="auto"/>
            <w:noWrap/>
            <w:vAlign w:val="center"/>
          </w:tcPr>
          <w:p w14:paraId="682A3340" w14:textId="23ABC54F" w:rsidR="00A164F1" w:rsidRPr="0076591B" w:rsidRDefault="00A164F1"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(3.45%)</w:t>
            </w:r>
          </w:p>
        </w:tc>
        <w:tc>
          <w:tcPr>
            <w:tcW w:w="1701" w:type="dxa"/>
            <w:shd w:val="clear" w:color="auto" w:fill="auto"/>
            <w:noWrap/>
            <w:vAlign w:val="center"/>
          </w:tcPr>
          <w:p w14:paraId="35FCFB03" w14:textId="0FBD225F" w:rsidR="00A164F1" w:rsidRPr="0076591B" w:rsidRDefault="00A164F1"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 (0.00%)</w:t>
            </w:r>
          </w:p>
        </w:tc>
        <w:tc>
          <w:tcPr>
            <w:tcW w:w="1701" w:type="dxa"/>
            <w:shd w:val="clear" w:color="auto" w:fill="auto"/>
            <w:noWrap/>
            <w:vAlign w:val="center"/>
          </w:tcPr>
          <w:p w14:paraId="453676FC" w14:textId="1055A723" w:rsidR="00A164F1" w:rsidRPr="0076591B" w:rsidRDefault="00A164F1"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1.00</w:t>
            </w:r>
          </w:p>
        </w:tc>
        <w:tc>
          <w:tcPr>
            <w:tcW w:w="933" w:type="dxa"/>
            <w:tcBorders>
              <w:right w:val="single" w:sz="4" w:space="0" w:color="auto"/>
            </w:tcBorders>
            <w:shd w:val="clear" w:color="auto" w:fill="auto"/>
            <w:noWrap/>
            <w:vAlign w:val="center"/>
          </w:tcPr>
          <w:p w14:paraId="557F73AB" w14:textId="40F9AE46" w:rsidR="00A164F1" w:rsidRPr="0076591B" w:rsidRDefault="00A164F1"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&gt;0.99</w:t>
            </w:r>
          </w:p>
        </w:tc>
      </w:tr>
      <w:tr w:rsidR="00DF69F6" w:rsidRPr="00541D30" w14:paraId="46A3F167" w14:textId="77777777" w:rsidTr="006A7818">
        <w:trPr>
          <w:trHeight w:val="300"/>
          <w:jc w:val="center"/>
        </w:trPr>
        <w:tc>
          <w:tcPr>
            <w:tcW w:w="3402" w:type="dxa"/>
            <w:tcBorders>
              <w:left w:val="single" w:sz="4" w:space="0" w:color="auto"/>
            </w:tcBorders>
            <w:shd w:val="clear" w:color="auto" w:fill="auto"/>
            <w:noWrap/>
            <w:vAlign w:val="center"/>
            <w:hideMark/>
          </w:tcPr>
          <w:p w14:paraId="348CE9DE" w14:textId="27251B68" w:rsidR="00DF69F6" w:rsidRPr="0076591B" w:rsidRDefault="00DF69F6" w:rsidP="00DF69F6">
            <w:pPr>
              <w:spacing w:after="0" w:line="240" w:lineRule="auto"/>
              <w:rPr>
                <w:rFonts w:eastAsia="Times New Roman" w:cs="Calibri"/>
                <w:b/>
                <w:color w:val="000000"/>
                <w:lang w:eastAsia="fr-FR"/>
              </w:rPr>
            </w:pPr>
            <w:proofErr w:type="spellStart"/>
            <w:r w:rsidRPr="0076591B">
              <w:rPr>
                <w:rFonts w:eastAsia="Times New Roman" w:cs="Calibri"/>
                <w:b/>
                <w:color w:val="000000"/>
                <w:lang w:eastAsia="fr-FR"/>
              </w:rPr>
              <w:t>Bleeding</w:t>
            </w:r>
            <w:proofErr w:type="spellEnd"/>
            <w:r w:rsidRPr="0076591B">
              <w:rPr>
                <w:rFonts w:eastAsia="Times New Roman" w:cs="Calibri"/>
                <w:b/>
                <w:color w:val="000000"/>
                <w:lang w:eastAsia="fr-FR"/>
              </w:rPr>
              <w:t xml:space="preserve"> (N=</w:t>
            </w:r>
            <w:r>
              <w:rPr>
                <w:rFonts w:eastAsia="Times New Roman" w:cs="Calibri"/>
                <w:b/>
                <w:color w:val="000000"/>
                <w:lang w:eastAsia="fr-FR"/>
              </w:rPr>
              <w:t>1603</w:t>
            </w:r>
            <w:r w:rsidRPr="0076591B">
              <w:rPr>
                <w:rFonts w:eastAsia="Times New Roman" w:cs="Calibri"/>
                <w:b/>
                <w:color w:val="000000"/>
                <w:lang w:eastAsia="fr-FR"/>
              </w:rPr>
              <w:t xml:space="preserve">) </w:t>
            </w:r>
          </w:p>
        </w:tc>
        <w:tc>
          <w:tcPr>
            <w:tcW w:w="1701" w:type="dxa"/>
            <w:shd w:val="clear" w:color="auto" w:fill="auto"/>
            <w:noWrap/>
            <w:vAlign w:val="center"/>
          </w:tcPr>
          <w:p w14:paraId="1CF4B7A7" w14:textId="19C833DF"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12 (0.75%)</w:t>
            </w:r>
          </w:p>
        </w:tc>
        <w:tc>
          <w:tcPr>
            <w:tcW w:w="1701" w:type="dxa"/>
            <w:shd w:val="clear" w:color="auto" w:fill="auto"/>
            <w:noWrap/>
            <w:vAlign w:val="center"/>
          </w:tcPr>
          <w:p w14:paraId="73363883" w14:textId="307AB8F8"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11 (0.72%)</w:t>
            </w:r>
          </w:p>
        </w:tc>
        <w:tc>
          <w:tcPr>
            <w:tcW w:w="1701" w:type="dxa"/>
            <w:shd w:val="clear" w:color="auto" w:fill="auto"/>
            <w:noWrap/>
            <w:vAlign w:val="center"/>
          </w:tcPr>
          <w:p w14:paraId="0222F84C" w14:textId="6F16DC74"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(1.25%)</w:t>
            </w:r>
          </w:p>
        </w:tc>
        <w:tc>
          <w:tcPr>
            <w:tcW w:w="1701" w:type="dxa"/>
            <w:shd w:val="clear" w:color="auto" w:fill="auto"/>
            <w:noWrap/>
            <w:vAlign w:val="center"/>
          </w:tcPr>
          <w:p w14:paraId="129C3515" w14:textId="5B145097"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1.74 [0.22;13.65]</w:t>
            </w:r>
          </w:p>
        </w:tc>
        <w:tc>
          <w:tcPr>
            <w:tcW w:w="933" w:type="dxa"/>
            <w:tcBorders>
              <w:right w:val="single" w:sz="4" w:space="0" w:color="auto"/>
            </w:tcBorders>
            <w:shd w:val="clear" w:color="auto" w:fill="auto"/>
            <w:noWrap/>
            <w:vAlign w:val="center"/>
          </w:tcPr>
          <w:p w14:paraId="0DAD2653" w14:textId="6E88508E"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0.46</w:t>
            </w:r>
          </w:p>
        </w:tc>
      </w:tr>
      <w:tr w:rsidR="00DF69F6" w:rsidRPr="00541D30" w14:paraId="6AB60382" w14:textId="77777777" w:rsidTr="006A7818">
        <w:trPr>
          <w:trHeight w:val="300"/>
          <w:jc w:val="center"/>
        </w:trPr>
        <w:tc>
          <w:tcPr>
            <w:tcW w:w="3402" w:type="dxa"/>
            <w:tcBorders>
              <w:left w:val="single" w:sz="4" w:space="0" w:color="auto"/>
            </w:tcBorders>
            <w:shd w:val="clear" w:color="auto" w:fill="auto"/>
            <w:noWrap/>
            <w:vAlign w:val="center"/>
            <w:hideMark/>
          </w:tcPr>
          <w:p w14:paraId="6FD508DB" w14:textId="77777777" w:rsidR="00DF69F6" w:rsidRPr="009B65B1" w:rsidRDefault="00DF69F6" w:rsidP="00DF69F6">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Gastroduodenal</w:t>
            </w:r>
            <w:proofErr w:type="spellEnd"/>
            <w:r w:rsidRPr="009B65B1">
              <w:rPr>
                <w:rFonts w:eastAsia="Times New Roman" w:cs="Calibri"/>
                <w:bCs/>
                <w:color w:val="000000"/>
                <w:lang w:eastAsia="fr-FR"/>
              </w:rPr>
              <w:t xml:space="preserve"> </w:t>
            </w:r>
            <w:proofErr w:type="spellStart"/>
            <w:r w:rsidRPr="009B65B1">
              <w:rPr>
                <w:rFonts w:eastAsia="Times New Roman" w:cs="Calibri"/>
                <w:bCs/>
                <w:color w:val="000000"/>
                <w:lang w:eastAsia="fr-FR"/>
              </w:rPr>
              <w:t>bleeding</w:t>
            </w:r>
            <w:proofErr w:type="spellEnd"/>
            <w:r w:rsidRPr="009B65B1">
              <w:rPr>
                <w:rFonts w:eastAsia="Times New Roman" w:cs="Calibri"/>
                <w:bCs/>
                <w:color w:val="000000"/>
                <w:lang w:eastAsia="fr-FR"/>
              </w:rPr>
              <w:t xml:space="preserve"> (N=76)  </w:t>
            </w:r>
          </w:p>
        </w:tc>
        <w:tc>
          <w:tcPr>
            <w:tcW w:w="1701" w:type="dxa"/>
            <w:shd w:val="clear" w:color="auto" w:fill="auto"/>
            <w:noWrap/>
            <w:vAlign w:val="center"/>
          </w:tcPr>
          <w:p w14:paraId="5AC19D23" w14:textId="1FC2F9B6" w:rsidR="00DF69F6" w:rsidRPr="00541D30"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(8.33%)</w:t>
            </w:r>
          </w:p>
        </w:tc>
        <w:tc>
          <w:tcPr>
            <w:tcW w:w="1701" w:type="dxa"/>
            <w:shd w:val="clear" w:color="auto" w:fill="auto"/>
            <w:noWrap/>
            <w:vAlign w:val="center"/>
          </w:tcPr>
          <w:p w14:paraId="50B630FD" w14:textId="15F28EAA" w:rsidR="00DF69F6" w:rsidRPr="00541D30"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(9.09%)</w:t>
            </w:r>
          </w:p>
        </w:tc>
        <w:tc>
          <w:tcPr>
            <w:tcW w:w="1701" w:type="dxa"/>
            <w:shd w:val="clear" w:color="auto" w:fill="auto"/>
            <w:noWrap/>
            <w:vAlign w:val="center"/>
          </w:tcPr>
          <w:p w14:paraId="78823B9D" w14:textId="1557D78B" w:rsidR="00DF69F6" w:rsidRPr="00541D30"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 (0.00%)</w:t>
            </w:r>
          </w:p>
        </w:tc>
        <w:tc>
          <w:tcPr>
            <w:tcW w:w="1701" w:type="dxa"/>
            <w:shd w:val="clear" w:color="auto" w:fill="auto"/>
            <w:noWrap/>
            <w:vAlign w:val="center"/>
          </w:tcPr>
          <w:p w14:paraId="3735F0D8" w14:textId="5DC840ED" w:rsidR="00DF69F6" w:rsidRPr="00541D30"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1.00</w:t>
            </w:r>
          </w:p>
        </w:tc>
        <w:tc>
          <w:tcPr>
            <w:tcW w:w="933" w:type="dxa"/>
            <w:tcBorders>
              <w:right w:val="single" w:sz="4" w:space="0" w:color="auto"/>
            </w:tcBorders>
            <w:shd w:val="clear" w:color="auto" w:fill="auto"/>
            <w:noWrap/>
            <w:vAlign w:val="center"/>
          </w:tcPr>
          <w:p w14:paraId="2B655D38" w14:textId="666F9A0A" w:rsidR="00DF69F6" w:rsidRPr="00541D30"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&gt;0.99</w:t>
            </w:r>
          </w:p>
        </w:tc>
      </w:tr>
      <w:tr w:rsidR="00DF69F6" w:rsidRPr="003E7925" w14:paraId="07962C08" w14:textId="77777777" w:rsidTr="006A7818">
        <w:trPr>
          <w:trHeight w:val="300"/>
          <w:jc w:val="center"/>
        </w:trPr>
        <w:tc>
          <w:tcPr>
            <w:tcW w:w="3402" w:type="dxa"/>
            <w:tcBorders>
              <w:left w:val="single" w:sz="4" w:space="0" w:color="auto"/>
            </w:tcBorders>
            <w:shd w:val="clear" w:color="auto" w:fill="auto"/>
            <w:noWrap/>
            <w:vAlign w:val="center"/>
            <w:hideMark/>
          </w:tcPr>
          <w:p w14:paraId="63B18E15" w14:textId="77777777" w:rsidR="00DF69F6" w:rsidRPr="009B65B1" w:rsidRDefault="00DF69F6" w:rsidP="00DF69F6">
            <w:pPr>
              <w:pStyle w:val="Paragraphedeliste"/>
              <w:numPr>
                <w:ilvl w:val="0"/>
                <w:numId w:val="3"/>
              </w:numPr>
              <w:spacing w:after="0" w:line="240" w:lineRule="auto"/>
              <w:rPr>
                <w:rFonts w:eastAsia="Times New Roman" w:cs="Calibri"/>
                <w:bCs/>
                <w:color w:val="000000"/>
                <w:lang w:val="en-US" w:eastAsia="fr-FR"/>
              </w:rPr>
            </w:pPr>
            <w:r w:rsidRPr="009B65B1">
              <w:rPr>
                <w:rFonts w:eastAsia="Times New Roman" w:cs="Calibri"/>
                <w:bCs/>
                <w:color w:val="000000"/>
                <w:lang w:val="en-US" w:eastAsia="fr-FR"/>
              </w:rPr>
              <w:t xml:space="preserve">Lower digestive tract bleeding (N=76) </w:t>
            </w:r>
          </w:p>
        </w:tc>
        <w:tc>
          <w:tcPr>
            <w:tcW w:w="1701" w:type="dxa"/>
            <w:shd w:val="clear" w:color="auto" w:fill="auto"/>
            <w:noWrap/>
            <w:vAlign w:val="center"/>
          </w:tcPr>
          <w:p w14:paraId="2DA49F23" w14:textId="4175474C" w:rsidR="00DF69F6" w:rsidRPr="00DF69F6" w:rsidRDefault="00DF69F6"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1 (8.33%)</w:t>
            </w:r>
          </w:p>
        </w:tc>
        <w:tc>
          <w:tcPr>
            <w:tcW w:w="1701" w:type="dxa"/>
            <w:shd w:val="clear" w:color="auto" w:fill="auto"/>
            <w:noWrap/>
            <w:vAlign w:val="center"/>
          </w:tcPr>
          <w:p w14:paraId="1F79BD96" w14:textId="4B3CF784" w:rsidR="00DF69F6" w:rsidRPr="00DF69F6" w:rsidRDefault="00DF69F6"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1 (9.09%)</w:t>
            </w:r>
          </w:p>
        </w:tc>
        <w:tc>
          <w:tcPr>
            <w:tcW w:w="1701" w:type="dxa"/>
            <w:shd w:val="clear" w:color="auto" w:fill="auto"/>
            <w:noWrap/>
            <w:vAlign w:val="center"/>
          </w:tcPr>
          <w:p w14:paraId="1C6ADBFE" w14:textId="7CF052AC" w:rsidR="00DF69F6" w:rsidRPr="00DF69F6" w:rsidRDefault="00DF69F6" w:rsidP="006A7818">
            <w:pPr>
              <w:spacing w:after="0" w:line="240" w:lineRule="auto"/>
              <w:jc w:val="center"/>
              <w:rPr>
                <w:rFonts w:eastAsia="Times New Roman" w:cs="Calibri"/>
                <w:color w:val="000000"/>
                <w:lang w:val="en-US" w:eastAsia="fr-FR"/>
              </w:rPr>
            </w:pPr>
            <w:r w:rsidRPr="00E5552F">
              <w:rPr>
                <w:rFonts w:eastAsia="Times New Roman" w:cs="Calibri"/>
                <w:color w:val="000000"/>
                <w:lang w:eastAsia="fr-FR"/>
              </w:rPr>
              <w:t>0 (0.00%)</w:t>
            </w:r>
          </w:p>
        </w:tc>
        <w:tc>
          <w:tcPr>
            <w:tcW w:w="1701" w:type="dxa"/>
            <w:shd w:val="clear" w:color="auto" w:fill="auto"/>
            <w:noWrap/>
            <w:vAlign w:val="center"/>
          </w:tcPr>
          <w:p w14:paraId="4A86511A" w14:textId="5BA61217"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1.00</w:t>
            </w:r>
          </w:p>
        </w:tc>
        <w:tc>
          <w:tcPr>
            <w:tcW w:w="933" w:type="dxa"/>
            <w:tcBorders>
              <w:right w:val="single" w:sz="4" w:space="0" w:color="auto"/>
            </w:tcBorders>
            <w:shd w:val="clear" w:color="auto" w:fill="auto"/>
            <w:noWrap/>
            <w:vAlign w:val="center"/>
          </w:tcPr>
          <w:p w14:paraId="1DE22445" w14:textId="0D10EAE1"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&gt;0.99</w:t>
            </w:r>
          </w:p>
        </w:tc>
      </w:tr>
      <w:tr w:rsidR="00DF69F6" w:rsidRPr="00541D30" w14:paraId="1C333856" w14:textId="77777777" w:rsidTr="006A7818">
        <w:trPr>
          <w:trHeight w:val="300"/>
          <w:jc w:val="center"/>
        </w:trPr>
        <w:tc>
          <w:tcPr>
            <w:tcW w:w="3402" w:type="dxa"/>
            <w:tcBorders>
              <w:left w:val="single" w:sz="4" w:space="0" w:color="auto"/>
              <w:bottom w:val="single" w:sz="4" w:space="0" w:color="auto"/>
            </w:tcBorders>
            <w:shd w:val="clear" w:color="auto" w:fill="auto"/>
            <w:noWrap/>
            <w:vAlign w:val="center"/>
            <w:hideMark/>
          </w:tcPr>
          <w:p w14:paraId="2723F4E4" w14:textId="77777777" w:rsidR="00DF69F6" w:rsidRPr="00541D30" w:rsidRDefault="00DF69F6" w:rsidP="00DF69F6">
            <w:pPr>
              <w:spacing w:after="0" w:line="240" w:lineRule="auto"/>
              <w:rPr>
                <w:rFonts w:eastAsia="Times New Roman" w:cs="Calibri"/>
                <w:b/>
                <w:color w:val="000000"/>
                <w:lang w:eastAsia="fr-FR"/>
              </w:rPr>
            </w:pPr>
            <w:r>
              <w:rPr>
                <w:rFonts w:eastAsia="Times New Roman" w:cs="Calibri"/>
                <w:b/>
                <w:color w:val="000000"/>
                <w:lang w:eastAsia="fr-FR"/>
              </w:rPr>
              <w:t>Digestive p</w:t>
            </w:r>
            <w:r w:rsidRPr="00541D30">
              <w:rPr>
                <w:rFonts w:eastAsia="Times New Roman" w:cs="Calibri"/>
                <w:b/>
                <w:color w:val="000000"/>
                <w:lang w:eastAsia="fr-FR"/>
              </w:rPr>
              <w:t xml:space="preserve">erforation (N=76) </w:t>
            </w:r>
          </w:p>
        </w:tc>
        <w:tc>
          <w:tcPr>
            <w:tcW w:w="1701" w:type="dxa"/>
            <w:tcBorders>
              <w:bottom w:val="single" w:sz="4" w:space="0" w:color="auto"/>
            </w:tcBorders>
            <w:shd w:val="clear" w:color="auto" w:fill="auto"/>
            <w:noWrap/>
            <w:vAlign w:val="center"/>
          </w:tcPr>
          <w:p w14:paraId="29769B55" w14:textId="18B0D9B9"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(8.33%)</w:t>
            </w:r>
          </w:p>
        </w:tc>
        <w:tc>
          <w:tcPr>
            <w:tcW w:w="1701" w:type="dxa"/>
            <w:tcBorders>
              <w:bottom w:val="single" w:sz="4" w:space="0" w:color="auto"/>
            </w:tcBorders>
            <w:shd w:val="clear" w:color="auto" w:fill="auto"/>
            <w:noWrap/>
            <w:vAlign w:val="center"/>
          </w:tcPr>
          <w:p w14:paraId="4631D0D0" w14:textId="539D407C"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 (0.00%)</w:t>
            </w:r>
          </w:p>
        </w:tc>
        <w:tc>
          <w:tcPr>
            <w:tcW w:w="1701" w:type="dxa"/>
            <w:tcBorders>
              <w:bottom w:val="single" w:sz="4" w:space="0" w:color="auto"/>
            </w:tcBorders>
            <w:shd w:val="clear" w:color="auto" w:fill="auto"/>
            <w:noWrap/>
            <w:vAlign w:val="center"/>
          </w:tcPr>
          <w:p w14:paraId="0024999A" w14:textId="52BFAA51"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 (100.00%)</w:t>
            </w:r>
          </w:p>
        </w:tc>
        <w:tc>
          <w:tcPr>
            <w:tcW w:w="1701" w:type="dxa"/>
            <w:tcBorders>
              <w:bottom w:val="single" w:sz="4" w:space="0" w:color="auto"/>
            </w:tcBorders>
            <w:shd w:val="clear" w:color="auto" w:fill="auto"/>
            <w:noWrap/>
            <w:vAlign w:val="center"/>
          </w:tcPr>
          <w:p w14:paraId="17255ADA" w14:textId="0F110A26"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1.00</w:t>
            </w:r>
          </w:p>
        </w:tc>
        <w:tc>
          <w:tcPr>
            <w:tcW w:w="933" w:type="dxa"/>
            <w:tcBorders>
              <w:bottom w:val="single" w:sz="4" w:space="0" w:color="auto"/>
              <w:right w:val="single" w:sz="4" w:space="0" w:color="auto"/>
            </w:tcBorders>
            <w:shd w:val="clear" w:color="auto" w:fill="auto"/>
            <w:noWrap/>
            <w:vAlign w:val="center"/>
          </w:tcPr>
          <w:p w14:paraId="0F1B0FA0" w14:textId="1BBEFB4B" w:rsidR="00DF69F6" w:rsidRPr="0076591B" w:rsidRDefault="00DF69F6" w:rsidP="006A7818">
            <w:pPr>
              <w:spacing w:after="0" w:line="240" w:lineRule="auto"/>
              <w:jc w:val="center"/>
              <w:rPr>
                <w:rFonts w:eastAsia="Times New Roman" w:cs="Calibri"/>
                <w:color w:val="000000"/>
                <w:lang w:eastAsia="fr-FR"/>
              </w:rPr>
            </w:pPr>
            <w:r w:rsidRPr="00E5552F">
              <w:rPr>
                <w:rFonts w:eastAsia="Times New Roman" w:cs="Calibri"/>
                <w:color w:val="000000"/>
                <w:lang w:eastAsia="fr-FR"/>
              </w:rPr>
              <w:t>0.08</w:t>
            </w:r>
          </w:p>
        </w:tc>
      </w:tr>
      <w:tr w:rsidR="00DF69F6" w:rsidRPr="007212DC" w14:paraId="063CEC81" w14:textId="77777777" w:rsidTr="006A7818">
        <w:trPr>
          <w:trHeight w:val="300"/>
          <w:jc w:val="center"/>
        </w:trPr>
        <w:tc>
          <w:tcPr>
            <w:tcW w:w="3402" w:type="dxa"/>
            <w:tcBorders>
              <w:top w:val="single" w:sz="4" w:space="0" w:color="auto"/>
              <w:left w:val="single" w:sz="4" w:space="0" w:color="auto"/>
              <w:bottom w:val="single" w:sz="4" w:space="0" w:color="auto"/>
            </w:tcBorders>
            <w:shd w:val="clear" w:color="auto" w:fill="DEEAF6" w:themeFill="accent1" w:themeFillTint="33"/>
            <w:noWrap/>
            <w:vAlign w:val="center"/>
            <w:hideMark/>
          </w:tcPr>
          <w:p w14:paraId="1E512B99" w14:textId="075D777C" w:rsidR="00DF69F6" w:rsidRPr="007212DC" w:rsidRDefault="00DF69F6" w:rsidP="00DF69F6">
            <w:pPr>
              <w:spacing w:after="0" w:line="240" w:lineRule="auto"/>
              <w:rPr>
                <w:rFonts w:eastAsia="Times New Roman" w:cs="Calibri"/>
                <w:b/>
                <w:color w:val="000000"/>
                <w:sz w:val="24"/>
                <w:szCs w:val="24"/>
                <w:lang w:eastAsia="fr-FR"/>
              </w:rPr>
            </w:pPr>
            <w:r w:rsidRPr="007212DC">
              <w:rPr>
                <w:rFonts w:eastAsia="Times New Roman" w:cs="Calibri"/>
                <w:b/>
                <w:color w:val="000000"/>
                <w:sz w:val="24"/>
                <w:szCs w:val="24"/>
                <w:lang w:eastAsia="fr-FR"/>
              </w:rPr>
              <w:t>ICU group</w:t>
            </w:r>
          </w:p>
        </w:tc>
        <w:tc>
          <w:tcPr>
            <w:tcW w:w="1701" w:type="dxa"/>
            <w:tcBorders>
              <w:top w:val="single" w:sz="4" w:space="0" w:color="auto"/>
              <w:bottom w:val="single" w:sz="4" w:space="0" w:color="auto"/>
            </w:tcBorders>
            <w:shd w:val="clear" w:color="auto" w:fill="DEEAF6" w:themeFill="accent1" w:themeFillTint="33"/>
            <w:noWrap/>
            <w:vAlign w:val="center"/>
          </w:tcPr>
          <w:p w14:paraId="2B0245FB" w14:textId="77777777" w:rsidR="00DF69F6" w:rsidRPr="007212DC" w:rsidRDefault="00DF69F6" w:rsidP="006A7818">
            <w:pPr>
              <w:spacing w:after="0" w:line="240" w:lineRule="auto"/>
              <w:jc w:val="center"/>
              <w:rPr>
                <w:rFonts w:eastAsia="Times New Roman" w:cs="Calibri"/>
                <w:color w:val="000000"/>
                <w:sz w:val="24"/>
                <w:szCs w:val="24"/>
                <w:lang w:eastAsia="fr-FR"/>
              </w:rPr>
            </w:pPr>
          </w:p>
        </w:tc>
        <w:tc>
          <w:tcPr>
            <w:tcW w:w="1701" w:type="dxa"/>
            <w:tcBorders>
              <w:top w:val="single" w:sz="4" w:space="0" w:color="auto"/>
              <w:bottom w:val="single" w:sz="4" w:space="0" w:color="auto"/>
            </w:tcBorders>
            <w:shd w:val="clear" w:color="auto" w:fill="DEEAF6" w:themeFill="accent1" w:themeFillTint="33"/>
            <w:noWrap/>
            <w:vAlign w:val="center"/>
          </w:tcPr>
          <w:p w14:paraId="114366E8" w14:textId="77777777" w:rsidR="00DF69F6" w:rsidRPr="007212DC" w:rsidRDefault="00DF69F6" w:rsidP="006A7818">
            <w:pPr>
              <w:spacing w:after="0" w:line="240" w:lineRule="auto"/>
              <w:jc w:val="center"/>
              <w:rPr>
                <w:rFonts w:eastAsia="Times New Roman" w:cs="Calibri"/>
                <w:color w:val="000000"/>
                <w:sz w:val="24"/>
                <w:szCs w:val="24"/>
                <w:lang w:eastAsia="fr-FR"/>
              </w:rPr>
            </w:pPr>
          </w:p>
        </w:tc>
        <w:tc>
          <w:tcPr>
            <w:tcW w:w="1701" w:type="dxa"/>
            <w:tcBorders>
              <w:top w:val="single" w:sz="4" w:space="0" w:color="auto"/>
              <w:bottom w:val="single" w:sz="4" w:space="0" w:color="auto"/>
            </w:tcBorders>
            <w:shd w:val="clear" w:color="auto" w:fill="DEEAF6" w:themeFill="accent1" w:themeFillTint="33"/>
            <w:noWrap/>
            <w:vAlign w:val="center"/>
          </w:tcPr>
          <w:p w14:paraId="61CF9903" w14:textId="77777777" w:rsidR="00DF69F6" w:rsidRPr="007212DC" w:rsidRDefault="00DF69F6" w:rsidP="006A7818">
            <w:pPr>
              <w:spacing w:after="0" w:line="240" w:lineRule="auto"/>
              <w:jc w:val="center"/>
              <w:rPr>
                <w:rFonts w:eastAsia="Times New Roman" w:cs="Calibri"/>
                <w:color w:val="000000"/>
                <w:sz w:val="24"/>
                <w:szCs w:val="24"/>
                <w:lang w:eastAsia="fr-FR"/>
              </w:rPr>
            </w:pPr>
          </w:p>
        </w:tc>
        <w:tc>
          <w:tcPr>
            <w:tcW w:w="1701" w:type="dxa"/>
            <w:tcBorders>
              <w:top w:val="single" w:sz="4" w:space="0" w:color="auto"/>
              <w:bottom w:val="single" w:sz="4" w:space="0" w:color="auto"/>
            </w:tcBorders>
            <w:shd w:val="clear" w:color="auto" w:fill="DEEAF6" w:themeFill="accent1" w:themeFillTint="33"/>
            <w:noWrap/>
            <w:vAlign w:val="center"/>
          </w:tcPr>
          <w:p w14:paraId="742DF3E9" w14:textId="77777777" w:rsidR="00DF69F6" w:rsidRPr="007212DC" w:rsidRDefault="00DF69F6" w:rsidP="006A7818">
            <w:pPr>
              <w:spacing w:after="0" w:line="240" w:lineRule="auto"/>
              <w:jc w:val="center"/>
              <w:rPr>
                <w:rFonts w:eastAsia="Times New Roman" w:cs="Calibri"/>
                <w:color w:val="000000"/>
                <w:sz w:val="24"/>
                <w:szCs w:val="24"/>
                <w:lang w:eastAsia="fr-FR"/>
              </w:rPr>
            </w:pPr>
          </w:p>
        </w:tc>
        <w:tc>
          <w:tcPr>
            <w:tcW w:w="933" w:type="dxa"/>
            <w:tcBorders>
              <w:top w:val="single" w:sz="4" w:space="0" w:color="auto"/>
              <w:bottom w:val="single" w:sz="4" w:space="0" w:color="auto"/>
              <w:right w:val="single" w:sz="4" w:space="0" w:color="auto"/>
            </w:tcBorders>
            <w:shd w:val="clear" w:color="auto" w:fill="DEEAF6" w:themeFill="accent1" w:themeFillTint="33"/>
            <w:noWrap/>
            <w:vAlign w:val="center"/>
          </w:tcPr>
          <w:p w14:paraId="21F31A19" w14:textId="77777777" w:rsidR="00DF69F6" w:rsidRPr="007212DC" w:rsidRDefault="00DF69F6" w:rsidP="006A7818">
            <w:pPr>
              <w:spacing w:after="0" w:line="240" w:lineRule="auto"/>
              <w:jc w:val="center"/>
              <w:rPr>
                <w:rFonts w:eastAsia="Times New Roman" w:cs="Calibri"/>
                <w:color w:val="000000"/>
                <w:sz w:val="24"/>
                <w:szCs w:val="24"/>
                <w:lang w:eastAsia="fr-FR"/>
              </w:rPr>
            </w:pPr>
          </w:p>
        </w:tc>
      </w:tr>
      <w:tr w:rsidR="00DF69F6" w:rsidRPr="0076591B" w14:paraId="58BB11E0" w14:textId="77777777" w:rsidTr="006A7818">
        <w:trPr>
          <w:trHeight w:val="300"/>
          <w:jc w:val="center"/>
        </w:trPr>
        <w:tc>
          <w:tcPr>
            <w:tcW w:w="3402" w:type="dxa"/>
            <w:tcBorders>
              <w:top w:val="single" w:sz="4" w:space="0" w:color="auto"/>
              <w:left w:val="single" w:sz="4" w:space="0" w:color="auto"/>
              <w:bottom w:val="nil"/>
            </w:tcBorders>
            <w:shd w:val="clear" w:color="auto" w:fill="auto"/>
            <w:noWrap/>
            <w:vAlign w:val="center"/>
            <w:hideMark/>
          </w:tcPr>
          <w:p w14:paraId="6A49C5E9" w14:textId="77777777" w:rsidR="00DF69F6" w:rsidRPr="00541D30" w:rsidRDefault="00DF69F6" w:rsidP="00DF69F6">
            <w:pPr>
              <w:spacing w:after="0" w:line="240" w:lineRule="auto"/>
              <w:rPr>
                <w:rFonts w:eastAsia="Times New Roman" w:cs="Calibri"/>
                <w:b/>
                <w:color w:val="000000"/>
                <w:lang w:eastAsia="fr-FR"/>
              </w:rPr>
            </w:pPr>
            <w:proofErr w:type="spellStart"/>
            <w:r>
              <w:rPr>
                <w:rFonts w:eastAsia="Times New Roman" w:cs="Calibri"/>
                <w:b/>
                <w:color w:val="000000"/>
                <w:lang w:eastAsia="fr-FR"/>
              </w:rPr>
              <w:t>Any</w:t>
            </w:r>
            <w:proofErr w:type="spellEnd"/>
            <w:r>
              <w:rPr>
                <w:rFonts w:eastAsia="Times New Roman" w:cs="Calibri"/>
                <w:b/>
                <w:color w:val="000000"/>
                <w:lang w:eastAsia="fr-FR"/>
              </w:rPr>
              <w:t xml:space="preserve"> adverse </w:t>
            </w:r>
            <w:proofErr w:type="spellStart"/>
            <w:r>
              <w:rPr>
                <w:rFonts w:eastAsia="Times New Roman" w:cs="Calibri"/>
                <w:b/>
                <w:color w:val="000000"/>
                <w:lang w:eastAsia="fr-FR"/>
              </w:rPr>
              <w:t>event</w:t>
            </w:r>
            <w:proofErr w:type="spellEnd"/>
          </w:p>
        </w:tc>
        <w:tc>
          <w:tcPr>
            <w:tcW w:w="1701" w:type="dxa"/>
            <w:tcBorders>
              <w:top w:val="single" w:sz="4" w:space="0" w:color="auto"/>
              <w:bottom w:val="nil"/>
            </w:tcBorders>
            <w:shd w:val="clear" w:color="auto" w:fill="auto"/>
            <w:noWrap/>
            <w:vAlign w:val="center"/>
          </w:tcPr>
          <w:p w14:paraId="2B3A6C90" w14:textId="77777777" w:rsidR="00DF69F6" w:rsidRPr="0076591B" w:rsidRDefault="00DF69F6"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auto"/>
            <w:noWrap/>
            <w:vAlign w:val="center"/>
          </w:tcPr>
          <w:p w14:paraId="7B639FE2" w14:textId="77777777" w:rsidR="00DF69F6" w:rsidRPr="0076591B" w:rsidRDefault="00DF69F6"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auto"/>
            <w:noWrap/>
            <w:vAlign w:val="center"/>
          </w:tcPr>
          <w:p w14:paraId="37F99D8F" w14:textId="77777777" w:rsidR="00DF69F6" w:rsidRPr="0076591B" w:rsidRDefault="00DF69F6" w:rsidP="006A7818">
            <w:pPr>
              <w:spacing w:after="0" w:line="240" w:lineRule="auto"/>
              <w:jc w:val="center"/>
              <w:rPr>
                <w:rFonts w:eastAsia="Times New Roman" w:cs="Calibri"/>
                <w:color w:val="000000"/>
                <w:lang w:eastAsia="fr-FR"/>
              </w:rPr>
            </w:pPr>
          </w:p>
        </w:tc>
        <w:tc>
          <w:tcPr>
            <w:tcW w:w="1701" w:type="dxa"/>
            <w:tcBorders>
              <w:top w:val="single" w:sz="4" w:space="0" w:color="auto"/>
              <w:bottom w:val="nil"/>
            </w:tcBorders>
            <w:shd w:val="clear" w:color="auto" w:fill="auto"/>
            <w:noWrap/>
            <w:vAlign w:val="center"/>
          </w:tcPr>
          <w:p w14:paraId="7E1E458C" w14:textId="77777777" w:rsidR="00DF69F6" w:rsidRPr="0076591B" w:rsidRDefault="00DF69F6" w:rsidP="006A7818">
            <w:pPr>
              <w:spacing w:after="0" w:line="240" w:lineRule="auto"/>
              <w:jc w:val="center"/>
              <w:rPr>
                <w:rFonts w:eastAsia="Times New Roman" w:cs="Calibri"/>
                <w:color w:val="000000"/>
                <w:lang w:eastAsia="fr-FR"/>
              </w:rPr>
            </w:pPr>
          </w:p>
        </w:tc>
        <w:tc>
          <w:tcPr>
            <w:tcW w:w="933" w:type="dxa"/>
            <w:tcBorders>
              <w:top w:val="single" w:sz="4" w:space="0" w:color="auto"/>
              <w:bottom w:val="nil"/>
              <w:right w:val="single" w:sz="4" w:space="0" w:color="auto"/>
            </w:tcBorders>
            <w:shd w:val="clear" w:color="auto" w:fill="auto"/>
            <w:noWrap/>
            <w:vAlign w:val="center"/>
          </w:tcPr>
          <w:p w14:paraId="6A5EFA74" w14:textId="77777777" w:rsidR="00DF69F6" w:rsidRPr="0076591B" w:rsidRDefault="00DF69F6" w:rsidP="006A7818">
            <w:pPr>
              <w:spacing w:after="0" w:line="240" w:lineRule="auto"/>
              <w:jc w:val="center"/>
              <w:rPr>
                <w:rFonts w:eastAsia="Times New Roman" w:cs="Calibri"/>
                <w:color w:val="000000"/>
                <w:lang w:eastAsia="fr-FR"/>
              </w:rPr>
            </w:pPr>
          </w:p>
        </w:tc>
      </w:tr>
      <w:tr w:rsidR="00DF69F6" w:rsidRPr="0009503D" w14:paraId="4A47E7FF"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1BA9A122" w14:textId="77777777" w:rsidR="00DF69F6" w:rsidRPr="009D654D" w:rsidRDefault="00DF69F6" w:rsidP="00DF69F6">
            <w:pPr>
              <w:spacing w:after="0" w:line="240" w:lineRule="auto"/>
              <w:rPr>
                <w:rFonts w:eastAsia="Times New Roman" w:cs="Calibri"/>
                <w:b/>
                <w:color w:val="000000"/>
                <w:lang w:val="en-US" w:eastAsia="fr-FR"/>
              </w:rPr>
            </w:pPr>
            <w:r w:rsidRPr="009D654D">
              <w:rPr>
                <w:rFonts w:eastAsia="Times New Roman" w:cs="Calibri"/>
                <w:b/>
                <w:color w:val="000000"/>
                <w:lang w:val="en-US" w:eastAsia="fr-FR"/>
              </w:rPr>
              <w:t>Number of non-infectious adverse event (Median [Q1;Q3])</w:t>
            </w:r>
          </w:p>
        </w:tc>
        <w:tc>
          <w:tcPr>
            <w:tcW w:w="1701" w:type="dxa"/>
            <w:tcBorders>
              <w:top w:val="nil"/>
              <w:bottom w:val="nil"/>
            </w:tcBorders>
            <w:shd w:val="clear" w:color="auto" w:fill="auto"/>
            <w:noWrap/>
            <w:vAlign w:val="center"/>
          </w:tcPr>
          <w:p w14:paraId="55975843" w14:textId="77777777" w:rsidR="00DF69F6" w:rsidRPr="009D654D" w:rsidRDefault="00DF69F6" w:rsidP="006A7818">
            <w:pPr>
              <w:spacing w:after="0" w:line="240" w:lineRule="auto"/>
              <w:jc w:val="center"/>
              <w:rPr>
                <w:rFonts w:eastAsia="Times New Roman" w:cs="Calibri"/>
                <w:color w:val="000000"/>
                <w:lang w:val="en-US" w:eastAsia="fr-FR"/>
              </w:rPr>
            </w:pPr>
          </w:p>
        </w:tc>
        <w:tc>
          <w:tcPr>
            <w:tcW w:w="1701" w:type="dxa"/>
            <w:tcBorders>
              <w:top w:val="nil"/>
              <w:bottom w:val="nil"/>
            </w:tcBorders>
            <w:shd w:val="clear" w:color="auto" w:fill="auto"/>
            <w:noWrap/>
            <w:vAlign w:val="center"/>
          </w:tcPr>
          <w:p w14:paraId="2A21E40C" w14:textId="77777777" w:rsidR="00DF69F6" w:rsidRPr="009D654D" w:rsidRDefault="00DF69F6" w:rsidP="006A7818">
            <w:pPr>
              <w:spacing w:after="0" w:line="240" w:lineRule="auto"/>
              <w:jc w:val="center"/>
              <w:rPr>
                <w:rFonts w:eastAsia="Times New Roman" w:cs="Calibri"/>
                <w:color w:val="000000"/>
                <w:lang w:val="en-US" w:eastAsia="fr-FR"/>
              </w:rPr>
            </w:pPr>
          </w:p>
        </w:tc>
        <w:tc>
          <w:tcPr>
            <w:tcW w:w="1701" w:type="dxa"/>
            <w:tcBorders>
              <w:top w:val="nil"/>
              <w:bottom w:val="nil"/>
            </w:tcBorders>
            <w:shd w:val="clear" w:color="auto" w:fill="auto"/>
            <w:noWrap/>
            <w:vAlign w:val="center"/>
          </w:tcPr>
          <w:p w14:paraId="713674CD" w14:textId="77777777" w:rsidR="00DF69F6" w:rsidRPr="009D654D" w:rsidRDefault="00DF69F6" w:rsidP="006A7818">
            <w:pPr>
              <w:spacing w:after="0" w:line="240" w:lineRule="auto"/>
              <w:jc w:val="center"/>
              <w:rPr>
                <w:rFonts w:eastAsia="Times New Roman" w:cs="Calibri"/>
                <w:color w:val="000000"/>
                <w:lang w:val="en-US" w:eastAsia="fr-FR"/>
              </w:rPr>
            </w:pPr>
          </w:p>
        </w:tc>
        <w:tc>
          <w:tcPr>
            <w:tcW w:w="1701" w:type="dxa"/>
            <w:tcBorders>
              <w:top w:val="nil"/>
              <w:bottom w:val="nil"/>
            </w:tcBorders>
            <w:shd w:val="clear" w:color="auto" w:fill="auto"/>
            <w:noWrap/>
            <w:vAlign w:val="center"/>
          </w:tcPr>
          <w:p w14:paraId="512BD183" w14:textId="77777777" w:rsidR="00DF69F6" w:rsidRPr="009D654D" w:rsidRDefault="00DF69F6" w:rsidP="006A7818">
            <w:pPr>
              <w:spacing w:after="0" w:line="240" w:lineRule="auto"/>
              <w:jc w:val="center"/>
              <w:rPr>
                <w:rFonts w:eastAsia="Times New Roman" w:cs="Calibri"/>
                <w:color w:val="000000"/>
                <w:lang w:val="en-US" w:eastAsia="fr-FR"/>
              </w:rPr>
            </w:pPr>
          </w:p>
        </w:tc>
        <w:tc>
          <w:tcPr>
            <w:tcW w:w="933" w:type="dxa"/>
            <w:tcBorders>
              <w:top w:val="nil"/>
              <w:bottom w:val="nil"/>
              <w:right w:val="single" w:sz="4" w:space="0" w:color="auto"/>
            </w:tcBorders>
            <w:shd w:val="clear" w:color="auto" w:fill="auto"/>
            <w:noWrap/>
            <w:vAlign w:val="center"/>
          </w:tcPr>
          <w:p w14:paraId="19115DCB" w14:textId="77777777" w:rsidR="00DF69F6" w:rsidRPr="009D654D" w:rsidRDefault="00DF69F6" w:rsidP="006A7818">
            <w:pPr>
              <w:spacing w:after="0" w:line="240" w:lineRule="auto"/>
              <w:jc w:val="center"/>
              <w:rPr>
                <w:rFonts w:eastAsia="Times New Roman" w:cs="Calibri"/>
                <w:color w:val="000000"/>
                <w:lang w:val="en-US" w:eastAsia="fr-FR"/>
              </w:rPr>
            </w:pPr>
          </w:p>
        </w:tc>
      </w:tr>
      <w:tr w:rsidR="00DF69F6" w:rsidRPr="0076591B" w14:paraId="00DBF2C7"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439C04C4" w14:textId="77777777" w:rsidR="00DF69F6" w:rsidRPr="0076591B" w:rsidRDefault="00DF69F6" w:rsidP="00DF69F6">
            <w:pPr>
              <w:spacing w:after="0" w:line="240" w:lineRule="auto"/>
              <w:rPr>
                <w:rFonts w:eastAsia="Times New Roman" w:cs="Calibri"/>
                <w:b/>
                <w:color w:val="000000"/>
                <w:lang w:eastAsia="fr-FR"/>
              </w:rPr>
            </w:pPr>
            <w:proofErr w:type="spellStart"/>
            <w:r w:rsidRPr="0076591B">
              <w:rPr>
                <w:rFonts w:eastAsia="Times New Roman" w:cs="Calibri"/>
                <w:b/>
                <w:color w:val="000000"/>
                <w:lang w:eastAsia="fr-FR"/>
              </w:rPr>
              <w:t>Hematological</w:t>
            </w:r>
            <w:proofErr w:type="spellEnd"/>
            <w:r w:rsidRPr="0076591B">
              <w:rPr>
                <w:rFonts w:eastAsia="Times New Roman" w:cs="Calibri"/>
                <w:b/>
                <w:color w:val="000000"/>
                <w:lang w:eastAsia="fr-FR"/>
              </w:rPr>
              <w:t xml:space="preserve"> complication</w:t>
            </w:r>
          </w:p>
        </w:tc>
        <w:tc>
          <w:tcPr>
            <w:tcW w:w="1701" w:type="dxa"/>
            <w:tcBorders>
              <w:top w:val="nil"/>
              <w:bottom w:val="nil"/>
            </w:tcBorders>
            <w:shd w:val="clear" w:color="auto" w:fill="auto"/>
            <w:noWrap/>
            <w:vAlign w:val="center"/>
          </w:tcPr>
          <w:p w14:paraId="536FB8F4" w14:textId="0F16CFB6"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30 (3.05%)</w:t>
            </w:r>
          </w:p>
        </w:tc>
        <w:tc>
          <w:tcPr>
            <w:tcW w:w="1701" w:type="dxa"/>
            <w:tcBorders>
              <w:top w:val="nil"/>
              <w:bottom w:val="nil"/>
            </w:tcBorders>
            <w:shd w:val="clear" w:color="auto" w:fill="auto"/>
            <w:noWrap/>
            <w:vAlign w:val="center"/>
          </w:tcPr>
          <w:p w14:paraId="00175C1C" w14:textId="792B411F"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26 (2.98%)</w:t>
            </w:r>
          </w:p>
        </w:tc>
        <w:tc>
          <w:tcPr>
            <w:tcW w:w="1701" w:type="dxa"/>
            <w:tcBorders>
              <w:top w:val="nil"/>
              <w:bottom w:val="nil"/>
            </w:tcBorders>
            <w:shd w:val="clear" w:color="auto" w:fill="auto"/>
            <w:noWrap/>
            <w:vAlign w:val="center"/>
          </w:tcPr>
          <w:p w14:paraId="1B354E21" w14:textId="0B6E3175"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4 (3.57%)</w:t>
            </w:r>
          </w:p>
        </w:tc>
        <w:tc>
          <w:tcPr>
            <w:tcW w:w="1701" w:type="dxa"/>
            <w:tcBorders>
              <w:top w:val="nil"/>
              <w:bottom w:val="nil"/>
            </w:tcBorders>
            <w:shd w:val="clear" w:color="auto" w:fill="auto"/>
            <w:noWrap/>
            <w:vAlign w:val="center"/>
          </w:tcPr>
          <w:p w14:paraId="6703050E" w14:textId="1D6C1E43"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1.21 [0.41;3.52]</w:t>
            </w:r>
          </w:p>
        </w:tc>
        <w:tc>
          <w:tcPr>
            <w:tcW w:w="933" w:type="dxa"/>
            <w:tcBorders>
              <w:top w:val="nil"/>
              <w:bottom w:val="nil"/>
              <w:right w:val="single" w:sz="4" w:space="0" w:color="auto"/>
            </w:tcBorders>
            <w:shd w:val="clear" w:color="auto" w:fill="auto"/>
            <w:noWrap/>
            <w:vAlign w:val="center"/>
          </w:tcPr>
          <w:p w14:paraId="79E5D2FB" w14:textId="3FDCB910"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0.77</w:t>
            </w:r>
          </w:p>
        </w:tc>
      </w:tr>
      <w:tr w:rsidR="00DF69F6" w:rsidRPr="0076591B" w14:paraId="1C5C6D3D"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10FD7F0F" w14:textId="3AE56D87" w:rsidR="00DF69F6" w:rsidRPr="009B65B1" w:rsidRDefault="00DF69F6" w:rsidP="00DF69F6">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Thrombopenia</w:t>
            </w:r>
            <w:proofErr w:type="spellEnd"/>
            <w:r w:rsidRPr="009B65B1">
              <w:rPr>
                <w:rFonts w:eastAsia="Times New Roman" w:cs="Calibri"/>
                <w:bCs/>
                <w:color w:val="000000"/>
                <w:lang w:eastAsia="fr-FR"/>
              </w:rPr>
              <w:t xml:space="preserve"> (N=</w:t>
            </w:r>
            <w:r>
              <w:rPr>
                <w:rFonts w:eastAsia="Times New Roman" w:cs="Calibri"/>
                <w:bCs/>
                <w:color w:val="000000"/>
                <w:lang w:eastAsia="fr-FR"/>
              </w:rPr>
              <w:t>30</w:t>
            </w:r>
            <w:r w:rsidRPr="009B65B1">
              <w:rPr>
                <w:rFonts w:eastAsia="Times New Roman" w:cs="Calibri"/>
                <w:bCs/>
                <w:color w:val="000000"/>
                <w:lang w:eastAsia="fr-FR"/>
              </w:rPr>
              <w:t xml:space="preserve">) </w:t>
            </w:r>
          </w:p>
        </w:tc>
        <w:tc>
          <w:tcPr>
            <w:tcW w:w="1701" w:type="dxa"/>
            <w:tcBorders>
              <w:top w:val="nil"/>
              <w:bottom w:val="nil"/>
            </w:tcBorders>
            <w:shd w:val="clear" w:color="auto" w:fill="auto"/>
            <w:noWrap/>
            <w:vAlign w:val="center"/>
          </w:tcPr>
          <w:p w14:paraId="68000FDB" w14:textId="4A8646CF"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28 (93.33%)</w:t>
            </w:r>
          </w:p>
        </w:tc>
        <w:tc>
          <w:tcPr>
            <w:tcW w:w="1701" w:type="dxa"/>
            <w:tcBorders>
              <w:top w:val="nil"/>
              <w:bottom w:val="nil"/>
            </w:tcBorders>
            <w:shd w:val="clear" w:color="auto" w:fill="auto"/>
            <w:noWrap/>
            <w:vAlign w:val="center"/>
          </w:tcPr>
          <w:p w14:paraId="656D2CBF" w14:textId="1C573F07"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24 (92.31%)</w:t>
            </w:r>
          </w:p>
        </w:tc>
        <w:tc>
          <w:tcPr>
            <w:tcW w:w="1701" w:type="dxa"/>
            <w:tcBorders>
              <w:top w:val="nil"/>
              <w:bottom w:val="nil"/>
            </w:tcBorders>
            <w:shd w:val="clear" w:color="auto" w:fill="auto"/>
            <w:noWrap/>
            <w:vAlign w:val="center"/>
          </w:tcPr>
          <w:p w14:paraId="285A7800" w14:textId="5A19C27D"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4 (100.00%)</w:t>
            </w:r>
          </w:p>
        </w:tc>
        <w:tc>
          <w:tcPr>
            <w:tcW w:w="1701" w:type="dxa"/>
            <w:tcBorders>
              <w:top w:val="nil"/>
              <w:bottom w:val="nil"/>
            </w:tcBorders>
            <w:shd w:val="clear" w:color="auto" w:fill="auto"/>
            <w:noWrap/>
            <w:vAlign w:val="center"/>
          </w:tcPr>
          <w:p w14:paraId="31BA5EF5" w14:textId="58673DBE"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1.00</w:t>
            </w:r>
          </w:p>
        </w:tc>
        <w:tc>
          <w:tcPr>
            <w:tcW w:w="933" w:type="dxa"/>
            <w:tcBorders>
              <w:top w:val="nil"/>
              <w:bottom w:val="nil"/>
              <w:right w:val="single" w:sz="4" w:space="0" w:color="auto"/>
            </w:tcBorders>
            <w:shd w:val="clear" w:color="auto" w:fill="auto"/>
            <w:noWrap/>
            <w:vAlign w:val="center"/>
          </w:tcPr>
          <w:p w14:paraId="55D9B75E" w14:textId="0BB89292"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&gt;0.99</w:t>
            </w:r>
          </w:p>
        </w:tc>
      </w:tr>
      <w:tr w:rsidR="00DF69F6" w:rsidRPr="009D654D" w14:paraId="01DF4AEF"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20D779B4" w14:textId="4F5F6473" w:rsidR="00DF69F6" w:rsidRPr="009B65B1" w:rsidRDefault="00DF69F6" w:rsidP="00DF69F6">
            <w:pPr>
              <w:pStyle w:val="Paragraphedeliste"/>
              <w:numPr>
                <w:ilvl w:val="0"/>
                <w:numId w:val="3"/>
              </w:numPr>
              <w:spacing w:after="0" w:line="240" w:lineRule="auto"/>
              <w:rPr>
                <w:rFonts w:eastAsia="Times New Roman" w:cs="Calibri"/>
                <w:bCs/>
                <w:color w:val="000000"/>
                <w:lang w:val="en-US" w:eastAsia="fr-FR"/>
              </w:rPr>
            </w:pPr>
            <w:r w:rsidRPr="009B65B1">
              <w:rPr>
                <w:rFonts w:eastAsia="Times New Roman" w:cs="Calibri"/>
                <w:bCs/>
                <w:color w:val="000000"/>
                <w:lang w:val="en-US" w:eastAsia="fr-FR"/>
              </w:rPr>
              <w:lastRenderedPageBreak/>
              <w:t xml:space="preserve">Length of </w:t>
            </w:r>
            <w:proofErr w:type="spellStart"/>
            <w:r w:rsidRPr="009B65B1">
              <w:rPr>
                <w:rFonts w:eastAsia="Times New Roman" w:cs="Calibri"/>
                <w:bCs/>
                <w:color w:val="000000"/>
                <w:lang w:val="en-US" w:eastAsia="fr-FR"/>
              </w:rPr>
              <w:t>thrombopenia</w:t>
            </w:r>
            <w:proofErr w:type="spellEnd"/>
            <w:r w:rsidRPr="009B65B1">
              <w:rPr>
                <w:rFonts w:eastAsia="Times New Roman" w:cs="Calibri"/>
                <w:bCs/>
                <w:color w:val="000000"/>
                <w:lang w:val="en-US" w:eastAsia="fr-FR"/>
              </w:rPr>
              <w:t xml:space="preserve"> (days) (N=</w:t>
            </w:r>
            <w:r>
              <w:rPr>
                <w:rFonts w:eastAsia="Times New Roman" w:cs="Calibri"/>
                <w:bCs/>
                <w:color w:val="000000"/>
                <w:lang w:val="en-US" w:eastAsia="fr-FR"/>
              </w:rPr>
              <w:t>2</w:t>
            </w:r>
            <w:r w:rsidRPr="009B65B1">
              <w:rPr>
                <w:rFonts w:eastAsia="Times New Roman" w:cs="Calibri"/>
                <w:bCs/>
                <w:color w:val="000000"/>
                <w:lang w:val="en-US" w:eastAsia="fr-FR"/>
              </w:rPr>
              <w:t>7) Median [Q1;Q3]</w:t>
            </w:r>
          </w:p>
        </w:tc>
        <w:tc>
          <w:tcPr>
            <w:tcW w:w="1701" w:type="dxa"/>
            <w:tcBorders>
              <w:top w:val="nil"/>
              <w:bottom w:val="nil"/>
            </w:tcBorders>
            <w:shd w:val="clear" w:color="auto" w:fill="auto"/>
            <w:noWrap/>
            <w:vAlign w:val="center"/>
          </w:tcPr>
          <w:p w14:paraId="0564BF3E" w14:textId="5D16AF5B"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5.00 [3.00;10.50]</w:t>
            </w:r>
          </w:p>
        </w:tc>
        <w:tc>
          <w:tcPr>
            <w:tcW w:w="1701" w:type="dxa"/>
            <w:tcBorders>
              <w:top w:val="nil"/>
              <w:bottom w:val="nil"/>
            </w:tcBorders>
            <w:shd w:val="clear" w:color="auto" w:fill="auto"/>
            <w:noWrap/>
            <w:vAlign w:val="center"/>
          </w:tcPr>
          <w:p w14:paraId="050960A1" w14:textId="4A520CAD"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5.00 [2.50;10.50]</w:t>
            </w:r>
          </w:p>
        </w:tc>
        <w:tc>
          <w:tcPr>
            <w:tcW w:w="1701" w:type="dxa"/>
            <w:tcBorders>
              <w:top w:val="nil"/>
              <w:bottom w:val="nil"/>
            </w:tcBorders>
            <w:shd w:val="clear" w:color="auto" w:fill="auto"/>
            <w:noWrap/>
            <w:vAlign w:val="center"/>
          </w:tcPr>
          <w:p w14:paraId="53CCAF51" w14:textId="48BD21CA"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10.00 [9.00;11.00]</w:t>
            </w:r>
          </w:p>
        </w:tc>
        <w:tc>
          <w:tcPr>
            <w:tcW w:w="1701" w:type="dxa"/>
            <w:tcBorders>
              <w:top w:val="nil"/>
              <w:bottom w:val="nil"/>
            </w:tcBorders>
            <w:shd w:val="clear" w:color="auto" w:fill="auto"/>
            <w:noWrap/>
            <w:vAlign w:val="center"/>
          </w:tcPr>
          <w:p w14:paraId="6E6EA46B" w14:textId="77777777" w:rsidR="00DF69F6" w:rsidRPr="009D654D" w:rsidRDefault="00DF69F6" w:rsidP="006A7818">
            <w:pPr>
              <w:spacing w:after="0" w:line="240" w:lineRule="auto"/>
              <w:jc w:val="center"/>
              <w:rPr>
                <w:rFonts w:eastAsia="Times New Roman" w:cs="Calibri"/>
                <w:color w:val="000000"/>
                <w:lang w:val="en-US" w:eastAsia="fr-FR"/>
              </w:rPr>
            </w:pPr>
          </w:p>
        </w:tc>
        <w:tc>
          <w:tcPr>
            <w:tcW w:w="933" w:type="dxa"/>
            <w:tcBorders>
              <w:top w:val="nil"/>
              <w:bottom w:val="nil"/>
              <w:right w:val="single" w:sz="4" w:space="0" w:color="auto"/>
            </w:tcBorders>
            <w:shd w:val="clear" w:color="auto" w:fill="auto"/>
            <w:noWrap/>
            <w:vAlign w:val="center"/>
          </w:tcPr>
          <w:p w14:paraId="25A68F97" w14:textId="1AC60D2A"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0.18</w:t>
            </w:r>
          </w:p>
        </w:tc>
      </w:tr>
      <w:tr w:rsidR="00DF69F6" w:rsidRPr="00541D30" w14:paraId="3596F4F8"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6E4A5357" w14:textId="1E69F941" w:rsidR="00DF69F6" w:rsidRPr="009B65B1" w:rsidRDefault="00DF69F6" w:rsidP="00DF69F6">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Neutropenia</w:t>
            </w:r>
            <w:proofErr w:type="spellEnd"/>
            <w:r w:rsidRPr="009B65B1">
              <w:rPr>
                <w:rFonts w:eastAsia="Times New Roman" w:cs="Calibri"/>
                <w:bCs/>
                <w:color w:val="000000"/>
                <w:lang w:eastAsia="fr-FR"/>
              </w:rPr>
              <w:t>(N=</w:t>
            </w:r>
            <w:r>
              <w:rPr>
                <w:rFonts w:eastAsia="Times New Roman" w:cs="Calibri"/>
                <w:bCs/>
                <w:color w:val="000000"/>
                <w:lang w:eastAsia="fr-FR"/>
              </w:rPr>
              <w:t>30</w:t>
            </w:r>
            <w:r w:rsidRPr="009B65B1">
              <w:rPr>
                <w:rFonts w:eastAsia="Times New Roman" w:cs="Calibri"/>
                <w:bCs/>
                <w:color w:val="000000"/>
                <w:lang w:eastAsia="fr-FR"/>
              </w:rPr>
              <w:t>)</w:t>
            </w:r>
          </w:p>
        </w:tc>
        <w:tc>
          <w:tcPr>
            <w:tcW w:w="1701" w:type="dxa"/>
            <w:tcBorders>
              <w:top w:val="nil"/>
              <w:bottom w:val="nil"/>
            </w:tcBorders>
            <w:shd w:val="clear" w:color="auto" w:fill="auto"/>
            <w:noWrap/>
            <w:vAlign w:val="center"/>
          </w:tcPr>
          <w:p w14:paraId="346C2A5E" w14:textId="6B017E9E"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3 (10.00%)</w:t>
            </w:r>
          </w:p>
        </w:tc>
        <w:tc>
          <w:tcPr>
            <w:tcW w:w="1701" w:type="dxa"/>
            <w:tcBorders>
              <w:top w:val="nil"/>
              <w:bottom w:val="nil"/>
            </w:tcBorders>
            <w:shd w:val="clear" w:color="auto" w:fill="auto"/>
            <w:noWrap/>
            <w:vAlign w:val="center"/>
          </w:tcPr>
          <w:p w14:paraId="34A228FF" w14:textId="33635B2D"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3 (11.54%)</w:t>
            </w:r>
          </w:p>
        </w:tc>
        <w:tc>
          <w:tcPr>
            <w:tcW w:w="1701" w:type="dxa"/>
            <w:tcBorders>
              <w:top w:val="nil"/>
              <w:bottom w:val="nil"/>
            </w:tcBorders>
            <w:shd w:val="clear" w:color="auto" w:fill="auto"/>
            <w:noWrap/>
            <w:vAlign w:val="center"/>
          </w:tcPr>
          <w:p w14:paraId="4C0B981A" w14:textId="05AD96DB"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 (0.00%)</w:t>
            </w:r>
          </w:p>
        </w:tc>
        <w:tc>
          <w:tcPr>
            <w:tcW w:w="1701" w:type="dxa"/>
            <w:tcBorders>
              <w:top w:val="nil"/>
              <w:bottom w:val="nil"/>
            </w:tcBorders>
            <w:shd w:val="clear" w:color="auto" w:fill="auto"/>
            <w:noWrap/>
            <w:vAlign w:val="center"/>
          </w:tcPr>
          <w:p w14:paraId="73D6F2A3" w14:textId="0B06267B"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1.00</w:t>
            </w:r>
          </w:p>
        </w:tc>
        <w:tc>
          <w:tcPr>
            <w:tcW w:w="933" w:type="dxa"/>
            <w:tcBorders>
              <w:top w:val="nil"/>
              <w:bottom w:val="nil"/>
              <w:right w:val="single" w:sz="4" w:space="0" w:color="auto"/>
            </w:tcBorders>
            <w:shd w:val="clear" w:color="auto" w:fill="auto"/>
            <w:noWrap/>
            <w:vAlign w:val="center"/>
          </w:tcPr>
          <w:p w14:paraId="18274536" w14:textId="05FEF6D5"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&gt;0.99</w:t>
            </w:r>
          </w:p>
        </w:tc>
      </w:tr>
      <w:tr w:rsidR="00DF69F6" w:rsidRPr="0076591B" w14:paraId="137D0D6B"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7B40AB73" w14:textId="1FB57E4B" w:rsidR="00DF69F6" w:rsidRPr="009B65B1" w:rsidRDefault="00DF69F6" w:rsidP="00DF69F6">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Severe</w:t>
            </w:r>
            <w:proofErr w:type="spellEnd"/>
            <w:r w:rsidRPr="009B65B1">
              <w:rPr>
                <w:rFonts w:eastAsia="Times New Roman" w:cs="Calibri"/>
                <w:bCs/>
                <w:color w:val="000000"/>
                <w:lang w:eastAsia="fr-FR"/>
              </w:rPr>
              <w:t xml:space="preserve"> </w:t>
            </w:r>
            <w:proofErr w:type="spellStart"/>
            <w:r w:rsidRPr="009B65B1">
              <w:rPr>
                <w:rFonts w:eastAsia="Times New Roman" w:cs="Calibri"/>
                <w:bCs/>
                <w:color w:val="000000"/>
                <w:lang w:eastAsia="fr-FR"/>
              </w:rPr>
              <w:t>neutropenia</w:t>
            </w:r>
            <w:proofErr w:type="spellEnd"/>
            <w:r w:rsidRPr="009B65B1">
              <w:rPr>
                <w:rFonts w:eastAsia="Times New Roman" w:cs="Calibri"/>
                <w:bCs/>
                <w:color w:val="000000"/>
                <w:lang w:eastAsia="fr-FR"/>
              </w:rPr>
              <w:t xml:space="preserve"> (N=</w:t>
            </w:r>
            <w:r>
              <w:rPr>
                <w:rFonts w:eastAsia="Times New Roman" w:cs="Calibri"/>
                <w:bCs/>
                <w:color w:val="000000"/>
                <w:lang w:eastAsia="fr-FR"/>
              </w:rPr>
              <w:t>29</w:t>
            </w:r>
            <w:r w:rsidRPr="009B65B1">
              <w:rPr>
                <w:rFonts w:eastAsia="Times New Roman" w:cs="Calibri"/>
                <w:bCs/>
                <w:color w:val="000000"/>
                <w:lang w:eastAsia="fr-FR"/>
              </w:rPr>
              <w:t xml:space="preserve">) </w:t>
            </w:r>
          </w:p>
        </w:tc>
        <w:tc>
          <w:tcPr>
            <w:tcW w:w="1701" w:type="dxa"/>
            <w:tcBorders>
              <w:top w:val="nil"/>
              <w:bottom w:val="nil"/>
            </w:tcBorders>
            <w:shd w:val="clear" w:color="auto" w:fill="auto"/>
            <w:noWrap/>
            <w:vAlign w:val="center"/>
          </w:tcPr>
          <w:p w14:paraId="7AFE676A" w14:textId="75AD8983"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 (6.90%)</w:t>
            </w:r>
          </w:p>
        </w:tc>
        <w:tc>
          <w:tcPr>
            <w:tcW w:w="1701" w:type="dxa"/>
            <w:tcBorders>
              <w:top w:val="nil"/>
              <w:bottom w:val="nil"/>
            </w:tcBorders>
            <w:shd w:val="clear" w:color="auto" w:fill="auto"/>
            <w:noWrap/>
            <w:vAlign w:val="center"/>
          </w:tcPr>
          <w:p w14:paraId="0CD24B77" w14:textId="1D816765"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 (8.00%)</w:t>
            </w:r>
          </w:p>
        </w:tc>
        <w:tc>
          <w:tcPr>
            <w:tcW w:w="1701" w:type="dxa"/>
            <w:tcBorders>
              <w:top w:val="nil"/>
              <w:bottom w:val="nil"/>
            </w:tcBorders>
            <w:shd w:val="clear" w:color="auto" w:fill="auto"/>
            <w:noWrap/>
            <w:vAlign w:val="center"/>
          </w:tcPr>
          <w:p w14:paraId="7AA5D4BE" w14:textId="08684A76"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 (0.00%)</w:t>
            </w:r>
          </w:p>
        </w:tc>
        <w:tc>
          <w:tcPr>
            <w:tcW w:w="1701" w:type="dxa"/>
            <w:tcBorders>
              <w:top w:val="nil"/>
              <w:bottom w:val="nil"/>
            </w:tcBorders>
            <w:shd w:val="clear" w:color="auto" w:fill="auto"/>
            <w:noWrap/>
            <w:vAlign w:val="center"/>
          </w:tcPr>
          <w:p w14:paraId="46DF65EC" w14:textId="223BAD55"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1.00</w:t>
            </w:r>
          </w:p>
        </w:tc>
        <w:tc>
          <w:tcPr>
            <w:tcW w:w="933" w:type="dxa"/>
            <w:tcBorders>
              <w:top w:val="nil"/>
              <w:bottom w:val="nil"/>
              <w:right w:val="single" w:sz="4" w:space="0" w:color="auto"/>
            </w:tcBorders>
            <w:shd w:val="clear" w:color="auto" w:fill="auto"/>
            <w:noWrap/>
            <w:vAlign w:val="center"/>
          </w:tcPr>
          <w:p w14:paraId="0355F3F7" w14:textId="66754A7A"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&gt;0.99</w:t>
            </w:r>
          </w:p>
        </w:tc>
      </w:tr>
      <w:tr w:rsidR="00DF69F6" w:rsidRPr="0076591B" w14:paraId="22946204"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3F788EAC" w14:textId="357F3995" w:rsidR="00DF69F6" w:rsidRPr="0076591B" w:rsidRDefault="00DF69F6" w:rsidP="00DF69F6">
            <w:pPr>
              <w:spacing w:after="0" w:line="240" w:lineRule="auto"/>
              <w:rPr>
                <w:rFonts w:eastAsia="Times New Roman" w:cs="Calibri"/>
                <w:b/>
                <w:color w:val="000000"/>
                <w:lang w:eastAsia="fr-FR"/>
              </w:rPr>
            </w:pPr>
            <w:proofErr w:type="spellStart"/>
            <w:r w:rsidRPr="0076591B">
              <w:rPr>
                <w:rFonts w:eastAsia="Times New Roman" w:cs="Calibri"/>
                <w:b/>
                <w:color w:val="000000"/>
                <w:lang w:eastAsia="fr-FR"/>
              </w:rPr>
              <w:t>Bleeding</w:t>
            </w:r>
            <w:proofErr w:type="spellEnd"/>
            <w:r w:rsidRPr="0076591B">
              <w:rPr>
                <w:rFonts w:eastAsia="Times New Roman" w:cs="Calibri"/>
                <w:b/>
                <w:color w:val="000000"/>
                <w:lang w:eastAsia="fr-FR"/>
              </w:rPr>
              <w:t xml:space="preserve"> (N=</w:t>
            </w:r>
            <w:r>
              <w:rPr>
                <w:rFonts w:eastAsia="Times New Roman" w:cs="Calibri"/>
                <w:b/>
                <w:color w:val="000000"/>
                <w:lang w:eastAsia="fr-FR"/>
              </w:rPr>
              <w:t>983</w:t>
            </w:r>
            <w:r w:rsidRPr="0076591B">
              <w:rPr>
                <w:rFonts w:eastAsia="Times New Roman" w:cs="Calibri"/>
                <w:b/>
                <w:color w:val="000000"/>
                <w:lang w:eastAsia="fr-FR"/>
              </w:rPr>
              <w:t xml:space="preserve">) </w:t>
            </w:r>
          </w:p>
        </w:tc>
        <w:tc>
          <w:tcPr>
            <w:tcW w:w="1701" w:type="dxa"/>
            <w:tcBorders>
              <w:top w:val="nil"/>
              <w:bottom w:val="nil"/>
            </w:tcBorders>
            <w:shd w:val="clear" w:color="auto" w:fill="auto"/>
            <w:noWrap/>
            <w:vAlign w:val="center"/>
          </w:tcPr>
          <w:p w14:paraId="0F063D4C" w14:textId="2234B44E"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64 (6.51%)</w:t>
            </w:r>
          </w:p>
        </w:tc>
        <w:tc>
          <w:tcPr>
            <w:tcW w:w="1701" w:type="dxa"/>
            <w:tcBorders>
              <w:top w:val="nil"/>
              <w:bottom w:val="nil"/>
            </w:tcBorders>
            <w:shd w:val="clear" w:color="auto" w:fill="auto"/>
            <w:noWrap/>
            <w:vAlign w:val="center"/>
          </w:tcPr>
          <w:p w14:paraId="7D6A33CB" w14:textId="5AF5D30D"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62 (7.11%)</w:t>
            </w:r>
          </w:p>
        </w:tc>
        <w:tc>
          <w:tcPr>
            <w:tcW w:w="1701" w:type="dxa"/>
            <w:tcBorders>
              <w:top w:val="nil"/>
              <w:bottom w:val="nil"/>
            </w:tcBorders>
            <w:shd w:val="clear" w:color="auto" w:fill="auto"/>
            <w:noWrap/>
            <w:vAlign w:val="center"/>
          </w:tcPr>
          <w:p w14:paraId="6E51F2DF" w14:textId="23AE74D6"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 (1.80%)</w:t>
            </w:r>
          </w:p>
        </w:tc>
        <w:tc>
          <w:tcPr>
            <w:tcW w:w="1701" w:type="dxa"/>
            <w:tcBorders>
              <w:top w:val="nil"/>
              <w:bottom w:val="nil"/>
            </w:tcBorders>
            <w:shd w:val="clear" w:color="auto" w:fill="auto"/>
            <w:noWrap/>
            <w:vAlign w:val="center"/>
          </w:tcPr>
          <w:p w14:paraId="58DF4614" w14:textId="76C50AC8"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0.24 [0.06;0.99]</w:t>
            </w:r>
          </w:p>
        </w:tc>
        <w:tc>
          <w:tcPr>
            <w:tcW w:w="933" w:type="dxa"/>
            <w:tcBorders>
              <w:top w:val="nil"/>
              <w:bottom w:val="nil"/>
              <w:right w:val="single" w:sz="4" w:space="0" w:color="auto"/>
            </w:tcBorders>
            <w:shd w:val="clear" w:color="auto" w:fill="auto"/>
            <w:noWrap/>
            <w:vAlign w:val="center"/>
          </w:tcPr>
          <w:p w14:paraId="08904ADB" w14:textId="0A9F50DD"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0.0328</w:t>
            </w:r>
          </w:p>
        </w:tc>
      </w:tr>
      <w:tr w:rsidR="00DF69F6" w:rsidRPr="00541D30" w14:paraId="6F108ACB"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6D2004A1" w14:textId="7AB4C21C" w:rsidR="00DF69F6" w:rsidRPr="009B65B1" w:rsidRDefault="00DF69F6" w:rsidP="00DF69F6">
            <w:pPr>
              <w:pStyle w:val="Paragraphedeliste"/>
              <w:numPr>
                <w:ilvl w:val="0"/>
                <w:numId w:val="3"/>
              </w:numPr>
              <w:spacing w:after="0" w:line="240" w:lineRule="auto"/>
              <w:rPr>
                <w:rFonts w:eastAsia="Times New Roman" w:cs="Calibri"/>
                <w:bCs/>
                <w:color w:val="000000"/>
                <w:lang w:eastAsia="fr-FR"/>
              </w:rPr>
            </w:pPr>
            <w:proofErr w:type="spellStart"/>
            <w:r w:rsidRPr="009B65B1">
              <w:rPr>
                <w:rFonts w:eastAsia="Times New Roman" w:cs="Calibri"/>
                <w:bCs/>
                <w:color w:val="000000"/>
                <w:lang w:eastAsia="fr-FR"/>
              </w:rPr>
              <w:t>Gastroduodenal</w:t>
            </w:r>
            <w:proofErr w:type="spellEnd"/>
            <w:r w:rsidRPr="009B65B1">
              <w:rPr>
                <w:rFonts w:eastAsia="Times New Roman" w:cs="Calibri"/>
                <w:bCs/>
                <w:color w:val="000000"/>
                <w:lang w:eastAsia="fr-FR"/>
              </w:rPr>
              <w:t xml:space="preserve"> </w:t>
            </w:r>
            <w:proofErr w:type="spellStart"/>
            <w:r w:rsidRPr="009B65B1">
              <w:rPr>
                <w:rFonts w:eastAsia="Times New Roman" w:cs="Calibri"/>
                <w:bCs/>
                <w:color w:val="000000"/>
                <w:lang w:eastAsia="fr-FR"/>
              </w:rPr>
              <w:t>bleeding</w:t>
            </w:r>
            <w:proofErr w:type="spellEnd"/>
            <w:r w:rsidRPr="009B65B1">
              <w:rPr>
                <w:rFonts w:eastAsia="Times New Roman" w:cs="Calibri"/>
                <w:bCs/>
                <w:color w:val="000000"/>
                <w:lang w:eastAsia="fr-FR"/>
              </w:rPr>
              <w:t xml:space="preserve"> (N=</w:t>
            </w:r>
            <w:r>
              <w:rPr>
                <w:rFonts w:eastAsia="Times New Roman" w:cs="Calibri"/>
                <w:bCs/>
                <w:color w:val="000000"/>
                <w:lang w:eastAsia="fr-FR"/>
              </w:rPr>
              <w:t>64</w:t>
            </w:r>
            <w:r w:rsidRPr="009B65B1">
              <w:rPr>
                <w:rFonts w:eastAsia="Times New Roman" w:cs="Calibri"/>
                <w:bCs/>
                <w:color w:val="000000"/>
                <w:lang w:eastAsia="fr-FR"/>
              </w:rPr>
              <w:t xml:space="preserve">)  </w:t>
            </w:r>
          </w:p>
        </w:tc>
        <w:tc>
          <w:tcPr>
            <w:tcW w:w="1701" w:type="dxa"/>
            <w:tcBorders>
              <w:top w:val="nil"/>
              <w:bottom w:val="nil"/>
            </w:tcBorders>
            <w:shd w:val="clear" w:color="auto" w:fill="auto"/>
            <w:noWrap/>
            <w:vAlign w:val="center"/>
          </w:tcPr>
          <w:p w14:paraId="005E7839" w14:textId="20CE3CA0"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20 (31.25%)</w:t>
            </w:r>
          </w:p>
        </w:tc>
        <w:tc>
          <w:tcPr>
            <w:tcW w:w="1701" w:type="dxa"/>
            <w:tcBorders>
              <w:top w:val="nil"/>
              <w:bottom w:val="nil"/>
            </w:tcBorders>
            <w:shd w:val="clear" w:color="auto" w:fill="auto"/>
            <w:noWrap/>
            <w:vAlign w:val="center"/>
          </w:tcPr>
          <w:p w14:paraId="4336CD31" w14:textId="22F87FAC"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20 (32.26%)</w:t>
            </w:r>
          </w:p>
        </w:tc>
        <w:tc>
          <w:tcPr>
            <w:tcW w:w="1701" w:type="dxa"/>
            <w:tcBorders>
              <w:top w:val="nil"/>
              <w:bottom w:val="nil"/>
            </w:tcBorders>
            <w:shd w:val="clear" w:color="auto" w:fill="auto"/>
            <w:noWrap/>
            <w:vAlign w:val="center"/>
          </w:tcPr>
          <w:p w14:paraId="286AAA45" w14:textId="3246B025"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 (0.00%)</w:t>
            </w:r>
          </w:p>
        </w:tc>
        <w:tc>
          <w:tcPr>
            <w:tcW w:w="1701" w:type="dxa"/>
            <w:tcBorders>
              <w:top w:val="nil"/>
              <w:bottom w:val="nil"/>
            </w:tcBorders>
            <w:shd w:val="clear" w:color="auto" w:fill="auto"/>
            <w:noWrap/>
            <w:vAlign w:val="center"/>
          </w:tcPr>
          <w:p w14:paraId="1F12D649" w14:textId="083DBEBE"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7 (10.94%)</w:t>
            </w:r>
          </w:p>
        </w:tc>
        <w:tc>
          <w:tcPr>
            <w:tcW w:w="933" w:type="dxa"/>
            <w:tcBorders>
              <w:top w:val="nil"/>
              <w:bottom w:val="nil"/>
              <w:right w:val="single" w:sz="4" w:space="0" w:color="auto"/>
            </w:tcBorders>
            <w:shd w:val="clear" w:color="auto" w:fill="auto"/>
            <w:noWrap/>
            <w:vAlign w:val="center"/>
          </w:tcPr>
          <w:p w14:paraId="30B3715B" w14:textId="67BE8EC1" w:rsidR="00DF69F6" w:rsidRPr="00541D30"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7 (11.29%)</w:t>
            </w:r>
          </w:p>
        </w:tc>
      </w:tr>
      <w:tr w:rsidR="00DF69F6" w:rsidRPr="009D654D" w14:paraId="5E959259" w14:textId="77777777" w:rsidTr="006A7818">
        <w:trPr>
          <w:trHeight w:val="300"/>
          <w:jc w:val="center"/>
        </w:trPr>
        <w:tc>
          <w:tcPr>
            <w:tcW w:w="3402" w:type="dxa"/>
            <w:tcBorders>
              <w:top w:val="nil"/>
              <w:left w:val="single" w:sz="4" w:space="0" w:color="auto"/>
              <w:bottom w:val="nil"/>
            </w:tcBorders>
            <w:shd w:val="clear" w:color="auto" w:fill="auto"/>
            <w:noWrap/>
            <w:vAlign w:val="center"/>
            <w:hideMark/>
          </w:tcPr>
          <w:p w14:paraId="68A98CAC" w14:textId="0107152D" w:rsidR="00DF69F6" w:rsidRPr="009B65B1" w:rsidRDefault="00DF69F6" w:rsidP="00DF69F6">
            <w:pPr>
              <w:pStyle w:val="Paragraphedeliste"/>
              <w:numPr>
                <w:ilvl w:val="0"/>
                <w:numId w:val="3"/>
              </w:numPr>
              <w:spacing w:after="0" w:line="240" w:lineRule="auto"/>
              <w:rPr>
                <w:rFonts w:eastAsia="Times New Roman" w:cs="Calibri"/>
                <w:bCs/>
                <w:color w:val="000000"/>
                <w:lang w:val="en-US" w:eastAsia="fr-FR"/>
              </w:rPr>
            </w:pPr>
            <w:r w:rsidRPr="009B65B1">
              <w:rPr>
                <w:rFonts w:eastAsia="Times New Roman" w:cs="Calibri"/>
                <w:bCs/>
                <w:color w:val="000000"/>
                <w:lang w:val="en-US" w:eastAsia="fr-FR"/>
              </w:rPr>
              <w:t>Lower digestive tract bleeding (N=</w:t>
            </w:r>
            <w:r>
              <w:rPr>
                <w:rFonts w:eastAsia="Times New Roman" w:cs="Calibri"/>
                <w:bCs/>
                <w:color w:val="000000"/>
                <w:lang w:val="en-US" w:eastAsia="fr-FR"/>
              </w:rPr>
              <w:t>64</w:t>
            </w:r>
            <w:r w:rsidRPr="009B65B1">
              <w:rPr>
                <w:rFonts w:eastAsia="Times New Roman" w:cs="Calibri"/>
                <w:bCs/>
                <w:color w:val="000000"/>
                <w:lang w:val="en-US" w:eastAsia="fr-FR"/>
              </w:rPr>
              <w:t xml:space="preserve">) </w:t>
            </w:r>
          </w:p>
        </w:tc>
        <w:tc>
          <w:tcPr>
            <w:tcW w:w="1701" w:type="dxa"/>
            <w:tcBorders>
              <w:top w:val="nil"/>
              <w:bottom w:val="nil"/>
            </w:tcBorders>
            <w:shd w:val="clear" w:color="auto" w:fill="auto"/>
            <w:noWrap/>
            <w:vAlign w:val="center"/>
          </w:tcPr>
          <w:p w14:paraId="4B869726" w14:textId="42DF1D47"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7 (10.94%)</w:t>
            </w:r>
          </w:p>
        </w:tc>
        <w:tc>
          <w:tcPr>
            <w:tcW w:w="1701" w:type="dxa"/>
            <w:tcBorders>
              <w:top w:val="nil"/>
              <w:bottom w:val="nil"/>
            </w:tcBorders>
            <w:shd w:val="clear" w:color="auto" w:fill="auto"/>
            <w:noWrap/>
            <w:vAlign w:val="center"/>
          </w:tcPr>
          <w:p w14:paraId="05615F88" w14:textId="04730C68"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7 (11.29%)</w:t>
            </w:r>
          </w:p>
        </w:tc>
        <w:tc>
          <w:tcPr>
            <w:tcW w:w="1701" w:type="dxa"/>
            <w:tcBorders>
              <w:top w:val="nil"/>
              <w:bottom w:val="nil"/>
            </w:tcBorders>
            <w:shd w:val="clear" w:color="auto" w:fill="auto"/>
            <w:noWrap/>
            <w:vAlign w:val="center"/>
          </w:tcPr>
          <w:p w14:paraId="039A85E7" w14:textId="4CAF9C91"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0 (0.00%)</w:t>
            </w:r>
          </w:p>
        </w:tc>
        <w:tc>
          <w:tcPr>
            <w:tcW w:w="1701" w:type="dxa"/>
            <w:tcBorders>
              <w:top w:val="nil"/>
              <w:bottom w:val="nil"/>
            </w:tcBorders>
            <w:shd w:val="clear" w:color="auto" w:fill="auto"/>
            <w:noWrap/>
            <w:vAlign w:val="center"/>
          </w:tcPr>
          <w:p w14:paraId="5A0FA9CF" w14:textId="3E8EF1EE"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1.00</w:t>
            </w:r>
          </w:p>
        </w:tc>
        <w:tc>
          <w:tcPr>
            <w:tcW w:w="933" w:type="dxa"/>
            <w:tcBorders>
              <w:top w:val="nil"/>
              <w:bottom w:val="nil"/>
              <w:right w:val="single" w:sz="4" w:space="0" w:color="auto"/>
            </w:tcBorders>
            <w:shd w:val="clear" w:color="auto" w:fill="auto"/>
            <w:noWrap/>
            <w:vAlign w:val="center"/>
          </w:tcPr>
          <w:p w14:paraId="25F26190" w14:textId="0CE3FA00" w:rsidR="00DF69F6" w:rsidRPr="009D654D" w:rsidRDefault="00DF69F6" w:rsidP="006A7818">
            <w:pPr>
              <w:spacing w:after="0" w:line="240" w:lineRule="auto"/>
              <w:jc w:val="center"/>
              <w:rPr>
                <w:rFonts w:eastAsia="Times New Roman" w:cs="Calibri"/>
                <w:color w:val="000000"/>
                <w:lang w:val="en-US" w:eastAsia="fr-FR"/>
              </w:rPr>
            </w:pPr>
            <w:r w:rsidRPr="00541D30">
              <w:rPr>
                <w:rFonts w:eastAsia="Times New Roman" w:cs="Calibri"/>
                <w:color w:val="000000"/>
                <w:lang w:eastAsia="fr-FR"/>
              </w:rPr>
              <w:t>&gt;0.99</w:t>
            </w:r>
          </w:p>
        </w:tc>
      </w:tr>
      <w:tr w:rsidR="00DF69F6" w:rsidRPr="0076591B" w14:paraId="148FFB57" w14:textId="77777777" w:rsidTr="006A7818">
        <w:trPr>
          <w:trHeight w:val="300"/>
          <w:jc w:val="center"/>
        </w:trPr>
        <w:tc>
          <w:tcPr>
            <w:tcW w:w="3402" w:type="dxa"/>
            <w:tcBorders>
              <w:top w:val="nil"/>
              <w:left w:val="single" w:sz="4" w:space="0" w:color="auto"/>
              <w:bottom w:val="single" w:sz="4" w:space="0" w:color="auto"/>
            </w:tcBorders>
            <w:shd w:val="clear" w:color="auto" w:fill="auto"/>
            <w:noWrap/>
            <w:vAlign w:val="center"/>
            <w:hideMark/>
          </w:tcPr>
          <w:p w14:paraId="2B1C53A6" w14:textId="08C7A4F8" w:rsidR="00DF69F6" w:rsidRPr="00541D30" w:rsidRDefault="00DF69F6" w:rsidP="00DF69F6">
            <w:pPr>
              <w:spacing w:after="0" w:line="240" w:lineRule="auto"/>
              <w:rPr>
                <w:rFonts w:eastAsia="Times New Roman" w:cs="Calibri"/>
                <w:b/>
                <w:color w:val="000000"/>
                <w:lang w:eastAsia="fr-FR"/>
              </w:rPr>
            </w:pPr>
            <w:r>
              <w:rPr>
                <w:rFonts w:eastAsia="Times New Roman" w:cs="Calibri"/>
                <w:b/>
                <w:color w:val="000000"/>
                <w:lang w:eastAsia="fr-FR"/>
              </w:rPr>
              <w:t>Digestive p</w:t>
            </w:r>
            <w:r w:rsidRPr="00541D30">
              <w:rPr>
                <w:rFonts w:eastAsia="Times New Roman" w:cs="Calibri"/>
                <w:b/>
                <w:color w:val="000000"/>
                <w:lang w:eastAsia="fr-FR"/>
              </w:rPr>
              <w:t>erforation (N=</w:t>
            </w:r>
            <w:r>
              <w:rPr>
                <w:rFonts w:eastAsia="Times New Roman" w:cs="Calibri"/>
                <w:b/>
                <w:color w:val="000000"/>
                <w:lang w:eastAsia="fr-FR"/>
              </w:rPr>
              <w:t>64</w:t>
            </w:r>
            <w:r w:rsidRPr="00541D30">
              <w:rPr>
                <w:rFonts w:eastAsia="Times New Roman" w:cs="Calibri"/>
                <w:b/>
                <w:color w:val="000000"/>
                <w:lang w:eastAsia="fr-FR"/>
              </w:rPr>
              <w:t xml:space="preserve">) </w:t>
            </w:r>
          </w:p>
        </w:tc>
        <w:tc>
          <w:tcPr>
            <w:tcW w:w="1701" w:type="dxa"/>
            <w:tcBorders>
              <w:top w:val="nil"/>
              <w:bottom w:val="single" w:sz="4" w:space="0" w:color="auto"/>
            </w:tcBorders>
            <w:shd w:val="clear" w:color="auto" w:fill="auto"/>
            <w:noWrap/>
            <w:vAlign w:val="center"/>
          </w:tcPr>
          <w:p w14:paraId="78C1CFAF" w14:textId="000194C6"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 (1.56%)</w:t>
            </w:r>
          </w:p>
        </w:tc>
        <w:tc>
          <w:tcPr>
            <w:tcW w:w="1701" w:type="dxa"/>
            <w:tcBorders>
              <w:top w:val="nil"/>
              <w:bottom w:val="single" w:sz="4" w:space="0" w:color="auto"/>
            </w:tcBorders>
            <w:shd w:val="clear" w:color="auto" w:fill="auto"/>
            <w:noWrap/>
            <w:vAlign w:val="center"/>
          </w:tcPr>
          <w:p w14:paraId="3E49583F" w14:textId="57B52B32"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 (1.61%)</w:t>
            </w:r>
          </w:p>
        </w:tc>
        <w:tc>
          <w:tcPr>
            <w:tcW w:w="1701" w:type="dxa"/>
            <w:tcBorders>
              <w:top w:val="nil"/>
              <w:bottom w:val="single" w:sz="4" w:space="0" w:color="auto"/>
            </w:tcBorders>
            <w:shd w:val="clear" w:color="auto" w:fill="auto"/>
            <w:noWrap/>
            <w:vAlign w:val="center"/>
          </w:tcPr>
          <w:p w14:paraId="1ECB437A" w14:textId="5C471101"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0 (0.00%)</w:t>
            </w:r>
          </w:p>
        </w:tc>
        <w:tc>
          <w:tcPr>
            <w:tcW w:w="1701" w:type="dxa"/>
            <w:tcBorders>
              <w:top w:val="nil"/>
              <w:bottom w:val="single" w:sz="4" w:space="0" w:color="auto"/>
            </w:tcBorders>
            <w:shd w:val="clear" w:color="auto" w:fill="auto"/>
            <w:noWrap/>
            <w:vAlign w:val="center"/>
          </w:tcPr>
          <w:p w14:paraId="76E869F2" w14:textId="0EF2D8BB"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1.00</w:t>
            </w:r>
          </w:p>
        </w:tc>
        <w:tc>
          <w:tcPr>
            <w:tcW w:w="933" w:type="dxa"/>
            <w:tcBorders>
              <w:top w:val="nil"/>
              <w:bottom w:val="single" w:sz="4" w:space="0" w:color="auto"/>
              <w:right w:val="single" w:sz="4" w:space="0" w:color="auto"/>
            </w:tcBorders>
            <w:shd w:val="clear" w:color="auto" w:fill="auto"/>
            <w:noWrap/>
            <w:vAlign w:val="center"/>
          </w:tcPr>
          <w:p w14:paraId="4D3565D2" w14:textId="157148A4" w:rsidR="00DF69F6" w:rsidRPr="0076591B" w:rsidRDefault="00DF69F6" w:rsidP="006A7818">
            <w:pPr>
              <w:spacing w:after="0" w:line="240" w:lineRule="auto"/>
              <w:jc w:val="center"/>
              <w:rPr>
                <w:rFonts w:eastAsia="Times New Roman" w:cs="Calibri"/>
                <w:color w:val="000000"/>
                <w:lang w:eastAsia="fr-FR"/>
              </w:rPr>
            </w:pPr>
            <w:r w:rsidRPr="00541D30">
              <w:rPr>
                <w:rFonts w:eastAsia="Times New Roman" w:cs="Calibri"/>
                <w:color w:val="000000"/>
                <w:lang w:eastAsia="fr-FR"/>
              </w:rPr>
              <w:t>&gt;0.99</w:t>
            </w:r>
          </w:p>
        </w:tc>
      </w:tr>
    </w:tbl>
    <w:p w14:paraId="0FEBB03D" w14:textId="77777777" w:rsidR="009304DA" w:rsidRPr="003C678A" w:rsidRDefault="009304DA" w:rsidP="00400A25">
      <w:pPr>
        <w:rPr>
          <w:lang w:val="en-US"/>
        </w:rPr>
      </w:pPr>
    </w:p>
    <w:p w14:paraId="3680E84F" w14:textId="68E4CF55" w:rsidR="00757B2A" w:rsidRPr="00E6447A" w:rsidRDefault="006A6982" w:rsidP="00400A25">
      <w:pPr>
        <w:rPr>
          <w:u w:val="single"/>
          <w:lang w:val="en-US"/>
        </w:rPr>
      </w:pPr>
      <w:r>
        <w:rPr>
          <w:lang w:val="en-US"/>
        </w:rPr>
        <w:br w:type="page"/>
      </w:r>
      <w:r w:rsidR="00E6447A" w:rsidRPr="00E6447A">
        <w:rPr>
          <w:u w:val="single"/>
          <w:lang w:val="en-US"/>
        </w:rPr>
        <w:lastRenderedPageBreak/>
        <w:t>Supplementary table 1</w:t>
      </w:r>
      <w:r w:rsidR="005179B2">
        <w:rPr>
          <w:u w:val="single"/>
          <w:lang w:val="en-US"/>
        </w:rPr>
        <w:t>1</w:t>
      </w:r>
      <w:r w:rsidR="00E6447A" w:rsidRPr="00E6447A">
        <w:rPr>
          <w:u w:val="single"/>
          <w:lang w:val="en-US"/>
        </w:rPr>
        <w:t xml:space="preserve">: </w:t>
      </w:r>
      <w:r w:rsidR="00333B9C">
        <w:rPr>
          <w:u w:val="single"/>
          <w:lang w:val="en-US"/>
        </w:rPr>
        <w:t>Infectious c</w:t>
      </w:r>
      <w:r w:rsidR="00E6447A" w:rsidRPr="00E6447A">
        <w:rPr>
          <w:u w:val="single"/>
          <w:lang w:val="en-US"/>
        </w:rPr>
        <w:t xml:space="preserve">omplications function of comorbidities </w:t>
      </w:r>
    </w:p>
    <w:tbl>
      <w:tblPr>
        <w:tblW w:w="1106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47"/>
        <w:gridCol w:w="2556"/>
        <w:gridCol w:w="1701"/>
        <w:gridCol w:w="1701"/>
        <w:gridCol w:w="1701"/>
        <w:gridCol w:w="863"/>
      </w:tblGrid>
      <w:tr w:rsidR="00333B9C" w:rsidRPr="009B46ED" w14:paraId="4B5A46B9" w14:textId="77777777" w:rsidTr="00C04EDE">
        <w:trPr>
          <w:trHeight w:val="300"/>
          <w:jc w:val="center"/>
        </w:trPr>
        <w:tc>
          <w:tcPr>
            <w:tcW w:w="2547" w:type="dxa"/>
            <w:tcBorders>
              <w:top w:val="single" w:sz="4" w:space="0" w:color="auto"/>
              <w:bottom w:val="single" w:sz="4" w:space="0" w:color="auto"/>
            </w:tcBorders>
            <w:shd w:val="clear" w:color="auto" w:fill="D9D9D9" w:themeFill="background1" w:themeFillShade="D9"/>
            <w:noWrap/>
            <w:vAlign w:val="center"/>
            <w:hideMark/>
          </w:tcPr>
          <w:p w14:paraId="592A7496" w14:textId="77777777" w:rsidR="00333B9C" w:rsidRPr="00333B9C" w:rsidRDefault="00333B9C" w:rsidP="00333B9C">
            <w:pPr>
              <w:spacing w:after="0" w:line="240" w:lineRule="auto"/>
              <w:jc w:val="right"/>
              <w:rPr>
                <w:rFonts w:eastAsia="Times New Roman" w:cs="Calibri"/>
                <w:b/>
                <w:color w:val="000000"/>
                <w:lang w:val="en-US" w:eastAsia="fr-FR"/>
              </w:rPr>
            </w:pPr>
          </w:p>
        </w:tc>
        <w:tc>
          <w:tcPr>
            <w:tcW w:w="2556" w:type="dxa"/>
            <w:tcBorders>
              <w:top w:val="single" w:sz="4" w:space="0" w:color="auto"/>
              <w:bottom w:val="single" w:sz="4" w:space="0" w:color="auto"/>
            </w:tcBorders>
            <w:shd w:val="clear" w:color="auto" w:fill="D9D9D9" w:themeFill="background1" w:themeFillShade="D9"/>
            <w:noWrap/>
            <w:vAlign w:val="bottom"/>
            <w:hideMark/>
          </w:tcPr>
          <w:p w14:paraId="2B173B82" w14:textId="77777777" w:rsidR="00333B9C" w:rsidRPr="00333B9C" w:rsidRDefault="00333B9C" w:rsidP="00333B9C">
            <w:pPr>
              <w:spacing w:after="0" w:line="240" w:lineRule="auto"/>
              <w:jc w:val="center"/>
              <w:rPr>
                <w:rFonts w:eastAsia="Times New Roman" w:cs="Calibri"/>
                <w:b/>
                <w:color w:val="000000"/>
                <w:lang w:eastAsia="fr-FR"/>
              </w:rPr>
            </w:pPr>
            <w:r w:rsidRPr="00333B9C">
              <w:rPr>
                <w:rFonts w:eastAsia="Times New Roman" w:cs="Calibri"/>
                <w:b/>
                <w:color w:val="000000"/>
                <w:lang w:eastAsia="fr-FR"/>
              </w:rPr>
              <w:t>Total population</w:t>
            </w:r>
          </w:p>
          <w:p w14:paraId="4CC79601" w14:textId="0310A9F2" w:rsidR="00333B9C" w:rsidRPr="00333B9C" w:rsidRDefault="00333B9C" w:rsidP="00333B9C">
            <w:pPr>
              <w:spacing w:after="0" w:line="240" w:lineRule="auto"/>
              <w:jc w:val="center"/>
              <w:rPr>
                <w:rFonts w:eastAsia="Times New Roman" w:cs="Calibri"/>
                <w:b/>
                <w:color w:val="000000"/>
                <w:lang w:eastAsia="fr-FR"/>
              </w:rPr>
            </w:pPr>
            <w:r w:rsidRPr="00333B9C">
              <w:rPr>
                <w:rFonts w:eastAsia="Times New Roman" w:cs="Calibri"/>
                <w:b/>
                <w:color w:val="000000"/>
                <w:lang w:eastAsia="fr-FR"/>
              </w:rPr>
              <w:t>(N=2733)</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FD27357" w14:textId="7AC94004" w:rsidR="00333B9C" w:rsidRPr="00333B9C" w:rsidRDefault="00333B9C" w:rsidP="00333B9C">
            <w:pPr>
              <w:spacing w:after="0" w:line="240" w:lineRule="auto"/>
              <w:jc w:val="center"/>
              <w:rPr>
                <w:rFonts w:eastAsia="Times New Roman" w:cs="Calibri"/>
                <w:b/>
                <w:color w:val="000000"/>
                <w:lang w:val="en-US" w:eastAsia="fr-FR"/>
              </w:rPr>
            </w:pPr>
            <w:r w:rsidRPr="00333B9C">
              <w:rPr>
                <w:rFonts w:eastAsia="Times New Roman" w:cs="Calibri"/>
                <w:b/>
                <w:color w:val="000000"/>
                <w:lang w:val="en-US" w:eastAsia="fr-FR"/>
              </w:rPr>
              <w:t>Comorbidity 0 or 1 (n = 1603)</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2E2729C4" w14:textId="77777777" w:rsidR="00333B9C" w:rsidRPr="00333B9C" w:rsidRDefault="00333B9C" w:rsidP="00333B9C">
            <w:pPr>
              <w:spacing w:after="0" w:line="240" w:lineRule="auto"/>
              <w:jc w:val="center"/>
              <w:rPr>
                <w:rFonts w:eastAsia="Times New Roman" w:cs="Calibri"/>
                <w:b/>
                <w:color w:val="000000"/>
                <w:lang w:val="en-US" w:eastAsia="fr-FR"/>
              </w:rPr>
            </w:pPr>
            <w:r w:rsidRPr="00333B9C">
              <w:rPr>
                <w:rFonts w:eastAsia="Times New Roman" w:cs="Calibri"/>
                <w:b/>
                <w:color w:val="000000"/>
                <w:lang w:val="en-US" w:eastAsia="fr-FR"/>
              </w:rPr>
              <w:t>Comorbidities 2 or more</w:t>
            </w:r>
          </w:p>
          <w:p w14:paraId="679F9550" w14:textId="579E9A29" w:rsidR="00333B9C" w:rsidRPr="00333B9C" w:rsidRDefault="00333B9C" w:rsidP="00333B9C">
            <w:pPr>
              <w:spacing w:after="0" w:line="240" w:lineRule="auto"/>
              <w:jc w:val="center"/>
              <w:rPr>
                <w:rFonts w:eastAsia="Times New Roman" w:cs="Calibri"/>
                <w:b/>
                <w:color w:val="000000"/>
                <w:lang w:eastAsia="fr-FR"/>
              </w:rPr>
            </w:pPr>
            <w:r w:rsidRPr="00333B9C">
              <w:rPr>
                <w:rFonts w:eastAsia="Times New Roman" w:cs="Calibri"/>
                <w:b/>
                <w:color w:val="000000"/>
                <w:lang w:val="en-US" w:eastAsia="fr-FR"/>
              </w:rPr>
              <w:t>(n = 1130)</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0300D8E" w14:textId="77777777" w:rsidR="00333B9C" w:rsidRPr="00333B9C" w:rsidRDefault="00333B9C" w:rsidP="00333B9C">
            <w:pPr>
              <w:spacing w:after="0" w:line="240" w:lineRule="auto"/>
              <w:jc w:val="center"/>
              <w:rPr>
                <w:rFonts w:eastAsia="Times New Roman" w:cs="Calibri"/>
                <w:b/>
                <w:color w:val="000000"/>
                <w:lang w:eastAsia="fr-FR"/>
              </w:rPr>
            </w:pPr>
            <w:r w:rsidRPr="00333B9C">
              <w:rPr>
                <w:rFonts w:eastAsia="Times New Roman" w:cs="Calibri"/>
                <w:b/>
                <w:color w:val="000000"/>
                <w:lang w:eastAsia="fr-FR"/>
              </w:rPr>
              <w:t>OR [IC95%]</w:t>
            </w:r>
          </w:p>
        </w:tc>
        <w:tc>
          <w:tcPr>
            <w:tcW w:w="863" w:type="dxa"/>
            <w:tcBorders>
              <w:top w:val="single" w:sz="4" w:space="0" w:color="auto"/>
              <w:bottom w:val="single" w:sz="4" w:space="0" w:color="auto"/>
            </w:tcBorders>
            <w:shd w:val="clear" w:color="auto" w:fill="D9D9D9" w:themeFill="background1" w:themeFillShade="D9"/>
            <w:noWrap/>
            <w:vAlign w:val="bottom"/>
            <w:hideMark/>
          </w:tcPr>
          <w:p w14:paraId="7E84E536" w14:textId="77777777" w:rsidR="00333B9C" w:rsidRPr="00333B9C" w:rsidRDefault="00333B9C" w:rsidP="00333B9C">
            <w:pPr>
              <w:spacing w:after="0" w:line="240" w:lineRule="auto"/>
              <w:jc w:val="center"/>
              <w:rPr>
                <w:rFonts w:eastAsia="Times New Roman" w:cs="Calibri"/>
                <w:b/>
                <w:color w:val="000000"/>
                <w:lang w:eastAsia="fr-FR"/>
              </w:rPr>
            </w:pPr>
            <w:r w:rsidRPr="00333B9C">
              <w:rPr>
                <w:rFonts w:eastAsia="Times New Roman" w:cs="Calibri"/>
                <w:b/>
                <w:color w:val="000000"/>
                <w:lang w:eastAsia="fr-FR"/>
              </w:rPr>
              <w:t>p</w:t>
            </w:r>
          </w:p>
        </w:tc>
      </w:tr>
      <w:tr w:rsidR="00333B9C" w:rsidRPr="00C81B78" w14:paraId="3531AAD0" w14:textId="77777777" w:rsidTr="00C04EDE">
        <w:trPr>
          <w:trHeight w:val="300"/>
          <w:jc w:val="center"/>
        </w:trPr>
        <w:tc>
          <w:tcPr>
            <w:tcW w:w="2547" w:type="dxa"/>
            <w:tcBorders>
              <w:top w:val="single" w:sz="4" w:space="0" w:color="auto"/>
              <w:left w:val="single" w:sz="4" w:space="0" w:color="auto"/>
              <w:bottom w:val="nil"/>
            </w:tcBorders>
            <w:shd w:val="clear" w:color="auto" w:fill="auto"/>
            <w:noWrap/>
            <w:vAlign w:val="center"/>
            <w:hideMark/>
          </w:tcPr>
          <w:p w14:paraId="6157F5A8" w14:textId="3AF3340F" w:rsidR="00333B9C" w:rsidRPr="009B46ED" w:rsidRDefault="00333B9C" w:rsidP="00EA10ED">
            <w:pPr>
              <w:rPr>
                <w:rFonts w:eastAsia="Times New Roman" w:cs="Calibri"/>
                <w:b/>
                <w:color w:val="000000"/>
                <w:lang w:eastAsia="fr-FR"/>
              </w:rPr>
            </w:pPr>
            <w:proofErr w:type="spellStart"/>
            <w:r>
              <w:rPr>
                <w:rFonts w:eastAsia="Times New Roman" w:cs="Calibri"/>
                <w:b/>
                <w:color w:val="000000"/>
                <w:lang w:eastAsia="fr-FR"/>
              </w:rPr>
              <w:t>Number</w:t>
            </w:r>
            <w:proofErr w:type="spellEnd"/>
            <w:r>
              <w:rPr>
                <w:rFonts w:eastAsia="Times New Roman" w:cs="Calibri"/>
                <w:b/>
                <w:color w:val="000000"/>
                <w:lang w:eastAsia="fr-FR"/>
              </w:rPr>
              <w:t xml:space="preserve"> of </w:t>
            </w:r>
            <w:proofErr w:type="spellStart"/>
            <w:r>
              <w:rPr>
                <w:rFonts w:eastAsia="Times New Roman" w:cs="Calibri"/>
                <w:b/>
                <w:color w:val="000000"/>
                <w:lang w:eastAsia="fr-FR"/>
              </w:rPr>
              <w:t>comorbidities</w:t>
            </w:r>
            <w:proofErr w:type="spellEnd"/>
          </w:p>
        </w:tc>
        <w:tc>
          <w:tcPr>
            <w:tcW w:w="2556" w:type="dxa"/>
            <w:tcBorders>
              <w:top w:val="single" w:sz="4" w:space="0" w:color="auto"/>
              <w:bottom w:val="nil"/>
            </w:tcBorders>
            <w:shd w:val="clear" w:color="auto" w:fill="auto"/>
            <w:noWrap/>
            <w:vAlign w:val="bottom"/>
          </w:tcPr>
          <w:p w14:paraId="06780EB1" w14:textId="1FC7B0BB" w:rsidR="00333B9C" w:rsidRPr="009B46ED" w:rsidRDefault="00333B9C" w:rsidP="00EA10ED">
            <w:pPr>
              <w:rPr>
                <w:rFonts w:eastAsia="Times New Roman" w:cs="Calibri"/>
                <w:b/>
                <w:color w:val="000000"/>
                <w:lang w:eastAsia="fr-FR"/>
              </w:rPr>
            </w:pPr>
          </w:p>
        </w:tc>
        <w:tc>
          <w:tcPr>
            <w:tcW w:w="1701" w:type="dxa"/>
            <w:tcBorders>
              <w:top w:val="single" w:sz="4" w:space="0" w:color="auto"/>
              <w:left w:val="nil"/>
              <w:bottom w:val="nil"/>
              <w:right w:val="nil"/>
            </w:tcBorders>
            <w:shd w:val="clear" w:color="000000" w:fill="FFFFFF"/>
            <w:noWrap/>
            <w:vAlign w:val="bottom"/>
          </w:tcPr>
          <w:p w14:paraId="46D85BEA" w14:textId="76BF30FF" w:rsidR="00333B9C" w:rsidRPr="009B46ED" w:rsidRDefault="00333B9C" w:rsidP="00EA10ED">
            <w:pPr>
              <w:rPr>
                <w:rFonts w:eastAsia="Times New Roman" w:cs="Calibri"/>
                <w:b/>
                <w:color w:val="000000"/>
                <w:lang w:eastAsia="fr-FR"/>
              </w:rPr>
            </w:pPr>
          </w:p>
        </w:tc>
        <w:tc>
          <w:tcPr>
            <w:tcW w:w="1701" w:type="dxa"/>
            <w:tcBorders>
              <w:top w:val="single" w:sz="4" w:space="0" w:color="auto"/>
              <w:left w:val="nil"/>
              <w:bottom w:val="nil"/>
              <w:right w:val="nil"/>
            </w:tcBorders>
            <w:shd w:val="clear" w:color="000000" w:fill="FFFFFF"/>
            <w:noWrap/>
            <w:vAlign w:val="bottom"/>
          </w:tcPr>
          <w:p w14:paraId="754B0203" w14:textId="3770A037" w:rsidR="00333B9C" w:rsidRPr="009B46ED" w:rsidRDefault="00333B9C" w:rsidP="00EA10ED">
            <w:pPr>
              <w:rPr>
                <w:rFonts w:eastAsia="Times New Roman" w:cs="Calibri"/>
                <w:b/>
                <w:color w:val="000000"/>
                <w:lang w:eastAsia="fr-FR"/>
              </w:rPr>
            </w:pPr>
          </w:p>
        </w:tc>
        <w:tc>
          <w:tcPr>
            <w:tcW w:w="1701" w:type="dxa"/>
            <w:tcBorders>
              <w:top w:val="single" w:sz="4" w:space="0" w:color="auto"/>
              <w:left w:val="nil"/>
              <w:bottom w:val="nil"/>
              <w:right w:val="nil"/>
            </w:tcBorders>
            <w:shd w:val="clear" w:color="000000" w:fill="FFFFFF"/>
            <w:noWrap/>
            <w:vAlign w:val="bottom"/>
          </w:tcPr>
          <w:p w14:paraId="59991D68" w14:textId="4110AAAE" w:rsidR="00333B9C" w:rsidRPr="009B46ED" w:rsidRDefault="00333B9C" w:rsidP="00EA10ED">
            <w:pPr>
              <w:rPr>
                <w:rFonts w:eastAsia="Times New Roman" w:cs="Calibri"/>
                <w:b/>
                <w:color w:val="000000"/>
                <w:lang w:eastAsia="fr-FR"/>
              </w:rPr>
            </w:pPr>
          </w:p>
        </w:tc>
        <w:tc>
          <w:tcPr>
            <w:tcW w:w="863" w:type="dxa"/>
            <w:tcBorders>
              <w:top w:val="single" w:sz="4" w:space="0" w:color="auto"/>
              <w:bottom w:val="nil"/>
              <w:right w:val="single" w:sz="4" w:space="0" w:color="auto"/>
            </w:tcBorders>
            <w:shd w:val="clear" w:color="auto" w:fill="auto"/>
            <w:noWrap/>
            <w:vAlign w:val="bottom"/>
          </w:tcPr>
          <w:p w14:paraId="620A0368" w14:textId="3552B5AE" w:rsidR="00333B9C" w:rsidRPr="00C81B78" w:rsidRDefault="00333B9C" w:rsidP="00EA10ED">
            <w:pPr>
              <w:rPr>
                <w:rFonts w:ascii="Calibri" w:hAnsi="Calibri" w:cs="Calibri"/>
                <w:color w:val="000000"/>
              </w:rPr>
            </w:pPr>
          </w:p>
        </w:tc>
      </w:tr>
      <w:tr w:rsidR="00333B9C" w:rsidRPr="00C81B78" w14:paraId="3C6D80CB" w14:textId="77777777" w:rsidTr="00C04EDE">
        <w:trPr>
          <w:trHeight w:val="300"/>
          <w:jc w:val="center"/>
        </w:trPr>
        <w:tc>
          <w:tcPr>
            <w:tcW w:w="2547" w:type="dxa"/>
            <w:tcBorders>
              <w:top w:val="nil"/>
              <w:left w:val="single" w:sz="4" w:space="0" w:color="auto"/>
              <w:bottom w:val="nil"/>
            </w:tcBorders>
            <w:shd w:val="clear" w:color="auto" w:fill="auto"/>
            <w:noWrap/>
            <w:vAlign w:val="center"/>
          </w:tcPr>
          <w:p w14:paraId="7F7B3D63" w14:textId="45B0D3DF"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0</w:t>
            </w:r>
          </w:p>
        </w:tc>
        <w:tc>
          <w:tcPr>
            <w:tcW w:w="2556" w:type="dxa"/>
            <w:tcBorders>
              <w:top w:val="nil"/>
              <w:left w:val="nil"/>
              <w:bottom w:val="nil"/>
              <w:right w:val="nil"/>
            </w:tcBorders>
            <w:shd w:val="clear" w:color="000000" w:fill="FFFFFF"/>
            <w:noWrap/>
            <w:vAlign w:val="bottom"/>
          </w:tcPr>
          <w:p w14:paraId="35EF07C9" w14:textId="08BE4A90"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827 (30.3%)</w:t>
            </w:r>
          </w:p>
        </w:tc>
        <w:tc>
          <w:tcPr>
            <w:tcW w:w="1701" w:type="dxa"/>
            <w:tcBorders>
              <w:top w:val="nil"/>
              <w:left w:val="nil"/>
              <w:bottom w:val="nil"/>
              <w:right w:val="nil"/>
            </w:tcBorders>
            <w:shd w:val="clear" w:color="000000" w:fill="FFFFFF"/>
            <w:noWrap/>
            <w:vAlign w:val="bottom"/>
          </w:tcPr>
          <w:p w14:paraId="2E0A7792" w14:textId="073F2C57"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827 (51.6%)</w:t>
            </w:r>
          </w:p>
        </w:tc>
        <w:tc>
          <w:tcPr>
            <w:tcW w:w="1701" w:type="dxa"/>
            <w:tcBorders>
              <w:top w:val="nil"/>
              <w:left w:val="nil"/>
              <w:bottom w:val="nil"/>
              <w:right w:val="nil"/>
            </w:tcBorders>
            <w:shd w:val="clear" w:color="000000" w:fill="FFFFFF"/>
            <w:noWrap/>
            <w:vAlign w:val="bottom"/>
          </w:tcPr>
          <w:p w14:paraId="6299F5CD" w14:textId="1D94B7A9"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4777AA8A"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54D64DA4" w14:textId="77777777" w:rsidR="00333B9C" w:rsidRPr="00333B9C" w:rsidRDefault="00333B9C" w:rsidP="00333B9C">
            <w:pPr>
              <w:rPr>
                <w:rFonts w:ascii="Calibri" w:hAnsi="Calibri" w:cs="Calibri"/>
                <w:color w:val="000000"/>
                <w:sz w:val="16"/>
              </w:rPr>
            </w:pPr>
          </w:p>
        </w:tc>
      </w:tr>
      <w:tr w:rsidR="00333B9C" w:rsidRPr="00C81B78" w14:paraId="00DF04B7" w14:textId="77777777" w:rsidTr="00C04EDE">
        <w:trPr>
          <w:trHeight w:val="300"/>
          <w:jc w:val="center"/>
        </w:trPr>
        <w:tc>
          <w:tcPr>
            <w:tcW w:w="2547" w:type="dxa"/>
            <w:tcBorders>
              <w:top w:val="nil"/>
              <w:left w:val="single" w:sz="4" w:space="0" w:color="auto"/>
              <w:bottom w:val="nil"/>
            </w:tcBorders>
            <w:shd w:val="clear" w:color="auto" w:fill="auto"/>
            <w:noWrap/>
            <w:vAlign w:val="center"/>
          </w:tcPr>
          <w:p w14:paraId="3B4320D4" w14:textId="2BBCE15D"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1</w:t>
            </w:r>
          </w:p>
        </w:tc>
        <w:tc>
          <w:tcPr>
            <w:tcW w:w="2556" w:type="dxa"/>
            <w:tcBorders>
              <w:top w:val="nil"/>
              <w:left w:val="nil"/>
              <w:bottom w:val="nil"/>
              <w:right w:val="nil"/>
            </w:tcBorders>
            <w:shd w:val="clear" w:color="000000" w:fill="FFFFFF"/>
            <w:noWrap/>
            <w:vAlign w:val="bottom"/>
          </w:tcPr>
          <w:p w14:paraId="194F4AB2" w14:textId="6D568EC1"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776 (28.4%)</w:t>
            </w:r>
          </w:p>
        </w:tc>
        <w:tc>
          <w:tcPr>
            <w:tcW w:w="1701" w:type="dxa"/>
            <w:tcBorders>
              <w:top w:val="nil"/>
              <w:left w:val="nil"/>
              <w:bottom w:val="nil"/>
              <w:right w:val="nil"/>
            </w:tcBorders>
            <w:shd w:val="clear" w:color="000000" w:fill="FFFFFF"/>
            <w:noWrap/>
            <w:vAlign w:val="bottom"/>
          </w:tcPr>
          <w:p w14:paraId="11F154CD" w14:textId="2CAF8371"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776 (48.4%)</w:t>
            </w:r>
          </w:p>
        </w:tc>
        <w:tc>
          <w:tcPr>
            <w:tcW w:w="1701" w:type="dxa"/>
            <w:tcBorders>
              <w:top w:val="nil"/>
              <w:left w:val="nil"/>
              <w:bottom w:val="nil"/>
              <w:right w:val="nil"/>
            </w:tcBorders>
            <w:shd w:val="clear" w:color="000000" w:fill="FFFFFF"/>
            <w:noWrap/>
            <w:vAlign w:val="bottom"/>
          </w:tcPr>
          <w:p w14:paraId="724EF08C" w14:textId="64524D4E"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596F0DEA"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1475A8F2" w14:textId="77777777" w:rsidR="00333B9C" w:rsidRPr="00333B9C" w:rsidRDefault="00333B9C" w:rsidP="00333B9C">
            <w:pPr>
              <w:rPr>
                <w:rFonts w:ascii="Calibri" w:hAnsi="Calibri" w:cs="Calibri"/>
                <w:color w:val="000000"/>
                <w:sz w:val="16"/>
              </w:rPr>
            </w:pPr>
          </w:p>
        </w:tc>
      </w:tr>
      <w:tr w:rsidR="00333B9C" w:rsidRPr="00C81B78" w14:paraId="70A64DCF" w14:textId="77777777" w:rsidTr="00C04EDE">
        <w:trPr>
          <w:trHeight w:val="300"/>
          <w:jc w:val="center"/>
        </w:trPr>
        <w:tc>
          <w:tcPr>
            <w:tcW w:w="2547" w:type="dxa"/>
            <w:tcBorders>
              <w:top w:val="nil"/>
              <w:left w:val="single" w:sz="4" w:space="0" w:color="auto"/>
              <w:bottom w:val="nil"/>
            </w:tcBorders>
            <w:shd w:val="clear" w:color="auto" w:fill="auto"/>
            <w:noWrap/>
            <w:vAlign w:val="center"/>
          </w:tcPr>
          <w:p w14:paraId="58F8A137" w14:textId="081E6DFA"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2</w:t>
            </w:r>
          </w:p>
        </w:tc>
        <w:tc>
          <w:tcPr>
            <w:tcW w:w="2556" w:type="dxa"/>
            <w:tcBorders>
              <w:top w:val="nil"/>
              <w:left w:val="nil"/>
              <w:bottom w:val="nil"/>
              <w:right w:val="nil"/>
            </w:tcBorders>
            <w:shd w:val="clear" w:color="000000" w:fill="FFFFFF"/>
            <w:noWrap/>
            <w:vAlign w:val="bottom"/>
          </w:tcPr>
          <w:p w14:paraId="554D8EE6" w14:textId="446C9F93"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599 (21.9%)</w:t>
            </w:r>
          </w:p>
        </w:tc>
        <w:tc>
          <w:tcPr>
            <w:tcW w:w="1701" w:type="dxa"/>
            <w:tcBorders>
              <w:top w:val="nil"/>
              <w:left w:val="nil"/>
              <w:bottom w:val="nil"/>
              <w:right w:val="nil"/>
            </w:tcBorders>
            <w:shd w:val="clear" w:color="000000" w:fill="FFFFFF"/>
            <w:noWrap/>
            <w:vAlign w:val="bottom"/>
          </w:tcPr>
          <w:p w14:paraId="1B6FF82E" w14:textId="16329602"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3190C265" w14:textId="2DB188C5"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599 (53.0%)</w:t>
            </w:r>
          </w:p>
        </w:tc>
        <w:tc>
          <w:tcPr>
            <w:tcW w:w="1701" w:type="dxa"/>
            <w:tcBorders>
              <w:top w:val="nil"/>
              <w:left w:val="nil"/>
              <w:bottom w:val="nil"/>
              <w:right w:val="nil"/>
            </w:tcBorders>
            <w:shd w:val="clear" w:color="000000" w:fill="FFFFFF"/>
            <w:noWrap/>
            <w:vAlign w:val="bottom"/>
          </w:tcPr>
          <w:p w14:paraId="197E73B0"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2328D5FF" w14:textId="77777777" w:rsidR="00333B9C" w:rsidRPr="00333B9C" w:rsidRDefault="00333B9C" w:rsidP="00333B9C">
            <w:pPr>
              <w:rPr>
                <w:rFonts w:ascii="Calibri" w:hAnsi="Calibri" w:cs="Calibri"/>
                <w:color w:val="000000"/>
                <w:sz w:val="16"/>
              </w:rPr>
            </w:pPr>
          </w:p>
        </w:tc>
      </w:tr>
      <w:tr w:rsidR="00333B9C" w:rsidRPr="00C81B78" w14:paraId="188A1335" w14:textId="77777777" w:rsidTr="00C04EDE">
        <w:trPr>
          <w:trHeight w:val="300"/>
          <w:jc w:val="center"/>
        </w:trPr>
        <w:tc>
          <w:tcPr>
            <w:tcW w:w="2547" w:type="dxa"/>
            <w:tcBorders>
              <w:top w:val="nil"/>
              <w:left w:val="single" w:sz="4" w:space="0" w:color="auto"/>
              <w:bottom w:val="nil"/>
            </w:tcBorders>
            <w:shd w:val="clear" w:color="auto" w:fill="auto"/>
            <w:noWrap/>
            <w:vAlign w:val="center"/>
          </w:tcPr>
          <w:p w14:paraId="5DF5E53E" w14:textId="126DC459"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3</w:t>
            </w:r>
          </w:p>
        </w:tc>
        <w:tc>
          <w:tcPr>
            <w:tcW w:w="2556" w:type="dxa"/>
            <w:tcBorders>
              <w:top w:val="nil"/>
              <w:left w:val="nil"/>
              <w:bottom w:val="nil"/>
              <w:right w:val="nil"/>
            </w:tcBorders>
            <w:shd w:val="clear" w:color="000000" w:fill="FFFFFF"/>
            <w:noWrap/>
            <w:vAlign w:val="bottom"/>
          </w:tcPr>
          <w:p w14:paraId="3D686480" w14:textId="0ED8B055"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314 (11.5%)</w:t>
            </w:r>
          </w:p>
        </w:tc>
        <w:tc>
          <w:tcPr>
            <w:tcW w:w="1701" w:type="dxa"/>
            <w:tcBorders>
              <w:top w:val="nil"/>
              <w:left w:val="nil"/>
              <w:bottom w:val="nil"/>
              <w:right w:val="nil"/>
            </w:tcBorders>
            <w:shd w:val="clear" w:color="000000" w:fill="FFFFFF"/>
            <w:noWrap/>
            <w:vAlign w:val="bottom"/>
          </w:tcPr>
          <w:p w14:paraId="68E44855" w14:textId="29F15A4A"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18B7C9CF" w14:textId="2B217F35"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314 (27.8%)</w:t>
            </w:r>
          </w:p>
        </w:tc>
        <w:tc>
          <w:tcPr>
            <w:tcW w:w="1701" w:type="dxa"/>
            <w:tcBorders>
              <w:top w:val="nil"/>
              <w:left w:val="nil"/>
              <w:bottom w:val="nil"/>
              <w:right w:val="nil"/>
            </w:tcBorders>
            <w:shd w:val="clear" w:color="000000" w:fill="FFFFFF"/>
            <w:noWrap/>
            <w:vAlign w:val="bottom"/>
          </w:tcPr>
          <w:p w14:paraId="5DC5D760"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09E45B2A" w14:textId="77777777" w:rsidR="00333B9C" w:rsidRPr="00333B9C" w:rsidRDefault="00333B9C" w:rsidP="00333B9C">
            <w:pPr>
              <w:rPr>
                <w:rFonts w:ascii="Calibri" w:hAnsi="Calibri" w:cs="Calibri"/>
                <w:color w:val="000000"/>
                <w:sz w:val="16"/>
              </w:rPr>
            </w:pPr>
          </w:p>
        </w:tc>
      </w:tr>
      <w:tr w:rsidR="00333B9C" w:rsidRPr="00C81B78" w14:paraId="79F5AF33" w14:textId="77777777" w:rsidTr="00C04EDE">
        <w:trPr>
          <w:trHeight w:val="300"/>
          <w:jc w:val="center"/>
        </w:trPr>
        <w:tc>
          <w:tcPr>
            <w:tcW w:w="2547" w:type="dxa"/>
            <w:tcBorders>
              <w:top w:val="nil"/>
              <w:left w:val="single" w:sz="4" w:space="0" w:color="auto"/>
              <w:bottom w:val="nil"/>
            </w:tcBorders>
            <w:shd w:val="clear" w:color="auto" w:fill="auto"/>
            <w:noWrap/>
            <w:vAlign w:val="center"/>
          </w:tcPr>
          <w:p w14:paraId="038BED77" w14:textId="614F42F8"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4</w:t>
            </w:r>
          </w:p>
        </w:tc>
        <w:tc>
          <w:tcPr>
            <w:tcW w:w="2556" w:type="dxa"/>
            <w:tcBorders>
              <w:top w:val="nil"/>
              <w:left w:val="nil"/>
              <w:bottom w:val="nil"/>
              <w:right w:val="nil"/>
            </w:tcBorders>
            <w:shd w:val="clear" w:color="000000" w:fill="FFFFFF"/>
            <w:noWrap/>
            <w:vAlign w:val="bottom"/>
          </w:tcPr>
          <w:p w14:paraId="2A21B138" w14:textId="3F19E22E"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158 (5.8%)</w:t>
            </w:r>
          </w:p>
        </w:tc>
        <w:tc>
          <w:tcPr>
            <w:tcW w:w="1701" w:type="dxa"/>
            <w:tcBorders>
              <w:top w:val="nil"/>
              <w:left w:val="nil"/>
              <w:bottom w:val="nil"/>
              <w:right w:val="nil"/>
            </w:tcBorders>
            <w:shd w:val="clear" w:color="000000" w:fill="FFFFFF"/>
            <w:noWrap/>
            <w:vAlign w:val="bottom"/>
          </w:tcPr>
          <w:p w14:paraId="699873A7" w14:textId="5F06D4F4"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1899C45B" w14:textId="2424711B"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158 (13.9%)</w:t>
            </w:r>
          </w:p>
        </w:tc>
        <w:tc>
          <w:tcPr>
            <w:tcW w:w="1701" w:type="dxa"/>
            <w:tcBorders>
              <w:top w:val="nil"/>
              <w:left w:val="nil"/>
              <w:bottom w:val="nil"/>
              <w:right w:val="nil"/>
            </w:tcBorders>
            <w:shd w:val="clear" w:color="000000" w:fill="FFFFFF"/>
            <w:noWrap/>
            <w:vAlign w:val="bottom"/>
          </w:tcPr>
          <w:p w14:paraId="5E0EA61B"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73074BD9" w14:textId="77777777" w:rsidR="00333B9C" w:rsidRPr="00333B9C" w:rsidRDefault="00333B9C" w:rsidP="00333B9C">
            <w:pPr>
              <w:rPr>
                <w:rFonts w:ascii="Calibri" w:hAnsi="Calibri" w:cs="Calibri"/>
                <w:color w:val="000000"/>
                <w:sz w:val="16"/>
              </w:rPr>
            </w:pPr>
          </w:p>
        </w:tc>
      </w:tr>
      <w:tr w:rsidR="00333B9C" w:rsidRPr="00C81B78" w14:paraId="60C152DA" w14:textId="77777777" w:rsidTr="00334753">
        <w:trPr>
          <w:trHeight w:val="300"/>
          <w:jc w:val="center"/>
        </w:trPr>
        <w:tc>
          <w:tcPr>
            <w:tcW w:w="2547" w:type="dxa"/>
            <w:tcBorders>
              <w:top w:val="nil"/>
              <w:left w:val="single" w:sz="4" w:space="0" w:color="auto"/>
              <w:bottom w:val="nil"/>
            </w:tcBorders>
            <w:shd w:val="clear" w:color="auto" w:fill="auto"/>
            <w:noWrap/>
            <w:vAlign w:val="center"/>
          </w:tcPr>
          <w:p w14:paraId="2B239E45" w14:textId="38C8FF48"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5</w:t>
            </w:r>
          </w:p>
        </w:tc>
        <w:tc>
          <w:tcPr>
            <w:tcW w:w="2556" w:type="dxa"/>
            <w:tcBorders>
              <w:top w:val="nil"/>
              <w:left w:val="nil"/>
              <w:bottom w:val="nil"/>
              <w:right w:val="nil"/>
            </w:tcBorders>
            <w:shd w:val="clear" w:color="000000" w:fill="FFFFFF"/>
            <w:noWrap/>
            <w:vAlign w:val="bottom"/>
          </w:tcPr>
          <w:p w14:paraId="107B8D3E" w14:textId="2513D1D5"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41 (1.5%)</w:t>
            </w:r>
          </w:p>
        </w:tc>
        <w:tc>
          <w:tcPr>
            <w:tcW w:w="1701" w:type="dxa"/>
            <w:tcBorders>
              <w:top w:val="nil"/>
              <w:left w:val="nil"/>
              <w:bottom w:val="nil"/>
              <w:right w:val="nil"/>
            </w:tcBorders>
            <w:shd w:val="clear" w:color="000000" w:fill="FFFFFF"/>
            <w:noWrap/>
            <w:vAlign w:val="bottom"/>
          </w:tcPr>
          <w:p w14:paraId="6EE644A2" w14:textId="046594A0"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12E3F523" w14:textId="48037319"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41 (3.6%)</w:t>
            </w:r>
          </w:p>
        </w:tc>
        <w:tc>
          <w:tcPr>
            <w:tcW w:w="1701" w:type="dxa"/>
            <w:tcBorders>
              <w:top w:val="nil"/>
              <w:left w:val="nil"/>
              <w:bottom w:val="nil"/>
              <w:right w:val="nil"/>
            </w:tcBorders>
            <w:shd w:val="clear" w:color="000000" w:fill="FFFFFF"/>
            <w:noWrap/>
            <w:vAlign w:val="bottom"/>
          </w:tcPr>
          <w:p w14:paraId="4E4003F9"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08E55382" w14:textId="77777777" w:rsidR="00333B9C" w:rsidRPr="00333B9C" w:rsidRDefault="00333B9C" w:rsidP="00333B9C">
            <w:pPr>
              <w:rPr>
                <w:rFonts w:ascii="Calibri" w:hAnsi="Calibri" w:cs="Calibri"/>
                <w:color w:val="000000"/>
                <w:sz w:val="16"/>
              </w:rPr>
            </w:pPr>
          </w:p>
        </w:tc>
      </w:tr>
      <w:tr w:rsidR="00333B9C" w:rsidRPr="00C81B78" w14:paraId="1BF2503D" w14:textId="77777777" w:rsidTr="00C04EDE">
        <w:trPr>
          <w:trHeight w:val="300"/>
          <w:jc w:val="center"/>
        </w:trPr>
        <w:tc>
          <w:tcPr>
            <w:tcW w:w="2547" w:type="dxa"/>
            <w:tcBorders>
              <w:top w:val="nil"/>
              <w:left w:val="single" w:sz="4" w:space="0" w:color="auto"/>
              <w:bottom w:val="nil"/>
            </w:tcBorders>
            <w:shd w:val="clear" w:color="auto" w:fill="auto"/>
            <w:noWrap/>
            <w:vAlign w:val="center"/>
          </w:tcPr>
          <w:p w14:paraId="007AB6F7" w14:textId="11F6492C"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6</w:t>
            </w:r>
          </w:p>
        </w:tc>
        <w:tc>
          <w:tcPr>
            <w:tcW w:w="2556" w:type="dxa"/>
            <w:tcBorders>
              <w:top w:val="nil"/>
              <w:left w:val="nil"/>
              <w:bottom w:val="nil"/>
              <w:right w:val="nil"/>
            </w:tcBorders>
            <w:shd w:val="clear" w:color="000000" w:fill="FFFFFF"/>
            <w:noWrap/>
            <w:vAlign w:val="bottom"/>
          </w:tcPr>
          <w:p w14:paraId="7EC9C2FF" w14:textId="47637008"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14 (0.5%)</w:t>
            </w:r>
          </w:p>
        </w:tc>
        <w:tc>
          <w:tcPr>
            <w:tcW w:w="1701" w:type="dxa"/>
            <w:tcBorders>
              <w:top w:val="nil"/>
              <w:left w:val="nil"/>
              <w:bottom w:val="nil"/>
              <w:right w:val="nil"/>
            </w:tcBorders>
            <w:shd w:val="clear" w:color="000000" w:fill="FFFFFF"/>
            <w:noWrap/>
            <w:vAlign w:val="bottom"/>
          </w:tcPr>
          <w:p w14:paraId="1D4AA35B" w14:textId="4CCDB69A"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53699CAB" w14:textId="0AE307AB"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14 (1.2%)</w:t>
            </w:r>
          </w:p>
        </w:tc>
        <w:tc>
          <w:tcPr>
            <w:tcW w:w="1701" w:type="dxa"/>
            <w:tcBorders>
              <w:top w:val="nil"/>
              <w:left w:val="nil"/>
              <w:bottom w:val="nil"/>
              <w:right w:val="nil"/>
            </w:tcBorders>
            <w:shd w:val="clear" w:color="000000" w:fill="FFFFFF"/>
            <w:noWrap/>
            <w:vAlign w:val="bottom"/>
          </w:tcPr>
          <w:p w14:paraId="15AC3852"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0AF9605C" w14:textId="77777777" w:rsidR="00333B9C" w:rsidRPr="00333B9C" w:rsidRDefault="00333B9C" w:rsidP="00333B9C">
            <w:pPr>
              <w:rPr>
                <w:rFonts w:ascii="Calibri" w:hAnsi="Calibri" w:cs="Calibri"/>
                <w:color w:val="000000"/>
                <w:sz w:val="16"/>
              </w:rPr>
            </w:pPr>
          </w:p>
        </w:tc>
      </w:tr>
      <w:tr w:rsidR="00333B9C" w:rsidRPr="00C81B78" w14:paraId="66296A13" w14:textId="77777777" w:rsidTr="00C04EDE">
        <w:trPr>
          <w:trHeight w:val="60"/>
          <w:jc w:val="center"/>
        </w:trPr>
        <w:tc>
          <w:tcPr>
            <w:tcW w:w="2547" w:type="dxa"/>
            <w:tcBorders>
              <w:top w:val="nil"/>
              <w:left w:val="single" w:sz="4" w:space="0" w:color="auto"/>
              <w:bottom w:val="nil"/>
            </w:tcBorders>
            <w:shd w:val="clear" w:color="auto" w:fill="auto"/>
            <w:noWrap/>
            <w:vAlign w:val="center"/>
          </w:tcPr>
          <w:p w14:paraId="29111B91" w14:textId="6F45EC75" w:rsidR="00333B9C" w:rsidRPr="00333B9C" w:rsidRDefault="00333B9C" w:rsidP="00333B9C">
            <w:pPr>
              <w:jc w:val="right"/>
              <w:rPr>
                <w:rFonts w:eastAsia="Times New Roman" w:cs="Calibri"/>
                <w:color w:val="000000"/>
                <w:lang w:eastAsia="fr-FR"/>
              </w:rPr>
            </w:pPr>
            <w:r w:rsidRPr="00333B9C">
              <w:rPr>
                <w:rFonts w:eastAsia="Times New Roman" w:cs="Calibri"/>
                <w:color w:val="000000"/>
                <w:lang w:eastAsia="fr-FR"/>
              </w:rPr>
              <w:t>7</w:t>
            </w:r>
          </w:p>
        </w:tc>
        <w:tc>
          <w:tcPr>
            <w:tcW w:w="2556" w:type="dxa"/>
            <w:tcBorders>
              <w:top w:val="nil"/>
              <w:left w:val="nil"/>
              <w:bottom w:val="nil"/>
              <w:right w:val="nil"/>
            </w:tcBorders>
            <w:shd w:val="clear" w:color="000000" w:fill="FFFFFF"/>
            <w:noWrap/>
            <w:vAlign w:val="bottom"/>
          </w:tcPr>
          <w:p w14:paraId="105B4865" w14:textId="42A9D6CE"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4 (0.1%)</w:t>
            </w:r>
          </w:p>
        </w:tc>
        <w:tc>
          <w:tcPr>
            <w:tcW w:w="1701" w:type="dxa"/>
            <w:tcBorders>
              <w:top w:val="nil"/>
              <w:left w:val="nil"/>
              <w:bottom w:val="nil"/>
              <w:right w:val="nil"/>
            </w:tcBorders>
            <w:shd w:val="clear" w:color="000000" w:fill="FFFFFF"/>
            <w:noWrap/>
            <w:vAlign w:val="bottom"/>
          </w:tcPr>
          <w:p w14:paraId="18F4FF72" w14:textId="08A272B5"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09F86719" w14:textId="5B17435F" w:rsidR="00333B9C" w:rsidRPr="00333B9C" w:rsidRDefault="00333B9C" w:rsidP="00333B9C">
            <w:pPr>
              <w:jc w:val="center"/>
              <w:rPr>
                <w:rFonts w:eastAsia="Times New Roman" w:cs="Calibri"/>
                <w:b/>
                <w:color w:val="000000"/>
                <w:sz w:val="16"/>
                <w:lang w:eastAsia="fr-FR"/>
              </w:rPr>
            </w:pPr>
            <w:r>
              <w:rPr>
                <w:rFonts w:ascii="Calibri" w:hAnsi="Calibri" w:cs="Calibri"/>
                <w:color w:val="000000"/>
              </w:rPr>
              <w:t>4 (0.4%)</w:t>
            </w:r>
          </w:p>
        </w:tc>
        <w:tc>
          <w:tcPr>
            <w:tcW w:w="1701" w:type="dxa"/>
            <w:tcBorders>
              <w:top w:val="nil"/>
              <w:left w:val="nil"/>
              <w:bottom w:val="nil"/>
              <w:right w:val="nil"/>
            </w:tcBorders>
            <w:shd w:val="clear" w:color="000000" w:fill="FFFFFF"/>
            <w:noWrap/>
            <w:vAlign w:val="bottom"/>
          </w:tcPr>
          <w:p w14:paraId="1997E3C8" w14:textId="77777777" w:rsidR="00333B9C" w:rsidRPr="00333B9C" w:rsidRDefault="00333B9C" w:rsidP="00333B9C">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730A1DE2" w14:textId="77777777" w:rsidR="00333B9C" w:rsidRPr="00333B9C" w:rsidRDefault="00333B9C" w:rsidP="00333B9C">
            <w:pPr>
              <w:rPr>
                <w:rFonts w:ascii="Calibri" w:hAnsi="Calibri" w:cs="Calibri"/>
                <w:color w:val="000000"/>
                <w:sz w:val="16"/>
              </w:rPr>
            </w:pPr>
          </w:p>
        </w:tc>
      </w:tr>
      <w:tr w:rsidR="0023047F" w:rsidRPr="0009503D" w14:paraId="720683A5" w14:textId="77777777" w:rsidTr="00C04EDE">
        <w:trPr>
          <w:trHeight w:val="60"/>
          <w:jc w:val="center"/>
        </w:trPr>
        <w:tc>
          <w:tcPr>
            <w:tcW w:w="2547" w:type="dxa"/>
            <w:noWrap/>
          </w:tcPr>
          <w:p w14:paraId="325AA4B8" w14:textId="306563FC" w:rsidR="0023047F" w:rsidRPr="0023047F" w:rsidRDefault="0023047F" w:rsidP="0023047F">
            <w:pPr>
              <w:jc w:val="right"/>
              <w:rPr>
                <w:rFonts w:eastAsia="Times New Roman" w:cs="Calibri"/>
                <w:b/>
                <w:color w:val="000000"/>
                <w:lang w:val="en-US" w:eastAsia="fr-FR"/>
              </w:rPr>
            </w:pPr>
            <w:r w:rsidRPr="0023047F">
              <w:rPr>
                <w:rFonts w:ascii="Calibri" w:hAnsi="Calibri" w:cs="Calibri"/>
                <w:b/>
                <w:color w:val="000000"/>
                <w:lang w:val="en-US"/>
              </w:rPr>
              <w:t>Type of IL-6R inhibitor</w:t>
            </w:r>
          </w:p>
        </w:tc>
        <w:tc>
          <w:tcPr>
            <w:tcW w:w="2556" w:type="dxa"/>
            <w:tcBorders>
              <w:top w:val="nil"/>
              <w:left w:val="nil"/>
              <w:bottom w:val="nil"/>
              <w:right w:val="nil"/>
            </w:tcBorders>
            <w:shd w:val="clear" w:color="000000" w:fill="FFFFFF"/>
            <w:noWrap/>
            <w:vAlign w:val="bottom"/>
          </w:tcPr>
          <w:p w14:paraId="5A6E0361" w14:textId="77777777" w:rsidR="0023047F" w:rsidRPr="0023047F" w:rsidRDefault="0023047F" w:rsidP="0023047F">
            <w:pPr>
              <w:jc w:val="center"/>
              <w:rPr>
                <w:rFonts w:ascii="Calibri" w:hAnsi="Calibri" w:cs="Calibri"/>
                <w:color w:val="000000"/>
                <w:lang w:val="en-US"/>
              </w:rPr>
            </w:pPr>
          </w:p>
        </w:tc>
        <w:tc>
          <w:tcPr>
            <w:tcW w:w="1701" w:type="dxa"/>
            <w:tcBorders>
              <w:top w:val="nil"/>
              <w:left w:val="nil"/>
              <w:bottom w:val="nil"/>
              <w:right w:val="nil"/>
            </w:tcBorders>
            <w:shd w:val="clear" w:color="000000" w:fill="FFFFFF"/>
            <w:noWrap/>
            <w:vAlign w:val="bottom"/>
          </w:tcPr>
          <w:p w14:paraId="49848697" w14:textId="77777777" w:rsidR="0023047F" w:rsidRPr="0023047F" w:rsidRDefault="0023047F" w:rsidP="0023047F">
            <w:pPr>
              <w:jc w:val="center"/>
              <w:rPr>
                <w:rFonts w:ascii="Calibri" w:hAnsi="Calibri" w:cs="Calibri"/>
                <w:color w:val="000000"/>
                <w:lang w:val="en-US"/>
              </w:rPr>
            </w:pPr>
          </w:p>
        </w:tc>
        <w:tc>
          <w:tcPr>
            <w:tcW w:w="1701" w:type="dxa"/>
            <w:tcBorders>
              <w:top w:val="nil"/>
              <w:left w:val="nil"/>
              <w:bottom w:val="nil"/>
              <w:right w:val="nil"/>
            </w:tcBorders>
            <w:shd w:val="clear" w:color="000000" w:fill="FFFFFF"/>
            <w:noWrap/>
            <w:vAlign w:val="bottom"/>
          </w:tcPr>
          <w:p w14:paraId="7C2C2D56" w14:textId="77777777" w:rsidR="0023047F" w:rsidRPr="0023047F" w:rsidRDefault="0023047F" w:rsidP="0023047F">
            <w:pPr>
              <w:jc w:val="center"/>
              <w:rPr>
                <w:rFonts w:ascii="Calibri" w:hAnsi="Calibri" w:cs="Calibri"/>
                <w:color w:val="000000"/>
                <w:lang w:val="en-US"/>
              </w:rPr>
            </w:pPr>
          </w:p>
        </w:tc>
        <w:tc>
          <w:tcPr>
            <w:tcW w:w="1701" w:type="dxa"/>
            <w:tcBorders>
              <w:top w:val="nil"/>
              <w:left w:val="nil"/>
              <w:bottom w:val="nil"/>
              <w:right w:val="nil"/>
            </w:tcBorders>
            <w:shd w:val="clear" w:color="000000" w:fill="FFFFFF"/>
            <w:noWrap/>
            <w:vAlign w:val="bottom"/>
          </w:tcPr>
          <w:p w14:paraId="45D43E51" w14:textId="77777777" w:rsidR="0023047F" w:rsidRPr="0023047F" w:rsidRDefault="0023047F" w:rsidP="0023047F">
            <w:pPr>
              <w:rPr>
                <w:rFonts w:eastAsia="Times New Roman" w:cs="Calibri"/>
                <w:b/>
                <w:color w:val="000000"/>
                <w:sz w:val="16"/>
                <w:lang w:val="en-US" w:eastAsia="fr-FR"/>
              </w:rPr>
            </w:pPr>
          </w:p>
        </w:tc>
        <w:tc>
          <w:tcPr>
            <w:tcW w:w="863" w:type="dxa"/>
            <w:tcBorders>
              <w:top w:val="nil"/>
              <w:bottom w:val="nil"/>
              <w:right w:val="single" w:sz="4" w:space="0" w:color="auto"/>
            </w:tcBorders>
            <w:shd w:val="clear" w:color="auto" w:fill="auto"/>
            <w:noWrap/>
            <w:vAlign w:val="bottom"/>
          </w:tcPr>
          <w:p w14:paraId="7A678FD9" w14:textId="77777777" w:rsidR="0023047F" w:rsidRPr="0023047F" w:rsidRDefault="0023047F" w:rsidP="0023047F">
            <w:pPr>
              <w:rPr>
                <w:rFonts w:ascii="Calibri" w:hAnsi="Calibri" w:cs="Calibri"/>
                <w:color w:val="000000"/>
                <w:sz w:val="16"/>
                <w:lang w:val="en-US"/>
              </w:rPr>
            </w:pPr>
          </w:p>
        </w:tc>
      </w:tr>
      <w:tr w:rsidR="00671932" w:rsidRPr="00C81B78" w14:paraId="02EA9C7D" w14:textId="77777777" w:rsidTr="00334753">
        <w:trPr>
          <w:trHeight w:val="60"/>
          <w:jc w:val="center"/>
        </w:trPr>
        <w:tc>
          <w:tcPr>
            <w:tcW w:w="2547" w:type="dxa"/>
            <w:noWrap/>
          </w:tcPr>
          <w:p w14:paraId="17AAB3E2" w14:textId="3CB99762" w:rsidR="00671932" w:rsidRPr="00333B9C" w:rsidRDefault="00671932" w:rsidP="00671932">
            <w:pPr>
              <w:jc w:val="right"/>
              <w:rPr>
                <w:rFonts w:eastAsia="Times New Roman" w:cs="Calibri"/>
                <w:color w:val="000000"/>
                <w:lang w:eastAsia="fr-FR"/>
              </w:rPr>
            </w:pPr>
            <w:proofErr w:type="spellStart"/>
            <w:r w:rsidRPr="00247B7E">
              <w:rPr>
                <w:rFonts w:ascii="Calibri" w:hAnsi="Calibri" w:cs="Calibri"/>
                <w:color w:val="000000"/>
                <w:lang w:val="en-US"/>
              </w:rPr>
              <w:t>Sarilumab</w:t>
            </w:r>
            <w:proofErr w:type="spellEnd"/>
          </w:p>
        </w:tc>
        <w:tc>
          <w:tcPr>
            <w:tcW w:w="2556" w:type="dxa"/>
            <w:tcBorders>
              <w:top w:val="nil"/>
              <w:left w:val="nil"/>
              <w:bottom w:val="nil"/>
              <w:right w:val="nil"/>
            </w:tcBorders>
            <w:shd w:val="clear" w:color="000000" w:fill="FFFFFF"/>
            <w:noWrap/>
            <w:vAlign w:val="bottom"/>
          </w:tcPr>
          <w:p w14:paraId="0AC3AF6F" w14:textId="72DF645B" w:rsidR="00671932" w:rsidRDefault="00671932" w:rsidP="00671932">
            <w:pPr>
              <w:jc w:val="center"/>
              <w:rPr>
                <w:rFonts w:ascii="Calibri" w:hAnsi="Calibri" w:cs="Calibri"/>
                <w:color w:val="000000"/>
              </w:rPr>
            </w:pPr>
            <w:r>
              <w:rPr>
                <w:rFonts w:ascii="Calibri" w:hAnsi="Calibri" w:cs="Calibri"/>
                <w:color w:val="000000"/>
              </w:rPr>
              <w:t>2356 (91.39%)</w:t>
            </w:r>
          </w:p>
        </w:tc>
        <w:tc>
          <w:tcPr>
            <w:tcW w:w="1701" w:type="dxa"/>
            <w:tcBorders>
              <w:top w:val="nil"/>
              <w:left w:val="nil"/>
              <w:bottom w:val="nil"/>
              <w:right w:val="nil"/>
            </w:tcBorders>
            <w:shd w:val="clear" w:color="000000" w:fill="FFFFFF"/>
            <w:noWrap/>
            <w:vAlign w:val="bottom"/>
          </w:tcPr>
          <w:p w14:paraId="102DEFFF" w14:textId="7F19DA2F" w:rsidR="00671932" w:rsidRDefault="00671932" w:rsidP="00671932">
            <w:pPr>
              <w:jc w:val="center"/>
              <w:rPr>
                <w:rFonts w:ascii="Calibri" w:hAnsi="Calibri" w:cs="Calibri"/>
                <w:color w:val="000000"/>
              </w:rPr>
            </w:pPr>
            <w:r>
              <w:rPr>
                <w:rFonts w:ascii="Calibri" w:hAnsi="Calibri" w:cs="Calibri"/>
                <w:color w:val="000000"/>
              </w:rPr>
              <w:t>1374 (90.81%)</w:t>
            </w:r>
          </w:p>
        </w:tc>
        <w:tc>
          <w:tcPr>
            <w:tcW w:w="1701" w:type="dxa"/>
            <w:tcBorders>
              <w:top w:val="nil"/>
              <w:left w:val="nil"/>
              <w:bottom w:val="nil"/>
              <w:right w:val="nil"/>
            </w:tcBorders>
            <w:shd w:val="clear" w:color="000000" w:fill="FFFFFF"/>
            <w:noWrap/>
            <w:vAlign w:val="bottom"/>
          </w:tcPr>
          <w:p w14:paraId="4D5CC5BB" w14:textId="1DD44944" w:rsidR="00671932" w:rsidRDefault="00671932" w:rsidP="00671932">
            <w:pPr>
              <w:jc w:val="center"/>
              <w:rPr>
                <w:rFonts w:ascii="Calibri" w:hAnsi="Calibri" w:cs="Calibri"/>
                <w:color w:val="000000"/>
              </w:rPr>
            </w:pPr>
            <w:r>
              <w:rPr>
                <w:rFonts w:ascii="Calibri" w:hAnsi="Calibri" w:cs="Calibri"/>
                <w:color w:val="000000"/>
              </w:rPr>
              <w:t>982 (92.21%)</w:t>
            </w:r>
          </w:p>
        </w:tc>
        <w:tc>
          <w:tcPr>
            <w:tcW w:w="1701" w:type="dxa"/>
            <w:tcBorders>
              <w:top w:val="nil"/>
              <w:left w:val="nil"/>
              <w:bottom w:val="nil"/>
              <w:right w:val="nil"/>
            </w:tcBorders>
            <w:shd w:val="clear" w:color="000000" w:fill="FFFFFF"/>
            <w:noWrap/>
            <w:vAlign w:val="bottom"/>
          </w:tcPr>
          <w:p w14:paraId="7B1A6455" w14:textId="740B89D8" w:rsidR="00671932" w:rsidRPr="00333B9C" w:rsidRDefault="00671932" w:rsidP="00671932">
            <w:pPr>
              <w:rPr>
                <w:rFonts w:eastAsia="Times New Roman" w:cs="Calibri"/>
                <w:b/>
                <w:color w:val="000000"/>
                <w:sz w:val="16"/>
                <w:lang w:eastAsia="fr-FR"/>
              </w:rPr>
            </w:pPr>
            <w:r>
              <w:rPr>
                <w:rFonts w:ascii="Calibri" w:hAnsi="Calibri" w:cs="Calibri"/>
                <w:color w:val="000000"/>
              </w:rPr>
              <w:t>1</w:t>
            </w:r>
          </w:p>
        </w:tc>
        <w:tc>
          <w:tcPr>
            <w:tcW w:w="863" w:type="dxa"/>
            <w:tcBorders>
              <w:top w:val="nil"/>
              <w:left w:val="nil"/>
              <w:bottom w:val="nil"/>
              <w:right w:val="single" w:sz="4" w:space="0" w:color="auto"/>
            </w:tcBorders>
            <w:shd w:val="clear" w:color="000000" w:fill="FFFFFF"/>
            <w:noWrap/>
            <w:vAlign w:val="bottom"/>
          </w:tcPr>
          <w:p w14:paraId="3E880312" w14:textId="79B422FE" w:rsidR="00671932" w:rsidRPr="00333B9C" w:rsidRDefault="00671932" w:rsidP="00671932">
            <w:pPr>
              <w:rPr>
                <w:rFonts w:ascii="Calibri" w:hAnsi="Calibri" w:cs="Calibri"/>
                <w:color w:val="000000"/>
                <w:sz w:val="16"/>
              </w:rPr>
            </w:pPr>
            <w:r>
              <w:rPr>
                <w:rFonts w:ascii="Calibri" w:hAnsi="Calibri" w:cs="Calibri"/>
                <w:color w:val="000000"/>
              </w:rPr>
              <w:t>0,21</w:t>
            </w:r>
          </w:p>
        </w:tc>
      </w:tr>
      <w:tr w:rsidR="00671932" w:rsidRPr="00C81B78" w14:paraId="7AB95CD6" w14:textId="77777777" w:rsidTr="00334753">
        <w:trPr>
          <w:trHeight w:val="60"/>
          <w:jc w:val="center"/>
        </w:trPr>
        <w:tc>
          <w:tcPr>
            <w:tcW w:w="2547" w:type="dxa"/>
            <w:noWrap/>
          </w:tcPr>
          <w:p w14:paraId="5E550824" w14:textId="36F16677" w:rsidR="00671932" w:rsidRPr="00333B9C" w:rsidRDefault="00671932" w:rsidP="00671932">
            <w:pPr>
              <w:jc w:val="right"/>
              <w:rPr>
                <w:rFonts w:eastAsia="Times New Roman" w:cs="Calibri"/>
                <w:color w:val="000000"/>
                <w:lang w:eastAsia="fr-FR"/>
              </w:rPr>
            </w:pPr>
            <w:proofErr w:type="spellStart"/>
            <w:r>
              <w:rPr>
                <w:rFonts w:eastAsia="Times New Roman" w:cs="Calibri"/>
                <w:color w:val="000000"/>
                <w:lang w:val="en-US" w:eastAsia="fr-FR"/>
              </w:rPr>
              <w:t>Tocilizumab</w:t>
            </w:r>
            <w:proofErr w:type="spellEnd"/>
          </w:p>
        </w:tc>
        <w:tc>
          <w:tcPr>
            <w:tcW w:w="2556" w:type="dxa"/>
            <w:tcBorders>
              <w:top w:val="nil"/>
              <w:left w:val="nil"/>
              <w:bottom w:val="nil"/>
              <w:right w:val="nil"/>
            </w:tcBorders>
            <w:shd w:val="clear" w:color="000000" w:fill="FFFFFF"/>
            <w:noWrap/>
            <w:vAlign w:val="bottom"/>
          </w:tcPr>
          <w:p w14:paraId="7F2639F2" w14:textId="0EAF7079" w:rsidR="00671932" w:rsidRDefault="00671932" w:rsidP="00671932">
            <w:pPr>
              <w:jc w:val="center"/>
              <w:rPr>
                <w:rFonts w:ascii="Calibri" w:hAnsi="Calibri" w:cs="Calibri"/>
                <w:color w:val="000000"/>
              </w:rPr>
            </w:pPr>
            <w:r>
              <w:rPr>
                <w:rFonts w:ascii="Calibri" w:hAnsi="Calibri" w:cs="Calibri"/>
                <w:color w:val="000000"/>
              </w:rPr>
              <w:t>222 (8.61%)</w:t>
            </w:r>
          </w:p>
        </w:tc>
        <w:tc>
          <w:tcPr>
            <w:tcW w:w="1701" w:type="dxa"/>
            <w:tcBorders>
              <w:top w:val="nil"/>
              <w:left w:val="nil"/>
              <w:bottom w:val="nil"/>
              <w:right w:val="nil"/>
            </w:tcBorders>
            <w:shd w:val="clear" w:color="000000" w:fill="FFFFFF"/>
            <w:noWrap/>
            <w:vAlign w:val="bottom"/>
          </w:tcPr>
          <w:p w14:paraId="7889F631" w14:textId="7B7A91B8" w:rsidR="00671932" w:rsidRDefault="00671932" w:rsidP="00671932">
            <w:pPr>
              <w:jc w:val="center"/>
              <w:rPr>
                <w:rFonts w:ascii="Calibri" w:hAnsi="Calibri" w:cs="Calibri"/>
                <w:color w:val="000000"/>
              </w:rPr>
            </w:pPr>
            <w:r>
              <w:rPr>
                <w:rFonts w:ascii="Calibri" w:hAnsi="Calibri" w:cs="Calibri"/>
                <w:color w:val="000000"/>
              </w:rPr>
              <w:t>139 (9.19%)</w:t>
            </w:r>
          </w:p>
        </w:tc>
        <w:tc>
          <w:tcPr>
            <w:tcW w:w="1701" w:type="dxa"/>
            <w:tcBorders>
              <w:top w:val="nil"/>
              <w:left w:val="nil"/>
              <w:bottom w:val="nil"/>
              <w:right w:val="nil"/>
            </w:tcBorders>
            <w:shd w:val="clear" w:color="000000" w:fill="FFFFFF"/>
            <w:noWrap/>
            <w:vAlign w:val="bottom"/>
          </w:tcPr>
          <w:p w14:paraId="5FB6AA9D" w14:textId="28352FCA" w:rsidR="00671932" w:rsidRDefault="00671932" w:rsidP="00671932">
            <w:pPr>
              <w:jc w:val="center"/>
              <w:rPr>
                <w:rFonts w:ascii="Calibri" w:hAnsi="Calibri" w:cs="Calibri"/>
                <w:color w:val="000000"/>
              </w:rPr>
            </w:pPr>
            <w:r>
              <w:rPr>
                <w:rFonts w:ascii="Calibri" w:hAnsi="Calibri" w:cs="Calibri"/>
                <w:color w:val="000000"/>
              </w:rPr>
              <w:t>83 (7.79%)</w:t>
            </w:r>
          </w:p>
        </w:tc>
        <w:tc>
          <w:tcPr>
            <w:tcW w:w="1701" w:type="dxa"/>
            <w:tcBorders>
              <w:top w:val="nil"/>
              <w:left w:val="nil"/>
              <w:bottom w:val="nil"/>
              <w:right w:val="nil"/>
            </w:tcBorders>
            <w:shd w:val="clear" w:color="000000" w:fill="FFFFFF"/>
            <w:noWrap/>
            <w:vAlign w:val="bottom"/>
          </w:tcPr>
          <w:p w14:paraId="7DBC29C4" w14:textId="1B771A3F" w:rsidR="00671932" w:rsidRPr="00333B9C" w:rsidRDefault="00671932" w:rsidP="00671932">
            <w:pPr>
              <w:rPr>
                <w:rFonts w:eastAsia="Times New Roman" w:cs="Calibri"/>
                <w:b/>
                <w:color w:val="000000"/>
                <w:sz w:val="16"/>
                <w:lang w:eastAsia="fr-FR"/>
              </w:rPr>
            </w:pPr>
            <w:r>
              <w:rPr>
                <w:rFonts w:ascii="Calibri" w:hAnsi="Calibri" w:cs="Calibri"/>
                <w:color w:val="000000"/>
              </w:rPr>
              <w:t>0.84 [0.63;1.11]</w:t>
            </w:r>
          </w:p>
        </w:tc>
        <w:tc>
          <w:tcPr>
            <w:tcW w:w="863" w:type="dxa"/>
            <w:tcBorders>
              <w:top w:val="nil"/>
              <w:left w:val="nil"/>
              <w:bottom w:val="nil"/>
              <w:right w:val="single" w:sz="4" w:space="0" w:color="auto"/>
            </w:tcBorders>
            <w:shd w:val="clear" w:color="000000" w:fill="FFFFFF"/>
            <w:noWrap/>
            <w:vAlign w:val="bottom"/>
          </w:tcPr>
          <w:p w14:paraId="369B3126" w14:textId="4336AFC3" w:rsidR="00671932" w:rsidRPr="00333B9C" w:rsidRDefault="00671932" w:rsidP="00671932">
            <w:pPr>
              <w:rPr>
                <w:rFonts w:ascii="Calibri" w:hAnsi="Calibri" w:cs="Calibri"/>
                <w:color w:val="000000"/>
                <w:sz w:val="16"/>
              </w:rPr>
            </w:pPr>
            <w:r>
              <w:rPr>
                <w:rFonts w:ascii="Calibri" w:hAnsi="Calibri" w:cs="Calibri"/>
                <w:color w:val="000000"/>
              </w:rPr>
              <w:t> </w:t>
            </w:r>
          </w:p>
        </w:tc>
      </w:tr>
      <w:tr w:rsidR="00671932" w:rsidRPr="00C81B78" w14:paraId="464A1F8F" w14:textId="77777777" w:rsidTr="00C04EDE">
        <w:trPr>
          <w:trHeight w:val="300"/>
          <w:jc w:val="center"/>
        </w:trPr>
        <w:tc>
          <w:tcPr>
            <w:tcW w:w="2547" w:type="dxa"/>
            <w:tcBorders>
              <w:top w:val="nil"/>
            </w:tcBorders>
            <w:shd w:val="clear" w:color="auto" w:fill="auto"/>
            <w:noWrap/>
            <w:vAlign w:val="center"/>
          </w:tcPr>
          <w:p w14:paraId="2A41B1EF" w14:textId="2365E605" w:rsidR="00671932" w:rsidRDefault="00671932" w:rsidP="00671932">
            <w:pPr>
              <w:rPr>
                <w:rFonts w:eastAsia="Times New Roman" w:cs="Calibri"/>
                <w:b/>
                <w:color w:val="000000"/>
                <w:lang w:eastAsia="fr-FR"/>
              </w:rPr>
            </w:pPr>
            <w:r>
              <w:rPr>
                <w:rFonts w:eastAsia="Times New Roman" w:cs="Calibri"/>
                <w:b/>
                <w:color w:val="000000"/>
                <w:lang w:eastAsia="fr-FR"/>
              </w:rPr>
              <w:t xml:space="preserve">Infection </w:t>
            </w:r>
            <w:proofErr w:type="spellStart"/>
            <w:r>
              <w:rPr>
                <w:rFonts w:eastAsia="Times New Roman" w:cs="Calibri"/>
                <w:b/>
                <w:color w:val="000000"/>
                <w:lang w:eastAsia="fr-FR"/>
              </w:rPr>
              <w:t>during</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hospital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stay</w:t>
            </w:r>
            <w:proofErr w:type="spellEnd"/>
          </w:p>
        </w:tc>
        <w:tc>
          <w:tcPr>
            <w:tcW w:w="2556" w:type="dxa"/>
            <w:tcBorders>
              <w:top w:val="nil"/>
              <w:left w:val="nil"/>
              <w:bottom w:val="nil"/>
              <w:right w:val="nil"/>
            </w:tcBorders>
            <w:shd w:val="clear" w:color="000000" w:fill="FFFFFF"/>
            <w:noWrap/>
            <w:vAlign w:val="bottom"/>
          </w:tcPr>
          <w:p w14:paraId="3553EC20" w14:textId="232E3ED2" w:rsidR="00671932" w:rsidRPr="009B46ED" w:rsidRDefault="00671932" w:rsidP="00671932">
            <w:pPr>
              <w:rPr>
                <w:rFonts w:eastAsia="Times New Roman" w:cs="Calibri"/>
                <w:b/>
                <w:color w:val="000000"/>
                <w:lang w:eastAsia="fr-FR"/>
              </w:rPr>
            </w:pPr>
            <w:r>
              <w:rPr>
                <w:rFonts w:ascii="Calibri" w:hAnsi="Calibri" w:cs="Calibri"/>
                <w:color w:val="000000"/>
              </w:rPr>
              <w:t>562 (20.62%)</w:t>
            </w:r>
          </w:p>
        </w:tc>
        <w:tc>
          <w:tcPr>
            <w:tcW w:w="1701" w:type="dxa"/>
            <w:tcBorders>
              <w:top w:val="nil"/>
              <w:left w:val="nil"/>
              <w:bottom w:val="nil"/>
              <w:right w:val="nil"/>
            </w:tcBorders>
            <w:shd w:val="clear" w:color="000000" w:fill="FFFFFF"/>
            <w:noWrap/>
            <w:vAlign w:val="bottom"/>
          </w:tcPr>
          <w:p w14:paraId="6F965A58" w14:textId="402CC373" w:rsidR="00671932" w:rsidRPr="009B46ED" w:rsidRDefault="00671932" w:rsidP="00671932">
            <w:pPr>
              <w:rPr>
                <w:rFonts w:eastAsia="Times New Roman" w:cs="Calibri"/>
                <w:b/>
                <w:color w:val="000000"/>
                <w:lang w:eastAsia="fr-FR"/>
              </w:rPr>
            </w:pPr>
            <w:r>
              <w:rPr>
                <w:rFonts w:ascii="Calibri" w:hAnsi="Calibri" w:cs="Calibri"/>
                <w:color w:val="000000"/>
              </w:rPr>
              <w:t>311 (19.41%)</w:t>
            </w:r>
          </w:p>
        </w:tc>
        <w:tc>
          <w:tcPr>
            <w:tcW w:w="1701" w:type="dxa"/>
            <w:tcBorders>
              <w:top w:val="nil"/>
              <w:left w:val="nil"/>
              <w:bottom w:val="nil"/>
              <w:right w:val="nil"/>
            </w:tcBorders>
            <w:shd w:val="clear" w:color="000000" w:fill="FFFFFF"/>
            <w:noWrap/>
            <w:vAlign w:val="bottom"/>
          </w:tcPr>
          <w:p w14:paraId="7614D02F" w14:textId="1052DF5B" w:rsidR="00671932" w:rsidRPr="009B46ED" w:rsidRDefault="00671932" w:rsidP="00671932">
            <w:pPr>
              <w:rPr>
                <w:rFonts w:eastAsia="Times New Roman" w:cs="Calibri"/>
                <w:b/>
                <w:color w:val="000000"/>
                <w:lang w:eastAsia="fr-FR"/>
              </w:rPr>
            </w:pPr>
            <w:r>
              <w:rPr>
                <w:rFonts w:ascii="Calibri" w:hAnsi="Calibri" w:cs="Calibri"/>
                <w:color w:val="000000"/>
              </w:rPr>
              <w:t>251 (22.33%)</w:t>
            </w:r>
          </w:p>
        </w:tc>
        <w:tc>
          <w:tcPr>
            <w:tcW w:w="1701" w:type="dxa"/>
            <w:tcBorders>
              <w:top w:val="nil"/>
              <w:left w:val="nil"/>
              <w:bottom w:val="nil"/>
              <w:right w:val="nil"/>
            </w:tcBorders>
            <w:shd w:val="clear" w:color="000000" w:fill="FFFFFF"/>
            <w:noWrap/>
            <w:vAlign w:val="bottom"/>
          </w:tcPr>
          <w:p w14:paraId="1783A2C6" w14:textId="564F71F6" w:rsidR="00671932" w:rsidRPr="009B46ED" w:rsidRDefault="00671932" w:rsidP="00671932">
            <w:pPr>
              <w:rPr>
                <w:rFonts w:eastAsia="Times New Roman" w:cs="Calibri"/>
                <w:b/>
                <w:color w:val="000000"/>
                <w:lang w:eastAsia="fr-FR"/>
              </w:rPr>
            </w:pPr>
            <w:r>
              <w:rPr>
                <w:rFonts w:ascii="Calibri" w:hAnsi="Calibri" w:cs="Calibri"/>
                <w:color w:val="000000"/>
              </w:rPr>
              <w:t>1.19 [0.99;1.44]</w:t>
            </w:r>
          </w:p>
        </w:tc>
        <w:tc>
          <w:tcPr>
            <w:tcW w:w="863" w:type="dxa"/>
            <w:tcBorders>
              <w:top w:val="nil"/>
              <w:bottom w:val="nil"/>
            </w:tcBorders>
            <w:shd w:val="clear" w:color="auto" w:fill="auto"/>
            <w:noWrap/>
            <w:vAlign w:val="bottom"/>
          </w:tcPr>
          <w:p w14:paraId="3008379C" w14:textId="242B44C1" w:rsidR="00671932" w:rsidRPr="00C81B78" w:rsidRDefault="00671932" w:rsidP="00671932">
            <w:pPr>
              <w:rPr>
                <w:rFonts w:ascii="Calibri" w:hAnsi="Calibri" w:cs="Calibri"/>
                <w:color w:val="000000"/>
              </w:rPr>
            </w:pPr>
            <w:r>
              <w:rPr>
                <w:rFonts w:ascii="Calibri" w:hAnsi="Calibri" w:cs="Calibri"/>
                <w:color w:val="000000"/>
              </w:rPr>
              <w:t>0,06</w:t>
            </w:r>
          </w:p>
        </w:tc>
      </w:tr>
      <w:tr w:rsidR="00671932" w:rsidRPr="00C81B78" w14:paraId="649E8B4E" w14:textId="77777777" w:rsidTr="00C04EDE">
        <w:trPr>
          <w:trHeight w:val="300"/>
          <w:jc w:val="center"/>
        </w:trPr>
        <w:tc>
          <w:tcPr>
            <w:tcW w:w="2547" w:type="dxa"/>
            <w:shd w:val="clear" w:color="auto" w:fill="auto"/>
            <w:noWrap/>
            <w:vAlign w:val="center"/>
            <w:hideMark/>
          </w:tcPr>
          <w:p w14:paraId="4D72B4F8" w14:textId="77777777" w:rsidR="00671932" w:rsidRPr="009B46ED" w:rsidRDefault="00671932" w:rsidP="00671932">
            <w:pPr>
              <w:rPr>
                <w:rFonts w:eastAsia="Times New Roman" w:cs="Calibri"/>
                <w:b/>
                <w:color w:val="000000"/>
                <w:lang w:eastAsia="fr-FR"/>
              </w:rPr>
            </w:pPr>
            <w:proofErr w:type="spellStart"/>
            <w:r>
              <w:rPr>
                <w:rFonts w:eastAsia="Times New Roman" w:cs="Calibri"/>
                <w:b/>
                <w:color w:val="000000"/>
                <w:lang w:eastAsia="fr-FR"/>
              </w:rPr>
              <w:t>Fungal</w:t>
            </w:r>
            <w:proofErr w:type="spellEnd"/>
            <w:r>
              <w:rPr>
                <w:rFonts w:eastAsia="Times New Roman" w:cs="Calibri"/>
                <w:b/>
                <w:color w:val="000000"/>
                <w:lang w:eastAsia="fr-FR"/>
              </w:rPr>
              <w:t xml:space="preserve"> infection </w:t>
            </w:r>
          </w:p>
        </w:tc>
        <w:tc>
          <w:tcPr>
            <w:tcW w:w="2556" w:type="dxa"/>
            <w:tcBorders>
              <w:top w:val="nil"/>
              <w:left w:val="nil"/>
              <w:bottom w:val="nil"/>
              <w:right w:val="nil"/>
            </w:tcBorders>
            <w:shd w:val="clear" w:color="000000" w:fill="FFFFFF"/>
            <w:noWrap/>
            <w:vAlign w:val="bottom"/>
          </w:tcPr>
          <w:p w14:paraId="44956BE7" w14:textId="42180079" w:rsidR="00671932" w:rsidRPr="009B46ED" w:rsidRDefault="00671932" w:rsidP="00671932">
            <w:pPr>
              <w:rPr>
                <w:rFonts w:eastAsia="Times New Roman" w:cs="Calibri"/>
                <w:b/>
                <w:color w:val="000000"/>
                <w:lang w:eastAsia="fr-FR"/>
              </w:rPr>
            </w:pPr>
            <w:r>
              <w:rPr>
                <w:rFonts w:ascii="Calibri" w:hAnsi="Calibri" w:cs="Calibri"/>
                <w:color w:val="000000"/>
              </w:rPr>
              <w:t>35 (1.28%)</w:t>
            </w:r>
          </w:p>
        </w:tc>
        <w:tc>
          <w:tcPr>
            <w:tcW w:w="1701" w:type="dxa"/>
            <w:tcBorders>
              <w:top w:val="nil"/>
              <w:left w:val="nil"/>
              <w:bottom w:val="nil"/>
              <w:right w:val="nil"/>
            </w:tcBorders>
            <w:shd w:val="clear" w:color="000000" w:fill="FFFFFF"/>
            <w:noWrap/>
            <w:vAlign w:val="bottom"/>
          </w:tcPr>
          <w:p w14:paraId="335966A5" w14:textId="2DD6EB17" w:rsidR="00671932" w:rsidRPr="009B46ED" w:rsidRDefault="00671932" w:rsidP="00671932">
            <w:pPr>
              <w:rPr>
                <w:rFonts w:eastAsia="Times New Roman" w:cs="Calibri"/>
                <w:b/>
                <w:color w:val="000000"/>
                <w:lang w:eastAsia="fr-FR"/>
              </w:rPr>
            </w:pPr>
            <w:r>
              <w:rPr>
                <w:rFonts w:ascii="Calibri" w:hAnsi="Calibri" w:cs="Calibri"/>
                <w:color w:val="000000"/>
              </w:rPr>
              <w:t>20 (1.25%)</w:t>
            </w:r>
          </w:p>
        </w:tc>
        <w:tc>
          <w:tcPr>
            <w:tcW w:w="1701" w:type="dxa"/>
            <w:tcBorders>
              <w:top w:val="nil"/>
              <w:left w:val="nil"/>
              <w:bottom w:val="nil"/>
              <w:right w:val="nil"/>
            </w:tcBorders>
            <w:shd w:val="clear" w:color="000000" w:fill="FFFFFF"/>
            <w:noWrap/>
            <w:vAlign w:val="bottom"/>
          </w:tcPr>
          <w:p w14:paraId="07C386BC" w14:textId="29058F9F" w:rsidR="00671932" w:rsidRPr="009B46ED" w:rsidRDefault="00671932" w:rsidP="00671932">
            <w:pPr>
              <w:rPr>
                <w:rFonts w:eastAsia="Times New Roman" w:cs="Calibri"/>
                <w:b/>
                <w:color w:val="000000"/>
                <w:lang w:eastAsia="fr-FR"/>
              </w:rPr>
            </w:pPr>
            <w:r>
              <w:rPr>
                <w:rFonts w:ascii="Calibri" w:hAnsi="Calibri" w:cs="Calibri"/>
                <w:color w:val="000000"/>
              </w:rPr>
              <w:t>15 (1.33%)</w:t>
            </w:r>
          </w:p>
        </w:tc>
        <w:tc>
          <w:tcPr>
            <w:tcW w:w="1701" w:type="dxa"/>
            <w:tcBorders>
              <w:top w:val="nil"/>
              <w:left w:val="nil"/>
              <w:bottom w:val="nil"/>
              <w:right w:val="nil"/>
            </w:tcBorders>
            <w:shd w:val="clear" w:color="000000" w:fill="FFFFFF"/>
            <w:noWrap/>
            <w:vAlign w:val="bottom"/>
          </w:tcPr>
          <w:p w14:paraId="73149603" w14:textId="55639E6D" w:rsidR="00671932" w:rsidRPr="009B46ED" w:rsidRDefault="00671932" w:rsidP="00671932">
            <w:pPr>
              <w:rPr>
                <w:rFonts w:eastAsia="Times New Roman" w:cs="Calibri"/>
                <w:b/>
                <w:color w:val="000000"/>
                <w:lang w:eastAsia="fr-FR"/>
              </w:rPr>
            </w:pPr>
            <w:r>
              <w:rPr>
                <w:rFonts w:ascii="Calibri" w:hAnsi="Calibri" w:cs="Calibri"/>
                <w:color w:val="000000"/>
              </w:rPr>
              <w:t>1.07 [0.55;2.10]</w:t>
            </w:r>
          </w:p>
        </w:tc>
        <w:tc>
          <w:tcPr>
            <w:tcW w:w="863" w:type="dxa"/>
            <w:tcBorders>
              <w:top w:val="nil"/>
              <w:bottom w:val="nil"/>
            </w:tcBorders>
            <w:shd w:val="clear" w:color="auto" w:fill="auto"/>
            <w:noWrap/>
            <w:vAlign w:val="bottom"/>
          </w:tcPr>
          <w:p w14:paraId="77CBE85F" w14:textId="62F868B9" w:rsidR="00671932" w:rsidRPr="00C81B78" w:rsidRDefault="00671932" w:rsidP="00671932">
            <w:pPr>
              <w:rPr>
                <w:rFonts w:ascii="Calibri" w:hAnsi="Calibri" w:cs="Calibri"/>
                <w:color w:val="000000"/>
              </w:rPr>
            </w:pPr>
            <w:r>
              <w:rPr>
                <w:rFonts w:ascii="Calibri" w:hAnsi="Calibri" w:cs="Calibri"/>
                <w:color w:val="000000"/>
              </w:rPr>
              <w:t>0,84</w:t>
            </w:r>
          </w:p>
        </w:tc>
      </w:tr>
      <w:tr w:rsidR="00671932" w:rsidRPr="00C81B78" w14:paraId="78E09AAD" w14:textId="77777777" w:rsidTr="00C04EDE">
        <w:trPr>
          <w:trHeight w:val="300"/>
          <w:jc w:val="center"/>
        </w:trPr>
        <w:tc>
          <w:tcPr>
            <w:tcW w:w="2547" w:type="dxa"/>
            <w:shd w:val="clear" w:color="auto" w:fill="auto"/>
            <w:noWrap/>
            <w:vAlign w:val="center"/>
            <w:hideMark/>
          </w:tcPr>
          <w:p w14:paraId="315326D9" w14:textId="77777777" w:rsidR="00671932" w:rsidRPr="009B46ED" w:rsidRDefault="00671932" w:rsidP="00671932">
            <w:pPr>
              <w:rPr>
                <w:rFonts w:eastAsia="Times New Roman" w:cs="Calibri"/>
                <w:b/>
                <w:color w:val="000000"/>
                <w:lang w:eastAsia="fr-FR"/>
              </w:rPr>
            </w:pPr>
            <w:r>
              <w:rPr>
                <w:rFonts w:eastAsia="Times New Roman" w:cs="Calibri"/>
                <w:b/>
                <w:color w:val="000000"/>
                <w:lang w:eastAsia="fr-FR"/>
              </w:rPr>
              <w:t xml:space="preserve">Viral infection </w:t>
            </w:r>
          </w:p>
        </w:tc>
        <w:tc>
          <w:tcPr>
            <w:tcW w:w="2556" w:type="dxa"/>
            <w:tcBorders>
              <w:top w:val="nil"/>
              <w:left w:val="nil"/>
              <w:bottom w:val="nil"/>
              <w:right w:val="nil"/>
            </w:tcBorders>
            <w:shd w:val="clear" w:color="000000" w:fill="FFFFFF"/>
            <w:noWrap/>
            <w:vAlign w:val="bottom"/>
          </w:tcPr>
          <w:p w14:paraId="5E0621CE" w14:textId="026B75EA" w:rsidR="00671932" w:rsidRPr="009B46ED" w:rsidRDefault="00671932" w:rsidP="00671932">
            <w:pPr>
              <w:rPr>
                <w:rFonts w:eastAsia="Times New Roman" w:cs="Calibri"/>
                <w:b/>
                <w:color w:val="000000"/>
                <w:lang w:eastAsia="fr-FR"/>
              </w:rPr>
            </w:pPr>
            <w:r>
              <w:rPr>
                <w:rFonts w:ascii="Calibri" w:hAnsi="Calibri" w:cs="Calibri"/>
                <w:color w:val="000000"/>
              </w:rPr>
              <w:t>32 (1.17%)</w:t>
            </w:r>
          </w:p>
        </w:tc>
        <w:tc>
          <w:tcPr>
            <w:tcW w:w="1701" w:type="dxa"/>
            <w:tcBorders>
              <w:top w:val="nil"/>
              <w:left w:val="nil"/>
              <w:bottom w:val="nil"/>
              <w:right w:val="nil"/>
            </w:tcBorders>
            <w:shd w:val="clear" w:color="000000" w:fill="FFFFFF"/>
            <w:noWrap/>
            <w:vAlign w:val="bottom"/>
          </w:tcPr>
          <w:p w14:paraId="2C4BC6E9" w14:textId="6F973DFD" w:rsidR="00671932" w:rsidRPr="009B46ED" w:rsidRDefault="00671932" w:rsidP="00671932">
            <w:pPr>
              <w:rPr>
                <w:rFonts w:eastAsia="Times New Roman" w:cs="Calibri"/>
                <w:b/>
                <w:color w:val="000000"/>
                <w:lang w:eastAsia="fr-FR"/>
              </w:rPr>
            </w:pPr>
            <w:r>
              <w:rPr>
                <w:rFonts w:ascii="Calibri" w:hAnsi="Calibri" w:cs="Calibri"/>
                <w:color w:val="000000"/>
              </w:rPr>
              <w:t>21 (1.31%)</w:t>
            </w:r>
          </w:p>
        </w:tc>
        <w:tc>
          <w:tcPr>
            <w:tcW w:w="1701" w:type="dxa"/>
            <w:tcBorders>
              <w:top w:val="nil"/>
              <w:left w:val="nil"/>
              <w:bottom w:val="nil"/>
              <w:right w:val="nil"/>
            </w:tcBorders>
            <w:shd w:val="clear" w:color="000000" w:fill="FFFFFF"/>
            <w:noWrap/>
            <w:vAlign w:val="bottom"/>
          </w:tcPr>
          <w:p w14:paraId="721AA1C6" w14:textId="183204A8" w:rsidR="00671932" w:rsidRPr="009B46ED" w:rsidRDefault="00671932" w:rsidP="00671932">
            <w:pPr>
              <w:rPr>
                <w:rFonts w:eastAsia="Times New Roman" w:cs="Calibri"/>
                <w:b/>
                <w:color w:val="000000"/>
                <w:lang w:eastAsia="fr-FR"/>
              </w:rPr>
            </w:pPr>
            <w:r>
              <w:rPr>
                <w:rFonts w:ascii="Calibri" w:hAnsi="Calibri" w:cs="Calibri"/>
                <w:color w:val="000000"/>
              </w:rPr>
              <w:t>11 (0.98%)</w:t>
            </w:r>
          </w:p>
        </w:tc>
        <w:tc>
          <w:tcPr>
            <w:tcW w:w="1701" w:type="dxa"/>
            <w:tcBorders>
              <w:top w:val="nil"/>
              <w:left w:val="nil"/>
              <w:bottom w:val="nil"/>
              <w:right w:val="nil"/>
            </w:tcBorders>
            <w:shd w:val="clear" w:color="000000" w:fill="FFFFFF"/>
            <w:noWrap/>
            <w:vAlign w:val="bottom"/>
          </w:tcPr>
          <w:p w14:paraId="02BD0D90" w14:textId="51E9613E" w:rsidR="00671932" w:rsidRPr="009B46ED" w:rsidRDefault="00671932" w:rsidP="00671932">
            <w:pPr>
              <w:rPr>
                <w:rFonts w:eastAsia="Times New Roman" w:cs="Calibri"/>
                <w:b/>
                <w:color w:val="000000"/>
                <w:lang w:eastAsia="fr-FR"/>
              </w:rPr>
            </w:pPr>
            <w:r>
              <w:rPr>
                <w:rFonts w:ascii="Calibri" w:hAnsi="Calibri" w:cs="Calibri"/>
                <w:color w:val="000000"/>
              </w:rPr>
              <w:t>0.74 [0.36;1.55]</w:t>
            </w:r>
          </w:p>
        </w:tc>
        <w:tc>
          <w:tcPr>
            <w:tcW w:w="863" w:type="dxa"/>
            <w:tcBorders>
              <w:top w:val="nil"/>
              <w:bottom w:val="nil"/>
            </w:tcBorders>
            <w:shd w:val="clear" w:color="auto" w:fill="auto"/>
            <w:noWrap/>
            <w:vAlign w:val="bottom"/>
          </w:tcPr>
          <w:p w14:paraId="29BDFEB1" w14:textId="146B1BFA" w:rsidR="00671932" w:rsidRPr="00C81B78" w:rsidRDefault="00671932" w:rsidP="00671932">
            <w:pPr>
              <w:rPr>
                <w:rFonts w:ascii="Calibri" w:hAnsi="Calibri" w:cs="Calibri"/>
                <w:color w:val="000000"/>
              </w:rPr>
            </w:pPr>
            <w:r>
              <w:rPr>
                <w:rFonts w:ascii="Calibri" w:hAnsi="Calibri" w:cs="Calibri"/>
                <w:color w:val="000000"/>
              </w:rPr>
              <w:t>0,43</w:t>
            </w:r>
          </w:p>
        </w:tc>
      </w:tr>
      <w:tr w:rsidR="00C04EDE" w:rsidRPr="00C81B78" w14:paraId="6D5FD11D" w14:textId="77777777" w:rsidTr="00C04EDE">
        <w:trPr>
          <w:trHeight w:val="300"/>
          <w:jc w:val="center"/>
        </w:trPr>
        <w:tc>
          <w:tcPr>
            <w:tcW w:w="2547" w:type="dxa"/>
            <w:shd w:val="clear" w:color="auto" w:fill="auto"/>
            <w:noWrap/>
            <w:vAlign w:val="center"/>
            <w:hideMark/>
          </w:tcPr>
          <w:p w14:paraId="124F8943" w14:textId="17E8FC0F" w:rsidR="00C04EDE" w:rsidRPr="009B46ED" w:rsidRDefault="00C04EDE" w:rsidP="00C04EDE">
            <w:pPr>
              <w:rPr>
                <w:rFonts w:eastAsia="Times New Roman" w:cs="Calibri"/>
                <w:b/>
                <w:color w:val="000000"/>
                <w:lang w:eastAsia="fr-FR"/>
              </w:rPr>
            </w:pPr>
            <w:proofErr w:type="spellStart"/>
            <w:r>
              <w:rPr>
                <w:rFonts w:eastAsia="Times New Roman" w:cs="Calibri"/>
                <w:b/>
                <w:color w:val="000000"/>
                <w:lang w:eastAsia="fr-FR"/>
              </w:rPr>
              <w:t>Urinary</w:t>
            </w:r>
            <w:proofErr w:type="spellEnd"/>
            <w:r>
              <w:rPr>
                <w:rFonts w:eastAsia="Times New Roman" w:cs="Calibri"/>
                <w:b/>
                <w:color w:val="000000"/>
                <w:lang w:eastAsia="fr-FR"/>
              </w:rPr>
              <w:t xml:space="preserve"> tract infection</w:t>
            </w:r>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10519D58" w14:textId="566FCDD5" w:rsidR="00C04EDE" w:rsidRPr="009B46ED" w:rsidRDefault="00C04EDE" w:rsidP="00C04EDE">
            <w:pPr>
              <w:rPr>
                <w:rFonts w:eastAsia="Times New Roman" w:cs="Calibri"/>
                <w:b/>
                <w:color w:val="000000"/>
                <w:lang w:eastAsia="fr-FR"/>
              </w:rPr>
            </w:pPr>
            <w:r>
              <w:rPr>
                <w:rFonts w:ascii="Calibri" w:hAnsi="Calibri" w:cs="Calibri"/>
                <w:color w:val="000000"/>
              </w:rPr>
              <w:t>97 (3.99%)</w:t>
            </w:r>
          </w:p>
        </w:tc>
        <w:tc>
          <w:tcPr>
            <w:tcW w:w="1701" w:type="dxa"/>
            <w:tcBorders>
              <w:top w:val="nil"/>
              <w:left w:val="nil"/>
              <w:bottom w:val="nil"/>
              <w:right w:val="nil"/>
            </w:tcBorders>
            <w:shd w:val="clear" w:color="000000" w:fill="FFFFFF"/>
            <w:noWrap/>
            <w:vAlign w:val="bottom"/>
          </w:tcPr>
          <w:p w14:paraId="260DEFD1" w14:textId="1A3838FA" w:rsidR="00C04EDE" w:rsidRPr="009B46ED" w:rsidRDefault="00C04EDE" w:rsidP="00C04EDE">
            <w:pPr>
              <w:rPr>
                <w:rFonts w:eastAsia="Times New Roman" w:cs="Calibri"/>
                <w:b/>
                <w:color w:val="000000"/>
                <w:lang w:eastAsia="fr-FR"/>
              </w:rPr>
            </w:pPr>
            <w:r>
              <w:rPr>
                <w:rFonts w:ascii="Calibri" w:hAnsi="Calibri" w:cs="Calibri"/>
                <w:color w:val="000000"/>
              </w:rPr>
              <w:t>51 (3.57%)</w:t>
            </w:r>
          </w:p>
        </w:tc>
        <w:tc>
          <w:tcPr>
            <w:tcW w:w="1701" w:type="dxa"/>
            <w:tcBorders>
              <w:top w:val="nil"/>
              <w:left w:val="nil"/>
              <w:bottom w:val="nil"/>
              <w:right w:val="nil"/>
            </w:tcBorders>
            <w:shd w:val="clear" w:color="000000" w:fill="FFFFFF"/>
            <w:noWrap/>
            <w:vAlign w:val="bottom"/>
          </w:tcPr>
          <w:p w14:paraId="7FB5FD43" w14:textId="79EE8511" w:rsidR="00C04EDE" w:rsidRPr="009B46ED" w:rsidRDefault="00C04EDE" w:rsidP="00C04EDE">
            <w:pPr>
              <w:rPr>
                <w:rFonts w:eastAsia="Times New Roman" w:cs="Calibri"/>
                <w:b/>
                <w:color w:val="000000"/>
                <w:lang w:eastAsia="fr-FR"/>
              </w:rPr>
            </w:pPr>
            <w:r>
              <w:rPr>
                <w:rFonts w:ascii="Calibri" w:hAnsi="Calibri" w:cs="Calibri"/>
                <w:color w:val="000000"/>
              </w:rPr>
              <w:t>46 (4.60%)</w:t>
            </w:r>
          </w:p>
        </w:tc>
        <w:tc>
          <w:tcPr>
            <w:tcW w:w="1701" w:type="dxa"/>
            <w:tcBorders>
              <w:top w:val="nil"/>
              <w:left w:val="nil"/>
              <w:bottom w:val="nil"/>
              <w:right w:val="nil"/>
            </w:tcBorders>
            <w:shd w:val="clear" w:color="000000" w:fill="FFFFFF"/>
            <w:noWrap/>
            <w:vAlign w:val="bottom"/>
          </w:tcPr>
          <w:p w14:paraId="03C1F977" w14:textId="4E73CA7F" w:rsidR="00C04EDE" w:rsidRPr="009B46ED" w:rsidRDefault="00C04EDE" w:rsidP="00C04EDE">
            <w:pPr>
              <w:rPr>
                <w:rFonts w:eastAsia="Times New Roman" w:cs="Calibri"/>
                <w:b/>
                <w:color w:val="000000"/>
                <w:lang w:eastAsia="fr-FR"/>
              </w:rPr>
            </w:pPr>
            <w:r>
              <w:rPr>
                <w:rFonts w:ascii="Calibri" w:hAnsi="Calibri" w:cs="Calibri"/>
                <w:color w:val="000000"/>
              </w:rPr>
              <w:t>1.31 [0.87;1.96]</w:t>
            </w:r>
          </w:p>
        </w:tc>
        <w:tc>
          <w:tcPr>
            <w:tcW w:w="863" w:type="dxa"/>
            <w:shd w:val="clear" w:color="auto" w:fill="auto"/>
            <w:noWrap/>
            <w:vAlign w:val="bottom"/>
          </w:tcPr>
          <w:p w14:paraId="438C031A" w14:textId="4B8228DF" w:rsidR="00C04EDE" w:rsidRPr="00C81B78" w:rsidRDefault="00C04EDE" w:rsidP="00C04EDE">
            <w:pPr>
              <w:rPr>
                <w:rFonts w:ascii="Calibri" w:hAnsi="Calibri" w:cs="Calibri"/>
                <w:color w:val="000000"/>
              </w:rPr>
            </w:pPr>
            <w:r>
              <w:rPr>
                <w:rFonts w:ascii="Calibri" w:hAnsi="Calibri" w:cs="Calibri"/>
                <w:color w:val="000000"/>
              </w:rPr>
              <w:t>0,2</w:t>
            </w:r>
          </w:p>
        </w:tc>
      </w:tr>
      <w:tr w:rsidR="00C04EDE" w:rsidRPr="00C81B78" w14:paraId="36E0597F" w14:textId="77777777" w:rsidTr="00C04EDE">
        <w:trPr>
          <w:trHeight w:val="300"/>
          <w:jc w:val="center"/>
        </w:trPr>
        <w:tc>
          <w:tcPr>
            <w:tcW w:w="2547" w:type="dxa"/>
            <w:shd w:val="clear" w:color="auto" w:fill="auto"/>
            <w:noWrap/>
            <w:vAlign w:val="center"/>
            <w:hideMark/>
          </w:tcPr>
          <w:p w14:paraId="0FE6291E" w14:textId="601A8405" w:rsidR="00C04EDE" w:rsidRPr="009B46ED" w:rsidRDefault="00C04EDE" w:rsidP="00C04EDE">
            <w:pPr>
              <w:rPr>
                <w:rFonts w:eastAsia="Times New Roman" w:cs="Calibri"/>
                <w:b/>
                <w:color w:val="000000"/>
                <w:lang w:eastAsia="fr-FR"/>
              </w:rPr>
            </w:pPr>
            <w:r>
              <w:rPr>
                <w:rFonts w:eastAsia="Times New Roman" w:cs="Calibri"/>
                <w:b/>
                <w:color w:val="000000"/>
                <w:lang w:eastAsia="fr-FR"/>
              </w:rPr>
              <w:t xml:space="preserve">Primitive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0BC426D0" w14:textId="31FDE4AF" w:rsidR="00C04EDE" w:rsidRPr="009B46ED" w:rsidRDefault="00C04EDE" w:rsidP="00C04EDE">
            <w:pPr>
              <w:rPr>
                <w:rFonts w:eastAsia="Times New Roman" w:cs="Calibri"/>
                <w:b/>
                <w:color w:val="000000"/>
                <w:lang w:eastAsia="fr-FR"/>
              </w:rPr>
            </w:pPr>
            <w:r>
              <w:rPr>
                <w:rFonts w:ascii="Calibri" w:hAnsi="Calibri" w:cs="Calibri"/>
                <w:color w:val="000000"/>
              </w:rPr>
              <w:t>81 (2.98%)</w:t>
            </w:r>
          </w:p>
        </w:tc>
        <w:tc>
          <w:tcPr>
            <w:tcW w:w="1701" w:type="dxa"/>
            <w:tcBorders>
              <w:top w:val="nil"/>
              <w:left w:val="nil"/>
              <w:bottom w:val="nil"/>
              <w:right w:val="nil"/>
            </w:tcBorders>
            <w:shd w:val="clear" w:color="000000" w:fill="FFFFFF"/>
            <w:noWrap/>
            <w:vAlign w:val="bottom"/>
          </w:tcPr>
          <w:p w14:paraId="7F11B4E7" w14:textId="743AC8C4" w:rsidR="00C04EDE" w:rsidRPr="009B46ED" w:rsidRDefault="00C04EDE" w:rsidP="00C04EDE">
            <w:pPr>
              <w:rPr>
                <w:rFonts w:eastAsia="Times New Roman" w:cs="Calibri"/>
                <w:b/>
                <w:color w:val="000000"/>
                <w:lang w:eastAsia="fr-FR"/>
              </w:rPr>
            </w:pPr>
            <w:r>
              <w:rPr>
                <w:rFonts w:ascii="Calibri" w:hAnsi="Calibri" w:cs="Calibri"/>
                <w:color w:val="000000"/>
              </w:rPr>
              <w:t>51 (3.20%)</w:t>
            </w:r>
          </w:p>
        </w:tc>
        <w:tc>
          <w:tcPr>
            <w:tcW w:w="1701" w:type="dxa"/>
            <w:tcBorders>
              <w:top w:val="nil"/>
              <w:left w:val="nil"/>
              <w:bottom w:val="nil"/>
              <w:right w:val="nil"/>
            </w:tcBorders>
            <w:shd w:val="clear" w:color="000000" w:fill="FFFFFF"/>
            <w:noWrap/>
            <w:vAlign w:val="bottom"/>
          </w:tcPr>
          <w:p w14:paraId="6555FCB9" w14:textId="0E34F414" w:rsidR="00C04EDE" w:rsidRPr="009B46ED" w:rsidRDefault="00C04EDE" w:rsidP="00C04EDE">
            <w:pPr>
              <w:rPr>
                <w:rFonts w:eastAsia="Times New Roman" w:cs="Calibri"/>
                <w:b/>
                <w:color w:val="000000"/>
                <w:lang w:eastAsia="fr-FR"/>
              </w:rPr>
            </w:pPr>
            <w:r>
              <w:rPr>
                <w:rFonts w:ascii="Calibri" w:hAnsi="Calibri" w:cs="Calibri"/>
                <w:color w:val="000000"/>
              </w:rPr>
              <w:t>30 (2.68%)</w:t>
            </w:r>
          </w:p>
        </w:tc>
        <w:tc>
          <w:tcPr>
            <w:tcW w:w="1701" w:type="dxa"/>
            <w:tcBorders>
              <w:top w:val="nil"/>
              <w:left w:val="nil"/>
              <w:bottom w:val="nil"/>
              <w:right w:val="nil"/>
            </w:tcBorders>
            <w:shd w:val="clear" w:color="000000" w:fill="FFFFFF"/>
            <w:noWrap/>
            <w:vAlign w:val="bottom"/>
          </w:tcPr>
          <w:p w14:paraId="2ECD3A52" w14:textId="208453E5" w:rsidR="00C04EDE" w:rsidRPr="009B46ED" w:rsidRDefault="00C04EDE" w:rsidP="00C04EDE">
            <w:pPr>
              <w:rPr>
                <w:rFonts w:eastAsia="Times New Roman" w:cs="Calibri"/>
                <w:b/>
                <w:color w:val="000000"/>
                <w:lang w:eastAsia="fr-FR"/>
              </w:rPr>
            </w:pPr>
            <w:r>
              <w:rPr>
                <w:rFonts w:ascii="Calibri" w:hAnsi="Calibri" w:cs="Calibri"/>
                <w:color w:val="000000"/>
              </w:rPr>
              <w:t>0.83 [0.53;1.32]</w:t>
            </w:r>
          </w:p>
        </w:tc>
        <w:tc>
          <w:tcPr>
            <w:tcW w:w="863" w:type="dxa"/>
            <w:shd w:val="clear" w:color="auto" w:fill="auto"/>
            <w:noWrap/>
            <w:vAlign w:val="bottom"/>
          </w:tcPr>
          <w:p w14:paraId="124331F6" w14:textId="4DE340D6" w:rsidR="00C04EDE" w:rsidRPr="00C81B78" w:rsidRDefault="00C04EDE" w:rsidP="00C04EDE">
            <w:pPr>
              <w:rPr>
                <w:rFonts w:ascii="Calibri" w:hAnsi="Calibri" w:cs="Calibri"/>
                <w:color w:val="000000"/>
              </w:rPr>
            </w:pPr>
            <w:r>
              <w:rPr>
                <w:rFonts w:ascii="Calibri" w:hAnsi="Calibri" w:cs="Calibri"/>
                <w:color w:val="000000"/>
              </w:rPr>
              <w:t>0.43</w:t>
            </w:r>
          </w:p>
        </w:tc>
      </w:tr>
      <w:tr w:rsidR="00C04EDE" w:rsidRPr="00C81B78" w14:paraId="0806C47B" w14:textId="77777777" w:rsidTr="00C04EDE">
        <w:trPr>
          <w:trHeight w:val="300"/>
          <w:jc w:val="center"/>
        </w:trPr>
        <w:tc>
          <w:tcPr>
            <w:tcW w:w="2547" w:type="dxa"/>
            <w:shd w:val="clear" w:color="auto" w:fill="auto"/>
            <w:noWrap/>
            <w:vAlign w:val="center"/>
            <w:hideMark/>
          </w:tcPr>
          <w:p w14:paraId="57D640A4" w14:textId="744792F9" w:rsidR="00C04EDE" w:rsidRPr="009B46ED" w:rsidRDefault="00C04EDE" w:rsidP="00C04EDE">
            <w:pPr>
              <w:rPr>
                <w:rFonts w:eastAsia="Times New Roman" w:cs="Calibri"/>
                <w:b/>
                <w:color w:val="000000"/>
                <w:lang w:eastAsia="fr-FR"/>
              </w:rPr>
            </w:pPr>
            <w:proofErr w:type="spellStart"/>
            <w:r>
              <w:rPr>
                <w:rFonts w:eastAsia="Times New Roman" w:cs="Calibri"/>
                <w:b/>
                <w:color w:val="000000"/>
                <w:lang w:eastAsia="fr-FR"/>
              </w:rPr>
              <w:t>Secondary</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517AB5CF" w14:textId="48046F67" w:rsidR="00C04EDE" w:rsidRPr="009B46ED" w:rsidRDefault="00C04EDE" w:rsidP="00C04EDE">
            <w:pPr>
              <w:rPr>
                <w:rFonts w:eastAsia="Times New Roman" w:cs="Calibri"/>
                <w:b/>
                <w:color w:val="000000"/>
                <w:lang w:eastAsia="fr-FR"/>
              </w:rPr>
            </w:pPr>
            <w:r>
              <w:rPr>
                <w:rFonts w:ascii="Calibri" w:hAnsi="Calibri" w:cs="Calibri"/>
                <w:color w:val="000000"/>
              </w:rPr>
              <w:t>63 (2.32%)</w:t>
            </w:r>
          </w:p>
        </w:tc>
        <w:tc>
          <w:tcPr>
            <w:tcW w:w="1701" w:type="dxa"/>
            <w:tcBorders>
              <w:top w:val="nil"/>
              <w:left w:val="nil"/>
              <w:bottom w:val="nil"/>
              <w:right w:val="nil"/>
            </w:tcBorders>
            <w:shd w:val="clear" w:color="000000" w:fill="FFFFFF"/>
            <w:noWrap/>
            <w:vAlign w:val="bottom"/>
          </w:tcPr>
          <w:p w14:paraId="6B9DA50E" w14:textId="6D32AE2A" w:rsidR="00C04EDE" w:rsidRPr="009B46ED" w:rsidRDefault="00C04EDE" w:rsidP="00C04EDE">
            <w:pPr>
              <w:rPr>
                <w:rFonts w:eastAsia="Times New Roman" w:cs="Calibri"/>
                <w:b/>
                <w:color w:val="000000"/>
                <w:lang w:eastAsia="fr-FR"/>
              </w:rPr>
            </w:pPr>
            <w:r>
              <w:rPr>
                <w:rFonts w:ascii="Calibri" w:hAnsi="Calibri" w:cs="Calibri"/>
                <w:color w:val="000000"/>
              </w:rPr>
              <w:t>31 (1.95%)</w:t>
            </w:r>
          </w:p>
        </w:tc>
        <w:tc>
          <w:tcPr>
            <w:tcW w:w="1701" w:type="dxa"/>
            <w:tcBorders>
              <w:top w:val="nil"/>
              <w:left w:val="nil"/>
              <w:bottom w:val="nil"/>
              <w:right w:val="nil"/>
            </w:tcBorders>
            <w:shd w:val="clear" w:color="000000" w:fill="FFFFFF"/>
            <w:noWrap/>
            <w:vAlign w:val="bottom"/>
          </w:tcPr>
          <w:p w14:paraId="19D208A4" w14:textId="4C5062BD" w:rsidR="00C04EDE" w:rsidRPr="009B46ED" w:rsidRDefault="00C04EDE" w:rsidP="00C04EDE">
            <w:pPr>
              <w:rPr>
                <w:rFonts w:eastAsia="Times New Roman" w:cs="Calibri"/>
                <w:b/>
                <w:color w:val="000000"/>
                <w:lang w:eastAsia="fr-FR"/>
              </w:rPr>
            </w:pPr>
            <w:r>
              <w:rPr>
                <w:rFonts w:ascii="Calibri" w:hAnsi="Calibri" w:cs="Calibri"/>
                <w:color w:val="000000"/>
              </w:rPr>
              <w:t>32 (2.85%)</w:t>
            </w:r>
          </w:p>
        </w:tc>
        <w:tc>
          <w:tcPr>
            <w:tcW w:w="1701" w:type="dxa"/>
            <w:tcBorders>
              <w:top w:val="nil"/>
              <w:left w:val="nil"/>
              <w:bottom w:val="nil"/>
              <w:right w:val="nil"/>
            </w:tcBorders>
            <w:shd w:val="clear" w:color="000000" w:fill="FFFFFF"/>
            <w:noWrap/>
            <w:vAlign w:val="bottom"/>
          </w:tcPr>
          <w:p w14:paraId="29A24D7A" w14:textId="42E8D2A3" w:rsidR="00C04EDE" w:rsidRPr="009B46ED" w:rsidRDefault="00C04EDE" w:rsidP="00C04EDE">
            <w:pPr>
              <w:rPr>
                <w:rFonts w:eastAsia="Times New Roman" w:cs="Calibri"/>
                <w:b/>
                <w:color w:val="000000"/>
                <w:lang w:eastAsia="fr-FR"/>
              </w:rPr>
            </w:pPr>
            <w:r>
              <w:rPr>
                <w:rFonts w:ascii="Calibri" w:hAnsi="Calibri" w:cs="Calibri"/>
                <w:color w:val="000000"/>
              </w:rPr>
              <w:t>1.48 [0.90;2.44]</w:t>
            </w:r>
          </w:p>
        </w:tc>
        <w:tc>
          <w:tcPr>
            <w:tcW w:w="863" w:type="dxa"/>
            <w:shd w:val="clear" w:color="auto" w:fill="auto"/>
            <w:noWrap/>
            <w:vAlign w:val="bottom"/>
          </w:tcPr>
          <w:p w14:paraId="52830940" w14:textId="55092D85" w:rsidR="00C04EDE" w:rsidRPr="00C81B78" w:rsidRDefault="00C04EDE" w:rsidP="00C04EDE">
            <w:pPr>
              <w:rPr>
                <w:rFonts w:ascii="Calibri" w:hAnsi="Calibri" w:cs="Calibri"/>
                <w:color w:val="000000"/>
              </w:rPr>
            </w:pPr>
            <w:r>
              <w:rPr>
                <w:rFonts w:ascii="Calibri" w:hAnsi="Calibri" w:cs="Calibri"/>
                <w:color w:val="000000"/>
              </w:rPr>
              <w:t>0.12</w:t>
            </w:r>
          </w:p>
        </w:tc>
      </w:tr>
      <w:tr w:rsidR="00C04EDE" w:rsidRPr="009B46ED" w14:paraId="1AEFE788" w14:textId="77777777" w:rsidTr="00334753">
        <w:trPr>
          <w:trHeight w:val="300"/>
          <w:jc w:val="center"/>
        </w:trPr>
        <w:tc>
          <w:tcPr>
            <w:tcW w:w="2547" w:type="dxa"/>
            <w:tcBorders>
              <w:bottom w:val="nil"/>
            </w:tcBorders>
            <w:shd w:val="clear" w:color="auto" w:fill="auto"/>
            <w:noWrap/>
            <w:vAlign w:val="center"/>
            <w:hideMark/>
          </w:tcPr>
          <w:p w14:paraId="06AC4933" w14:textId="78DE4E85" w:rsidR="00C04EDE" w:rsidRPr="009B46ED" w:rsidRDefault="00C04EDE" w:rsidP="00C04EDE">
            <w:pPr>
              <w:rPr>
                <w:rFonts w:eastAsia="Times New Roman" w:cs="Calibri"/>
                <w:b/>
                <w:color w:val="000000"/>
                <w:lang w:eastAsia="fr-FR"/>
              </w:rPr>
            </w:pPr>
            <w:proofErr w:type="spellStart"/>
            <w:r>
              <w:rPr>
                <w:rFonts w:eastAsia="Times New Roman" w:cs="Calibri"/>
                <w:b/>
                <w:color w:val="000000"/>
                <w:lang w:eastAsia="fr-FR"/>
              </w:rPr>
              <w:t>Catheter</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related</w:t>
            </w:r>
            <w:proofErr w:type="spellEnd"/>
            <w:r>
              <w:rPr>
                <w:rFonts w:eastAsia="Times New Roman" w:cs="Calibri"/>
                <w:b/>
                <w:color w:val="000000"/>
                <w:lang w:eastAsia="fr-FR"/>
              </w:rPr>
              <w:t xml:space="preserve"> infection</w:t>
            </w:r>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1A80EAF1" w14:textId="4ABE0044" w:rsidR="00C04EDE" w:rsidRPr="009B46ED" w:rsidRDefault="00C04EDE" w:rsidP="00C04EDE">
            <w:pPr>
              <w:rPr>
                <w:rFonts w:eastAsia="Times New Roman" w:cs="Calibri"/>
                <w:b/>
                <w:color w:val="000000"/>
                <w:lang w:eastAsia="fr-FR"/>
              </w:rPr>
            </w:pPr>
            <w:r>
              <w:rPr>
                <w:rFonts w:ascii="Calibri" w:hAnsi="Calibri" w:cs="Calibri"/>
                <w:color w:val="000000"/>
              </w:rPr>
              <w:t>32 (1.32%)</w:t>
            </w:r>
          </w:p>
        </w:tc>
        <w:tc>
          <w:tcPr>
            <w:tcW w:w="1701" w:type="dxa"/>
            <w:tcBorders>
              <w:top w:val="nil"/>
              <w:left w:val="nil"/>
              <w:bottom w:val="nil"/>
              <w:right w:val="nil"/>
            </w:tcBorders>
            <w:shd w:val="clear" w:color="000000" w:fill="FFFFFF"/>
            <w:noWrap/>
            <w:vAlign w:val="bottom"/>
          </w:tcPr>
          <w:p w14:paraId="5EC1E8FB" w14:textId="761CFDA7" w:rsidR="00C04EDE" w:rsidRPr="009B46ED" w:rsidRDefault="00C04EDE" w:rsidP="00C04EDE">
            <w:pPr>
              <w:rPr>
                <w:rFonts w:eastAsia="Times New Roman" w:cs="Calibri"/>
                <w:b/>
                <w:color w:val="000000"/>
                <w:lang w:eastAsia="fr-FR"/>
              </w:rPr>
            </w:pPr>
            <w:r>
              <w:rPr>
                <w:rFonts w:ascii="Calibri" w:hAnsi="Calibri" w:cs="Calibri"/>
                <w:color w:val="000000"/>
              </w:rPr>
              <w:t>15 (1.05%)</w:t>
            </w:r>
          </w:p>
        </w:tc>
        <w:tc>
          <w:tcPr>
            <w:tcW w:w="1701" w:type="dxa"/>
            <w:tcBorders>
              <w:top w:val="nil"/>
              <w:left w:val="nil"/>
              <w:bottom w:val="nil"/>
              <w:right w:val="nil"/>
            </w:tcBorders>
            <w:shd w:val="clear" w:color="000000" w:fill="FFFFFF"/>
            <w:noWrap/>
            <w:vAlign w:val="bottom"/>
          </w:tcPr>
          <w:p w14:paraId="5013BF52" w14:textId="513BDE69" w:rsidR="00C04EDE" w:rsidRPr="009B46ED" w:rsidRDefault="00C04EDE" w:rsidP="00C04EDE">
            <w:pPr>
              <w:rPr>
                <w:rFonts w:eastAsia="Times New Roman" w:cs="Calibri"/>
                <w:b/>
                <w:color w:val="000000"/>
                <w:lang w:eastAsia="fr-FR"/>
              </w:rPr>
            </w:pPr>
            <w:r>
              <w:rPr>
                <w:rFonts w:ascii="Calibri" w:hAnsi="Calibri" w:cs="Calibri"/>
                <w:color w:val="000000"/>
              </w:rPr>
              <w:t>17 (1.70%)</w:t>
            </w:r>
          </w:p>
        </w:tc>
        <w:tc>
          <w:tcPr>
            <w:tcW w:w="1701" w:type="dxa"/>
            <w:tcBorders>
              <w:top w:val="nil"/>
              <w:left w:val="nil"/>
              <w:bottom w:val="nil"/>
              <w:right w:val="nil"/>
            </w:tcBorders>
            <w:shd w:val="clear" w:color="000000" w:fill="FFFFFF"/>
            <w:noWrap/>
            <w:vAlign w:val="bottom"/>
          </w:tcPr>
          <w:p w14:paraId="209F9A56" w14:textId="00D04DF8" w:rsidR="00C04EDE" w:rsidRPr="009B46ED" w:rsidRDefault="00C04EDE" w:rsidP="00C04EDE">
            <w:pPr>
              <w:rPr>
                <w:rFonts w:eastAsia="Times New Roman" w:cs="Calibri"/>
                <w:b/>
                <w:color w:val="000000"/>
                <w:lang w:eastAsia="fr-FR"/>
              </w:rPr>
            </w:pPr>
            <w:r>
              <w:rPr>
                <w:rFonts w:ascii="Calibri" w:hAnsi="Calibri" w:cs="Calibri"/>
                <w:color w:val="000000"/>
              </w:rPr>
              <w:t>1.63 [0.81;3.28]</w:t>
            </w:r>
          </w:p>
        </w:tc>
        <w:tc>
          <w:tcPr>
            <w:tcW w:w="863" w:type="dxa"/>
            <w:shd w:val="clear" w:color="auto" w:fill="auto"/>
            <w:noWrap/>
            <w:vAlign w:val="bottom"/>
          </w:tcPr>
          <w:p w14:paraId="25F09E26" w14:textId="624E040A" w:rsidR="00C04EDE" w:rsidRPr="009B46ED" w:rsidRDefault="00C04EDE" w:rsidP="00C04EDE">
            <w:pPr>
              <w:rPr>
                <w:rFonts w:eastAsia="Times New Roman" w:cs="Calibri"/>
                <w:b/>
                <w:color w:val="000000"/>
                <w:lang w:eastAsia="fr-FR"/>
              </w:rPr>
            </w:pPr>
            <w:r w:rsidRPr="00C04EDE">
              <w:rPr>
                <w:rFonts w:eastAsia="Times New Roman" w:cs="Calibri"/>
                <w:color w:val="000000"/>
                <w:lang w:eastAsia="fr-FR"/>
              </w:rPr>
              <w:t>0.17</w:t>
            </w:r>
          </w:p>
        </w:tc>
      </w:tr>
      <w:tr w:rsidR="00C04EDE" w:rsidRPr="009B46ED" w14:paraId="32E7B3CB" w14:textId="77777777" w:rsidTr="00334753">
        <w:trPr>
          <w:trHeight w:val="300"/>
          <w:jc w:val="center"/>
        </w:trPr>
        <w:tc>
          <w:tcPr>
            <w:tcW w:w="2547" w:type="dxa"/>
            <w:tcBorders>
              <w:top w:val="nil"/>
              <w:bottom w:val="single" w:sz="4" w:space="0" w:color="auto"/>
            </w:tcBorders>
            <w:shd w:val="clear" w:color="auto" w:fill="auto"/>
            <w:noWrap/>
            <w:vAlign w:val="center"/>
          </w:tcPr>
          <w:p w14:paraId="00920A14" w14:textId="77777777" w:rsidR="00C04EDE" w:rsidRDefault="00C04EDE" w:rsidP="00C04EDE">
            <w:pPr>
              <w:rPr>
                <w:rFonts w:eastAsia="Times New Roman" w:cs="Calibri"/>
                <w:b/>
                <w:color w:val="000000"/>
                <w:lang w:eastAsia="fr-FR"/>
              </w:rPr>
            </w:pPr>
            <w:proofErr w:type="spellStart"/>
            <w:r>
              <w:rPr>
                <w:rFonts w:eastAsia="Times New Roman" w:cs="Calibri"/>
                <w:b/>
                <w:color w:val="000000"/>
                <w:lang w:eastAsia="fr-FR"/>
              </w:rPr>
              <w:t>Pneumonia</w:t>
            </w:r>
            <w:proofErr w:type="spellEnd"/>
          </w:p>
        </w:tc>
        <w:tc>
          <w:tcPr>
            <w:tcW w:w="2556" w:type="dxa"/>
            <w:tcBorders>
              <w:top w:val="nil"/>
              <w:left w:val="nil"/>
              <w:bottom w:val="single" w:sz="4" w:space="0" w:color="auto"/>
              <w:right w:val="nil"/>
            </w:tcBorders>
            <w:shd w:val="clear" w:color="000000" w:fill="FFFFFF"/>
            <w:noWrap/>
            <w:vAlign w:val="bottom"/>
          </w:tcPr>
          <w:p w14:paraId="7D99412F" w14:textId="18A8159F" w:rsidR="00C04EDE" w:rsidRPr="009B46ED" w:rsidRDefault="00C04EDE" w:rsidP="00C04EDE">
            <w:pPr>
              <w:rPr>
                <w:rFonts w:eastAsia="Times New Roman" w:cs="Calibri"/>
                <w:color w:val="000000"/>
                <w:lang w:eastAsia="fr-FR"/>
              </w:rPr>
            </w:pPr>
            <w:r>
              <w:rPr>
                <w:rFonts w:ascii="Calibri" w:hAnsi="Calibri" w:cs="Calibri"/>
                <w:color w:val="000000"/>
              </w:rPr>
              <w:t>395 (14.49%)</w:t>
            </w:r>
          </w:p>
        </w:tc>
        <w:tc>
          <w:tcPr>
            <w:tcW w:w="1701" w:type="dxa"/>
            <w:tcBorders>
              <w:top w:val="nil"/>
              <w:left w:val="nil"/>
              <w:bottom w:val="single" w:sz="4" w:space="0" w:color="auto"/>
              <w:right w:val="nil"/>
            </w:tcBorders>
            <w:shd w:val="clear" w:color="000000" w:fill="FFFFFF"/>
            <w:noWrap/>
            <w:vAlign w:val="bottom"/>
          </w:tcPr>
          <w:p w14:paraId="7B669072" w14:textId="03523B59" w:rsidR="00C04EDE" w:rsidRPr="009B46ED" w:rsidRDefault="00C04EDE" w:rsidP="00C04EDE">
            <w:pPr>
              <w:rPr>
                <w:rFonts w:eastAsia="Times New Roman" w:cs="Calibri"/>
                <w:color w:val="000000"/>
                <w:lang w:eastAsia="fr-FR"/>
              </w:rPr>
            </w:pPr>
            <w:r>
              <w:rPr>
                <w:rFonts w:ascii="Calibri" w:hAnsi="Calibri" w:cs="Calibri"/>
                <w:color w:val="000000"/>
              </w:rPr>
              <w:t>230 (14.36%)</w:t>
            </w:r>
          </w:p>
        </w:tc>
        <w:tc>
          <w:tcPr>
            <w:tcW w:w="1701" w:type="dxa"/>
            <w:tcBorders>
              <w:top w:val="nil"/>
              <w:left w:val="nil"/>
              <w:bottom w:val="single" w:sz="4" w:space="0" w:color="auto"/>
              <w:right w:val="nil"/>
            </w:tcBorders>
            <w:shd w:val="clear" w:color="000000" w:fill="FFFFFF"/>
            <w:noWrap/>
            <w:vAlign w:val="bottom"/>
          </w:tcPr>
          <w:p w14:paraId="28C07235" w14:textId="04BB7CDC" w:rsidR="00C04EDE" w:rsidRPr="009B46ED" w:rsidRDefault="00C04EDE" w:rsidP="00C04EDE">
            <w:pPr>
              <w:rPr>
                <w:rFonts w:eastAsia="Times New Roman" w:cs="Calibri"/>
                <w:color w:val="000000"/>
                <w:lang w:eastAsia="fr-FR"/>
              </w:rPr>
            </w:pPr>
            <w:r>
              <w:rPr>
                <w:rFonts w:ascii="Calibri" w:hAnsi="Calibri" w:cs="Calibri"/>
                <w:color w:val="000000"/>
              </w:rPr>
              <w:t>165 (14.68%)</w:t>
            </w:r>
          </w:p>
        </w:tc>
        <w:tc>
          <w:tcPr>
            <w:tcW w:w="1701" w:type="dxa"/>
            <w:tcBorders>
              <w:top w:val="nil"/>
              <w:left w:val="nil"/>
              <w:bottom w:val="single" w:sz="4" w:space="0" w:color="auto"/>
              <w:right w:val="nil"/>
            </w:tcBorders>
            <w:shd w:val="clear" w:color="000000" w:fill="FFFFFF"/>
            <w:noWrap/>
            <w:vAlign w:val="bottom"/>
          </w:tcPr>
          <w:p w14:paraId="79EA1A6A" w14:textId="27B1A7E4" w:rsidR="00C04EDE" w:rsidRPr="009B46ED" w:rsidRDefault="00C04EDE" w:rsidP="00C04EDE">
            <w:pPr>
              <w:rPr>
                <w:rFonts w:eastAsia="Times New Roman" w:cs="Calibri"/>
                <w:b/>
                <w:color w:val="000000"/>
                <w:lang w:eastAsia="fr-FR"/>
              </w:rPr>
            </w:pPr>
            <w:r>
              <w:rPr>
                <w:rFonts w:ascii="Calibri" w:hAnsi="Calibri" w:cs="Calibri"/>
                <w:color w:val="000000"/>
              </w:rPr>
              <w:t>1.03 [0.83;1.27]</w:t>
            </w:r>
          </w:p>
        </w:tc>
        <w:tc>
          <w:tcPr>
            <w:tcW w:w="863" w:type="dxa"/>
            <w:shd w:val="clear" w:color="auto" w:fill="auto"/>
            <w:noWrap/>
            <w:vAlign w:val="bottom"/>
          </w:tcPr>
          <w:p w14:paraId="2504596F" w14:textId="5164F123" w:rsidR="00C04EDE" w:rsidRPr="009B46ED" w:rsidRDefault="00C04EDE" w:rsidP="00C04EDE">
            <w:pPr>
              <w:rPr>
                <w:rFonts w:eastAsia="Times New Roman" w:cs="Calibri"/>
                <w:color w:val="000000"/>
                <w:lang w:eastAsia="fr-FR"/>
              </w:rPr>
            </w:pPr>
            <w:r>
              <w:rPr>
                <w:rFonts w:eastAsia="Times New Roman" w:cs="Calibri"/>
                <w:color w:val="000000"/>
                <w:lang w:eastAsia="fr-FR"/>
              </w:rPr>
              <w:t>0.81</w:t>
            </w:r>
          </w:p>
        </w:tc>
      </w:tr>
    </w:tbl>
    <w:p w14:paraId="365AAA63" w14:textId="3EBA02D5" w:rsidR="00400A25" w:rsidRDefault="00400A25" w:rsidP="00400A25">
      <w:pPr>
        <w:rPr>
          <w:lang w:val="en-US"/>
        </w:rPr>
      </w:pPr>
    </w:p>
    <w:p w14:paraId="010B72EF" w14:textId="2F44EE3A" w:rsidR="00C04EDE" w:rsidRDefault="00C04EDE" w:rsidP="00400A25">
      <w:pPr>
        <w:rPr>
          <w:lang w:val="en-US"/>
        </w:rPr>
      </w:pPr>
    </w:p>
    <w:p w14:paraId="65BB37C1" w14:textId="77777777" w:rsidR="00C04EDE" w:rsidRDefault="00C04EDE">
      <w:pPr>
        <w:rPr>
          <w:u w:val="single"/>
          <w:lang w:val="en-US"/>
        </w:rPr>
      </w:pPr>
      <w:r>
        <w:rPr>
          <w:u w:val="single"/>
          <w:lang w:val="en-US"/>
        </w:rPr>
        <w:br w:type="page"/>
      </w:r>
    </w:p>
    <w:p w14:paraId="184C02EE" w14:textId="1D536329" w:rsidR="00C04EDE" w:rsidRPr="00E6447A" w:rsidRDefault="00C04EDE" w:rsidP="00C04EDE">
      <w:pPr>
        <w:rPr>
          <w:u w:val="single"/>
          <w:lang w:val="en-US"/>
        </w:rPr>
      </w:pPr>
      <w:r w:rsidRPr="00C04EDE">
        <w:rPr>
          <w:u w:val="single"/>
          <w:lang w:val="en-US"/>
        </w:rPr>
        <w:lastRenderedPageBreak/>
        <w:t>Supplementary table 1</w:t>
      </w:r>
      <w:r w:rsidR="005179B2">
        <w:rPr>
          <w:u w:val="single"/>
          <w:lang w:val="en-US"/>
        </w:rPr>
        <w:t>2</w:t>
      </w:r>
      <w:r w:rsidRPr="00C04EDE">
        <w:rPr>
          <w:u w:val="single"/>
          <w:lang w:val="en-US"/>
        </w:rPr>
        <w:t>: Infectious</w:t>
      </w:r>
      <w:r>
        <w:rPr>
          <w:u w:val="single"/>
          <w:lang w:val="en-US"/>
        </w:rPr>
        <w:t xml:space="preserve"> c</w:t>
      </w:r>
      <w:r w:rsidRPr="00E6447A">
        <w:rPr>
          <w:u w:val="single"/>
          <w:lang w:val="en-US"/>
        </w:rPr>
        <w:t xml:space="preserve">omplications function of </w:t>
      </w:r>
      <w:r>
        <w:rPr>
          <w:u w:val="single"/>
          <w:lang w:val="en-US"/>
        </w:rPr>
        <w:t>organ failures</w:t>
      </w:r>
      <w:r w:rsidRPr="00E6447A">
        <w:rPr>
          <w:u w:val="single"/>
          <w:lang w:val="en-US"/>
        </w:rPr>
        <w:t xml:space="preserve"> </w:t>
      </w:r>
    </w:p>
    <w:p w14:paraId="0273F1C7" w14:textId="29BD5CCD" w:rsidR="00C04EDE" w:rsidRDefault="00C04EDE" w:rsidP="00400A25">
      <w:pPr>
        <w:rPr>
          <w:lang w:val="en-US"/>
        </w:rPr>
      </w:pPr>
    </w:p>
    <w:tbl>
      <w:tblPr>
        <w:tblW w:w="1106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47"/>
        <w:gridCol w:w="2556"/>
        <w:gridCol w:w="1701"/>
        <w:gridCol w:w="1701"/>
        <w:gridCol w:w="1701"/>
        <w:gridCol w:w="913"/>
      </w:tblGrid>
      <w:tr w:rsidR="00C04EDE" w:rsidRPr="00333B9C" w14:paraId="75432AB4" w14:textId="77777777" w:rsidTr="00EA10ED">
        <w:trPr>
          <w:trHeight w:val="300"/>
          <w:jc w:val="center"/>
        </w:trPr>
        <w:tc>
          <w:tcPr>
            <w:tcW w:w="2547" w:type="dxa"/>
            <w:tcBorders>
              <w:top w:val="single" w:sz="4" w:space="0" w:color="auto"/>
              <w:bottom w:val="single" w:sz="4" w:space="0" w:color="auto"/>
            </w:tcBorders>
            <w:shd w:val="clear" w:color="auto" w:fill="D9D9D9" w:themeFill="background1" w:themeFillShade="D9"/>
            <w:noWrap/>
            <w:vAlign w:val="center"/>
            <w:hideMark/>
          </w:tcPr>
          <w:p w14:paraId="2B52BFA0" w14:textId="77777777" w:rsidR="00C04EDE" w:rsidRPr="00333B9C" w:rsidRDefault="00C04EDE" w:rsidP="00EA10ED">
            <w:pPr>
              <w:spacing w:after="0" w:line="240" w:lineRule="auto"/>
              <w:jc w:val="right"/>
              <w:rPr>
                <w:rFonts w:eastAsia="Times New Roman" w:cs="Calibri"/>
                <w:b/>
                <w:color w:val="000000"/>
                <w:lang w:val="en-US" w:eastAsia="fr-FR"/>
              </w:rPr>
            </w:pPr>
          </w:p>
        </w:tc>
        <w:tc>
          <w:tcPr>
            <w:tcW w:w="2556" w:type="dxa"/>
            <w:tcBorders>
              <w:top w:val="single" w:sz="4" w:space="0" w:color="auto"/>
              <w:bottom w:val="single" w:sz="4" w:space="0" w:color="auto"/>
            </w:tcBorders>
            <w:shd w:val="clear" w:color="auto" w:fill="D9D9D9" w:themeFill="background1" w:themeFillShade="D9"/>
            <w:noWrap/>
            <w:vAlign w:val="bottom"/>
            <w:hideMark/>
          </w:tcPr>
          <w:p w14:paraId="208E340B" w14:textId="77777777" w:rsidR="00C04EDE" w:rsidRPr="00333B9C" w:rsidRDefault="00C04EDE"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Total population</w:t>
            </w:r>
          </w:p>
          <w:p w14:paraId="0A6F5873" w14:textId="10FF8895" w:rsidR="00C04EDE" w:rsidRPr="00333B9C" w:rsidRDefault="00C04EDE" w:rsidP="005179B2">
            <w:pPr>
              <w:spacing w:after="0" w:line="240" w:lineRule="auto"/>
              <w:jc w:val="center"/>
              <w:rPr>
                <w:rFonts w:eastAsia="Times New Roman" w:cs="Calibri"/>
                <w:b/>
                <w:color w:val="000000"/>
                <w:lang w:eastAsia="fr-FR"/>
              </w:rPr>
            </w:pPr>
            <w:r w:rsidRPr="00333B9C">
              <w:rPr>
                <w:rFonts w:eastAsia="Times New Roman" w:cs="Calibri"/>
                <w:b/>
                <w:color w:val="000000"/>
                <w:lang w:eastAsia="fr-FR"/>
              </w:rPr>
              <w:t>(N=</w:t>
            </w:r>
            <w:r w:rsidR="005179B2">
              <w:rPr>
                <w:rFonts w:eastAsia="Times New Roman" w:cs="Calibri"/>
                <w:b/>
                <w:color w:val="000000"/>
                <w:lang w:eastAsia="fr-FR"/>
              </w:rPr>
              <w:t>984</w:t>
            </w:r>
            <w:r w:rsidRPr="00333B9C">
              <w:rPr>
                <w:rFonts w:eastAsia="Times New Roman" w:cs="Calibri"/>
                <w:b/>
                <w:color w:val="000000"/>
                <w:lang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6CA0EE12" w14:textId="126F5768" w:rsidR="00C04EDE" w:rsidRPr="00333B9C" w:rsidRDefault="00C04EDE" w:rsidP="00F8393E">
            <w:pPr>
              <w:spacing w:after="0" w:line="240" w:lineRule="auto"/>
              <w:jc w:val="center"/>
              <w:rPr>
                <w:rFonts w:eastAsia="Times New Roman" w:cs="Calibri"/>
                <w:b/>
                <w:color w:val="000000"/>
                <w:lang w:val="en-US" w:eastAsia="fr-FR"/>
              </w:rPr>
            </w:pPr>
            <w:r w:rsidRPr="00333B9C">
              <w:rPr>
                <w:rFonts w:eastAsia="Times New Roman" w:cs="Calibri"/>
                <w:b/>
                <w:color w:val="000000"/>
                <w:lang w:val="en-US" w:eastAsia="fr-FR"/>
              </w:rPr>
              <w:t xml:space="preserve">Comorbidity 0 or 1 (n = </w:t>
            </w:r>
            <w:r w:rsidR="00F8393E">
              <w:rPr>
                <w:rFonts w:eastAsia="Times New Roman" w:cs="Calibri"/>
                <w:b/>
                <w:color w:val="000000"/>
                <w:lang w:val="en-US" w:eastAsia="fr-FR"/>
              </w:rPr>
              <w:t>589</w:t>
            </w:r>
            <w:r w:rsidRPr="00333B9C">
              <w:rPr>
                <w:rFonts w:eastAsia="Times New Roman" w:cs="Calibri"/>
                <w:b/>
                <w:color w:val="000000"/>
                <w:lang w:val="en-US"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4DA0E83" w14:textId="77777777" w:rsidR="00C04EDE" w:rsidRPr="00333B9C" w:rsidRDefault="00C04EDE" w:rsidP="00EA10ED">
            <w:pPr>
              <w:spacing w:after="0" w:line="240" w:lineRule="auto"/>
              <w:jc w:val="center"/>
              <w:rPr>
                <w:rFonts w:eastAsia="Times New Roman" w:cs="Calibri"/>
                <w:b/>
                <w:color w:val="000000"/>
                <w:lang w:val="en-US" w:eastAsia="fr-FR"/>
              </w:rPr>
            </w:pPr>
            <w:r w:rsidRPr="00333B9C">
              <w:rPr>
                <w:rFonts w:eastAsia="Times New Roman" w:cs="Calibri"/>
                <w:b/>
                <w:color w:val="000000"/>
                <w:lang w:val="en-US" w:eastAsia="fr-FR"/>
              </w:rPr>
              <w:t>Comorbidities 2 or more</w:t>
            </w:r>
          </w:p>
          <w:p w14:paraId="6C6BC008" w14:textId="68A6A78A" w:rsidR="00C04EDE" w:rsidRPr="00333B9C" w:rsidRDefault="00C04EDE" w:rsidP="005179B2">
            <w:pPr>
              <w:spacing w:after="0" w:line="240" w:lineRule="auto"/>
              <w:jc w:val="center"/>
              <w:rPr>
                <w:rFonts w:eastAsia="Times New Roman" w:cs="Calibri"/>
                <w:b/>
                <w:color w:val="000000"/>
                <w:lang w:eastAsia="fr-FR"/>
              </w:rPr>
            </w:pPr>
            <w:r w:rsidRPr="00333B9C">
              <w:rPr>
                <w:rFonts w:eastAsia="Times New Roman" w:cs="Calibri"/>
                <w:b/>
                <w:color w:val="000000"/>
                <w:lang w:val="en-US" w:eastAsia="fr-FR"/>
              </w:rPr>
              <w:t xml:space="preserve">(n = </w:t>
            </w:r>
            <w:r w:rsidR="005179B2">
              <w:rPr>
                <w:rFonts w:eastAsia="Times New Roman" w:cs="Calibri"/>
                <w:b/>
                <w:color w:val="000000"/>
                <w:lang w:val="en-US" w:eastAsia="fr-FR"/>
              </w:rPr>
              <w:t>395</w:t>
            </w:r>
            <w:r w:rsidRPr="00333B9C">
              <w:rPr>
                <w:rFonts w:eastAsia="Times New Roman" w:cs="Calibri"/>
                <w:b/>
                <w:color w:val="000000"/>
                <w:lang w:val="en-US"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CB2EA43" w14:textId="77777777" w:rsidR="00C04EDE" w:rsidRPr="00333B9C" w:rsidRDefault="00C04EDE"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OR [IC95%]</w:t>
            </w:r>
          </w:p>
        </w:tc>
        <w:tc>
          <w:tcPr>
            <w:tcW w:w="863" w:type="dxa"/>
            <w:tcBorders>
              <w:top w:val="single" w:sz="4" w:space="0" w:color="auto"/>
              <w:bottom w:val="single" w:sz="4" w:space="0" w:color="auto"/>
            </w:tcBorders>
            <w:shd w:val="clear" w:color="auto" w:fill="D9D9D9" w:themeFill="background1" w:themeFillShade="D9"/>
            <w:noWrap/>
            <w:vAlign w:val="bottom"/>
            <w:hideMark/>
          </w:tcPr>
          <w:p w14:paraId="76D21A2D" w14:textId="77777777" w:rsidR="00C04EDE" w:rsidRPr="00333B9C" w:rsidRDefault="00C04EDE"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p</w:t>
            </w:r>
          </w:p>
        </w:tc>
      </w:tr>
      <w:tr w:rsidR="00C04EDE" w:rsidRPr="00C81B78" w14:paraId="74A2FF07" w14:textId="77777777" w:rsidTr="00EA10ED">
        <w:trPr>
          <w:trHeight w:val="300"/>
          <w:jc w:val="center"/>
        </w:trPr>
        <w:tc>
          <w:tcPr>
            <w:tcW w:w="2547" w:type="dxa"/>
            <w:tcBorders>
              <w:top w:val="single" w:sz="4" w:space="0" w:color="auto"/>
              <w:left w:val="single" w:sz="4" w:space="0" w:color="auto"/>
              <w:bottom w:val="nil"/>
            </w:tcBorders>
            <w:shd w:val="clear" w:color="auto" w:fill="auto"/>
            <w:noWrap/>
            <w:vAlign w:val="center"/>
            <w:hideMark/>
          </w:tcPr>
          <w:p w14:paraId="2CCA2D0F" w14:textId="69688B66" w:rsidR="00C04EDE" w:rsidRPr="009B46ED" w:rsidRDefault="00C04EDE" w:rsidP="00C04EDE">
            <w:pPr>
              <w:rPr>
                <w:rFonts w:eastAsia="Times New Roman" w:cs="Calibri"/>
                <w:b/>
                <w:color w:val="000000"/>
                <w:lang w:eastAsia="fr-FR"/>
              </w:rPr>
            </w:pPr>
            <w:proofErr w:type="spellStart"/>
            <w:r>
              <w:rPr>
                <w:rFonts w:eastAsia="Times New Roman" w:cs="Calibri"/>
                <w:b/>
                <w:color w:val="000000"/>
                <w:lang w:eastAsia="fr-FR"/>
              </w:rPr>
              <w:t>Number</w:t>
            </w:r>
            <w:proofErr w:type="spellEnd"/>
            <w:r>
              <w:rPr>
                <w:rFonts w:eastAsia="Times New Roman" w:cs="Calibri"/>
                <w:b/>
                <w:color w:val="000000"/>
                <w:lang w:eastAsia="fr-FR"/>
              </w:rPr>
              <w:t xml:space="preserve"> of </w:t>
            </w:r>
            <w:proofErr w:type="spellStart"/>
            <w:r>
              <w:rPr>
                <w:rFonts w:eastAsia="Times New Roman" w:cs="Calibri"/>
                <w:b/>
                <w:color w:val="000000"/>
                <w:lang w:eastAsia="fr-FR"/>
              </w:rPr>
              <w:t>organ</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failures</w:t>
            </w:r>
            <w:proofErr w:type="spellEnd"/>
          </w:p>
        </w:tc>
        <w:tc>
          <w:tcPr>
            <w:tcW w:w="2556" w:type="dxa"/>
            <w:tcBorders>
              <w:top w:val="single" w:sz="4" w:space="0" w:color="auto"/>
              <w:bottom w:val="nil"/>
            </w:tcBorders>
            <w:shd w:val="clear" w:color="auto" w:fill="auto"/>
            <w:noWrap/>
            <w:vAlign w:val="bottom"/>
          </w:tcPr>
          <w:p w14:paraId="632F610E" w14:textId="77777777" w:rsidR="00C04EDE" w:rsidRPr="009B46ED" w:rsidRDefault="00C04EDE" w:rsidP="00EA10ED">
            <w:pPr>
              <w:rPr>
                <w:rFonts w:eastAsia="Times New Roman" w:cs="Calibri"/>
                <w:b/>
                <w:color w:val="000000"/>
                <w:lang w:eastAsia="fr-FR"/>
              </w:rPr>
            </w:pPr>
          </w:p>
        </w:tc>
        <w:tc>
          <w:tcPr>
            <w:tcW w:w="1701" w:type="dxa"/>
            <w:tcBorders>
              <w:top w:val="single" w:sz="4" w:space="0" w:color="auto"/>
              <w:left w:val="nil"/>
              <w:bottom w:val="nil"/>
              <w:right w:val="nil"/>
            </w:tcBorders>
            <w:shd w:val="clear" w:color="000000" w:fill="FFFFFF"/>
            <w:noWrap/>
            <w:vAlign w:val="bottom"/>
          </w:tcPr>
          <w:p w14:paraId="2BAB304D" w14:textId="77777777" w:rsidR="00C04EDE" w:rsidRPr="009B46ED" w:rsidRDefault="00C04EDE" w:rsidP="00EA10ED">
            <w:pPr>
              <w:rPr>
                <w:rFonts w:eastAsia="Times New Roman" w:cs="Calibri"/>
                <w:b/>
                <w:color w:val="000000"/>
                <w:lang w:eastAsia="fr-FR"/>
              </w:rPr>
            </w:pPr>
          </w:p>
        </w:tc>
        <w:tc>
          <w:tcPr>
            <w:tcW w:w="1701" w:type="dxa"/>
            <w:tcBorders>
              <w:top w:val="single" w:sz="4" w:space="0" w:color="auto"/>
              <w:left w:val="nil"/>
              <w:bottom w:val="nil"/>
              <w:right w:val="nil"/>
            </w:tcBorders>
            <w:shd w:val="clear" w:color="000000" w:fill="FFFFFF"/>
            <w:noWrap/>
            <w:vAlign w:val="bottom"/>
          </w:tcPr>
          <w:p w14:paraId="6168C81F" w14:textId="77777777" w:rsidR="00C04EDE" w:rsidRPr="009B46ED" w:rsidRDefault="00C04EDE" w:rsidP="00EA10ED">
            <w:pPr>
              <w:rPr>
                <w:rFonts w:eastAsia="Times New Roman" w:cs="Calibri"/>
                <w:b/>
                <w:color w:val="000000"/>
                <w:lang w:eastAsia="fr-FR"/>
              </w:rPr>
            </w:pPr>
          </w:p>
        </w:tc>
        <w:tc>
          <w:tcPr>
            <w:tcW w:w="1701" w:type="dxa"/>
            <w:tcBorders>
              <w:top w:val="single" w:sz="4" w:space="0" w:color="auto"/>
              <w:left w:val="nil"/>
              <w:bottom w:val="nil"/>
              <w:right w:val="nil"/>
            </w:tcBorders>
            <w:shd w:val="clear" w:color="000000" w:fill="FFFFFF"/>
            <w:noWrap/>
            <w:vAlign w:val="bottom"/>
          </w:tcPr>
          <w:p w14:paraId="0BD2386A" w14:textId="77777777" w:rsidR="00C04EDE" w:rsidRPr="009B46ED" w:rsidRDefault="00C04EDE" w:rsidP="00EA10ED">
            <w:pPr>
              <w:rPr>
                <w:rFonts w:eastAsia="Times New Roman" w:cs="Calibri"/>
                <w:b/>
                <w:color w:val="000000"/>
                <w:lang w:eastAsia="fr-FR"/>
              </w:rPr>
            </w:pPr>
          </w:p>
        </w:tc>
        <w:tc>
          <w:tcPr>
            <w:tcW w:w="863" w:type="dxa"/>
            <w:tcBorders>
              <w:top w:val="single" w:sz="4" w:space="0" w:color="auto"/>
              <w:bottom w:val="nil"/>
              <w:right w:val="single" w:sz="4" w:space="0" w:color="auto"/>
            </w:tcBorders>
            <w:shd w:val="clear" w:color="auto" w:fill="auto"/>
            <w:noWrap/>
            <w:vAlign w:val="bottom"/>
          </w:tcPr>
          <w:p w14:paraId="1ACAE43F" w14:textId="77777777" w:rsidR="00C04EDE" w:rsidRPr="00C81B78" w:rsidRDefault="00C04EDE" w:rsidP="00EA10ED">
            <w:pPr>
              <w:rPr>
                <w:rFonts w:ascii="Calibri" w:hAnsi="Calibri" w:cs="Calibri"/>
                <w:color w:val="000000"/>
              </w:rPr>
            </w:pPr>
          </w:p>
        </w:tc>
      </w:tr>
      <w:tr w:rsidR="00F8393E" w:rsidRPr="00333B9C" w14:paraId="2A4CA119" w14:textId="77777777" w:rsidTr="00334753">
        <w:trPr>
          <w:trHeight w:val="300"/>
          <w:jc w:val="center"/>
        </w:trPr>
        <w:tc>
          <w:tcPr>
            <w:tcW w:w="2547" w:type="dxa"/>
            <w:tcBorders>
              <w:top w:val="nil"/>
              <w:left w:val="single" w:sz="4" w:space="0" w:color="auto"/>
              <w:bottom w:val="nil"/>
            </w:tcBorders>
            <w:shd w:val="clear" w:color="auto" w:fill="auto"/>
            <w:noWrap/>
            <w:vAlign w:val="center"/>
          </w:tcPr>
          <w:p w14:paraId="2C1EADF3" w14:textId="77777777" w:rsidR="00F8393E" w:rsidRPr="00333B9C" w:rsidRDefault="00F8393E" w:rsidP="00F8393E">
            <w:pPr>
              <w:jc w:val="right"/>
              <w:rPr>
                <w:rFonts w:eastAsia="Times New Roman" w:cs="Calibri"/>
                <w:color w:val="000000"/>
                <w:lang w:eastAsia="fr-FR"/>
              </w:rPr>
            </w:pPr>
            <w:r w:rsidRPr="00333B9C">
              <w:rPr>
                <w:rFonts w:eastAsia="Times New Roman" w:cs="Calibri"/>
                <w:color w:val="000000"/>
                <w:lang w:eastAsia="fr-FR"/>
              </w:rPr>
              <w:t>0</w:t>
            </w:r>
          </w:p>
        </w:tc>
        <w:tc>
          <w:tcPr>
            <w:tcW w:w="2556" w:type="dxa"/>
            <w:tcBorders>
              <w:top w:val="nil"/>
              <w:left w:val="nil"/>
              <w:bottom w:val="nil"/>
              <w:right w:val="nil"/>
            </w:tcBorders>
            <w:shd w:val="clear" w:color="000000" w:fill="FFFFFF"/>
            <w:noWrap/>
          </w:tcPr>
          <w:p w14:paraId="3004073D" w14:textId="248A588B"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403 (39.1%)</w:t>
            </w:r>
          </w:p>
        </w:tc>
        <w:tc>
          <w:tcPr>
            <w:tcW w:w="1701" w:type="dxa"/>
            <w:tcBorders>
              <w:top w:val="nil"/>
              <w:left w:val="nil"/>
              <w:bottom w:val="nil"/>
              <w:right w:val="nil"/>
            </w:tcBorders>
            <w:shd w:val="clear" w:color="000000" w:fill="FFFFFF"/>
            <w:noWrap/>
          </w:tcPr>
          <w:p w14:paraId="25967F56" w14:textId="6A738E6E"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403 (68.4%)</w:t>
            </w:r>
          </w:p>
        </w:tc>
        <w:tc>
          <w:tcPr>
            <w:tcW w:w="1701" w:type="dxa"/>
            <w:tcBorders>
              <w:top w:val="nil"/>
              <w:left w:val="nil"/>
              <w:bottom w:val="nil"/>
              <w:right w:val="nil"/>
            </w:tcBorders>
            <w:shd w:val="clear" w:color="000000" w:fill="FFFFFF"/>
            <w:noWrap/>
          </w:tcPr>
          <w:p w14:paraId="199FC75C" w14:textId="6E2C0C2B"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21AFC1FB" w14:textId="77777777" w:rsidR="00F8393E" w:rsidRPr="00333B9C" w:rsidRDefault="00F8393E" w:rsidP="00F8393E">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6EB17E71" w14:textId="77777777" w:rsidR="00F8393E" w:rsidRPr="00333B9C" w:rsidRDefault="00F8393E" w:rsidP="00F8393E">
            <w:pPr>
              <w:rPr>
                <w:rFonts w:ascii="Calibri" w:hAnsi="Calibri" w:cs="Calibri"/>
                <w:color w:val="000000"/>
                <w:sz w:val="16"/>
              </w:rPr>
            </w:pPr>
          </w:p>
        </w:tc>
      </w:tr>
      <w:tr w:rsidR="00F8393E" w:rsidRPr="00333B9C" w14:paraId="1E5DC69B" w14:textId="77777777" w:rsidTr="00454B47">
        <w:trPr>
          <w:trHeight w:val="300"/>
          <w:jc w:val="center"/>
        </w:trPr>
        <w:tc>
          <w:tcPr>
            <w:tcW w:w="2547" w:type="dxa"/>
            <w:tcBorders>
              <w:top w:val="nil"/>
              <w:left w:val="single" w:sz="4" w:space="0" w:color="auto"/>
              <w:bottom w:val="nil"/>
            </w:tcBorders>
            <w:shd w:val="clear" w:color="auto" w:fill="auto"/>
            <w:noWrap/>
            <w:vAlign w:val="center"/>
          </w:tcPr>
          <w:p w14:paraId="58CD1339" w14:textId="77777777" w:rsidR="00F8393E" w:rsidRPr="00333B9C" w:rsidRDefault="00F8393E" w:rsidP="00F8393E">
            <w:pPr>
              <w:jc w:val="right"/>
              <w:rPr>
                <w:rFonts w:eastAsia="Times New Roman" w:cs="Calibri"/>
                <w:color w:val="000000"/>
                <w:lang w:eastAsia="fr-FR"/>
              </w:rPr>
            </w:pPr>
            <w:r w:rsidRPr="00333B9C">
              <w:rPr>
                <w:rFonts w:eastAsia="Times New Roman" w:cs="Calibri"/>
                <w:color w:val="000000"/>
                <w:lang w:eastAsia="fr-FR"/>
              </w:rPr>
              <w:t>1</w:t>
            </w:r>
          </w:p>
        </w:tc>
        <w:tc>
          <w:tcPr>
            <w:tcW w:w="2556" w:type="dxa"/>
            <w:tcBorders>
              <w:top w:val="nil"/>
              <w:left w:val="nil"/>
              <w:bottom w:val="nil"/>
              <w:right w:val="nil"/>
            </w:tcBorders>
            <w:shd w:val="clear" w:color="000000" w:fill="FFFFFF"/>
            <w:noWrap/>
          </w:tcPr>
          <w:p w14:paraId="4E675510" w14:textId="2ADBB147"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186 (18.1%)</w:t>
            </w:r>
          </w:p>
        </w:tc>
        <w:tc>
          <w:tcPr>
            <w:tcW w:w="1701" w:type="dxa"/>
            <w:tcBorders>
              <w:top w:val="nil"/>
              <w:left w:val="nil"/>
              <w:bottom w:val="nil"/>
              <w:right w:val="nil"/>
            </w:tcBorders>
            <w:shd w:val="clear" w:color="000000" w:fill="FFFFFF"/>
            <w:noWrap/>
          </w:tcPr>
          <w:p w14:paraId="6D371B1B" w14:textId="492CBABF"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186 (31.6%)</w:t>
            </w:r>
          </w:p>
        </w:tc>
        <w:tc>
          <w:tcPr>
            <w:tcW w:w="1701" w:type="dxa"/>
            <w:tcBorders>
              <w:top w:val="nil"/>
              <w:left w:val="nil"/>
              <w:bottom w:val="nil"/>
              <w:right w:val="nil"/>
            </w:tcBorders>
            <w:shd w:val="clear" w:color="000000" w:fill="FFFFFF"/>
            <w:noWrap/>
          </w:tcPr>
          <w:p w14:paraId="7617C1E8" w14:textId="540515F1"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vAlign w:val="bottom"/>
          </w:tcPr>
          <w:p w14:paraId="0876DF17" w14:textId="77777777" w:rsidR="00F8393E" w:rsidRPr="00333B9C" w:rsidRDefault="00F8393E" w:rsidP="00F8393E">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535927EE" w14:textId="77777777" w:rsidR="00F8393E" w:rsidRPr="00333B9C" w:rsidRDefault="00F8393E" w:rsidP="00F8393E">
            <w:pPr>
              <w:rPr>
                <w:rFonts w:ascii="Calibri" w:hAnsi="Calibri" w:cs="Calibri"/>
                <w:color w:val="000000"/>
                <w:sz w:val="16"/>
              </w:rPr>
            </w:pPr>
          </w:p>
        </w:tc>
      </w:tr>
      <w:tr w:rsidR="00F8393E" w:rsidRPr="00333B9C" w14:paraId="6C4644C0" w14:textId="77777777" w:rsidTr="00454B47">
        <w:trPr>
          <w:trHeight w:val="300"/>
          <w:jc w:val="center"/>
        </w:trPr>
        <w:tc>
          <w:tcPr>
            <w:tcW w:w="2547" w:type="dxa"/>
            <w:tcBorders>
              <w:top w:val="nil"/>
              <w:left w:val="single" w:sz="4" w:space="0" w:color="auto"/>
              <w:bottom w:val="nil"/>
            </w:tcBorders>
            <w:shd w:val="clear" w:color="auto" w:fill="auto"/>
            <w:noWrap/>
            <w:vAlign w:val="center"/>
          </w:tcPr>
          <w:p w14:paraId="0E98E66D" w14:textId="77777777" w:rsidR="00F8393E" w:rsidRPr="00333B9C" w:rsidRDefault="00F8393E" w:rsidP="00F8393E">
            <w:pPr>
              <w:jc w:val="right"/>
              <w:rPr>
                <w:rFonts w:eastAsia="Times New Roman" w:cs="Calibri"/>
                <w:color w:val="000000"/>
                <w:lang w:eastAsia="fr-FR"/>
              </w:rPr>
            </w:pPr>
            <w:r w:rsidRPr="00333B9C">
              <w:rPr>
                <w:rFonts w:eastAsia="Times New Roman" w:cs="Calibri"/>
                <w:color w:val="000000"/>
                <w:lang w:eastAsia="fr-FR"/>
              </w:rPr>
              <w:t>2</w:t>
            </w:r>
          </w:p>
        </w:tc>
        <w:tc>
          <w:tcPr>
            <w:tcW w:w="2556" w:type="dxa"/>
            <w:tcBorders>
              <w:top w:val="nil"/>
              <w:left w:val="nil"/>
              <w:bottom w:val="nil"/>
              <w:right w:val="nil"/>
            </w:tcBorders>
            <w:shd w:val="clear" w:color="000000" w:fill="FFFFFF"/>
            <w:noWrap/>
          </w:tcPr>
          <w:p w14:paraId="1ACCAD54" w14:textId="62278F3F"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295 (28.6%)</w:t>
            </w:r>
          </w:p>
        </w:tc>
        <w:tc>
          <w:tcPr>
            <w:tcW w:w="1701" w:type="dxa"/>
            <w:tcBorders>
              <w:top w:val="nil"/>
              <w:left w:val="nil"/>
              <w:bottom w:val="nil"/>
              <w:right w:val="nil"/>
            </w:tcBorders>
            <w:shd w:val="clear" w:color="000000" w:fill="FFFFFF"/>
            <w:noWrap/>
          </w:tcPr>
          <w:p w14:paraId="39223F2A" w14:textId="22AF55C8"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tcPr>
          <w:p w14:paraId="71DE0B51" w14:textId="5FD8A3E1" w:rsidR="00F8393E" w:rsidRPr="00333B9C" w:rsidRDefault="00F8393E" w:rsidP="005179B2">
            <w:pPr>
              <w:jc w:val="center"/>
              <w:rPr>
                <w:rFonts w:eastAsia="Times New Roman" w:cs="Calibri"/>
                <w:b/>
                <w:color w:val="000000"/>
                <w:sz w:val="16"/>
                <w:lang w:eastAsia="fr-FR"/>
              </w:rPr>
            </w:pPr>
            <w:r>
              <w:rPr>
                <w:rFonts w:ascii="Calibri" w:hAnsi="Calibri" w:cs="Calibri"/>
                <w:color w:val="000000"/>
              </w:rPr>
              <w:t>2</w:t>
            </w:r>
            <w:r w:rsidR="005179B2">
              <w:rPr>
                <w:rFonts w:ascii="Calibri" w:hAnsi="Calibri" w:cs="Calibri"/>
                <w:color w:val="000000"/>
              </w:rPr>
              <w:t>64</w:t>
            </w:r>
            <w:r>
              <w:rPr>
                <w:rFonts w:ascii="Calibri" w:hAnsi="Calibri" w:cs="Calibri"/>
                <w:color w:val="000000"/>
              </w:rPr>
              <w:t xml:space="preserve"> (66.9)</w:t>
            </w:r>
          </w:p>
        </w:tc>
        <w:tc>
          <w:tcPr>
            <w:tcW w:w="1701" w:type="dxa"/>
            <w:tcBorders>
              <w:top w:val="nil"/>
              <w:left w:val="nil"/>
              <w:bottom w:val="nil"/>
              <w:right w:val="nil"/>
            </w:tcBorders>
            <w:shd w:val="clear" w:color="000000" w:fill="FFFFFF"/>
            <w:noWrap/>
            <w:vAlign w:val="bottom"/>
          </w:tcPr>
          <w:p w14:paraId="6E651331" w14:textId="77777777" w:rsidR="00F8393E" w:rsidRPr="00333B9C" w:rsidRDefault="00F8393E" w:rsidP="00F8393E">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369E26E1" w14:textId="77777777" w:rsidR="00F8393E" w:rsidRPr="00333B9C" w:rsidRDefault="00F8393E" w:rsidP="00F8393E">
            <w:pPr>
              <w:rPr>
                <w:rFonts w:ascii="Calibri" w:hAnsi="Calibri" w:cs="Calibri"/>
                <w:color w:val="000000"/>
                <w:sz w:val="16"/>
              </w:rPr>
            </w:pPr>
          </w:p>
        </w:tc>
      </w:tr>
      <w:tr w:rsidR="00F8393E" w:rsidRPr="00333B9C" w14:paraId="7948DE13" w14:textId="77777777" w:rsidTr="00454B47">
        <w:trPr>
          <w:trHeight w:val="300"/>
          <w:jc w:val="center"/>
        </w:trPr>
        <w:tc>
          <w:tcPr>
            <w:tcW w:w="2547" w:type="dxa"/>
            <w:tcBorders>
              <w:top w:val="nil"/>
              <w:left w:val="single" w:sz="4" w:space="0" w:color="auto"/>
              <w:bottom w:val="nil"/>
            </w:tcBorders>
            <w:shd w:val="clear" w:color="auto" w:fill="auto"/>
            <w:noWrap/>
            <w:vAlign w:val="center"/>
          </w:tcPr>
          <w:p w14:paraId="5EC870BC" w14:textId="77777777" w:rsidR="00F8393E" w:rsidRPr="00333B9C" w:rsidRDefault="00F8393E" w:rsidP="00F8393E">
            <w:pPr>
              <w:jc w:val="right"/>
              <w:rPr>
                <w:rFonts w:eastAsia="Times New Roman" w:cs="Calibri"/>
                <w:color w:val="000000"/>
                <w:lang w:eastAsia="fr-FR"/>
              </w:rPr>
            </w:pPr>
            <w:r w:rsidRPr="00333B9C">
              <w:rPr>
                <w:rFonts w:eastAsia="Times New Roman" w:cs="Calibri"/>
                <w:color w:val="000000"/>
                <w:lang w:eastAsia="fr-FR"/>
              </w:rPr>
              <w:t>3</w:t>
            </w:r>
          </w:p>
        </w:tc>
        <w:tc>
          <w:tcPr>
            <w:tcW w:w="2556" w:type="dxa"/>
            <w:tcBorders>
              <w:top w:val="nil"/>
              <w:left w:val="nil"/>
              <w:bottom w:val="nil"/>
              <w:right w:val="nil"/>
            </w:tcBorders>
            <w:shd w:val="clear" w:color="000000" w:fill="FFFFFF"/>
            <w:noWrap/>
          </w:tcPr>
          <w:p w14:paraId="4A99C738" w14:textId="680F1CD0"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146 (14.2%)</w:t>
            </w:r>
          </w:p>
        </w:tc>
        <w:tc>
          <w:tcPr>
            <w:tcW w:w="1701" w:type="dxa"/>
            <w:tcBorders>
              <w:top w:val="nil"/>
              <w:left w:val="nil"/>
              <w:bottom w:val="nil"/>
              <w:right w:val="nil"/>
            </w:tcBorders>
            <w:shd w:val="clear" w:color="000000" w:fill="FFFFFF"/>
            <w:noWrap/>
          </w:tcPr>
          <w:p w14:paraId="087C90E7" w14:textId="26D15153" w:rsidR="00F8393E" w:rsidRPr="00333B9C" w:rsidRDefault="00F8393E" w:rsidP="00F8393E">
            <w:pPr>
              <w:jc w:val="center"/>
              <w:rPr>
                <w:rFonts w:eastAsia="Times New Roman" w:cs="Calibri"/>
                <w:b/>
                <w:color w:val="000000"/>
                <w:sz w:val="16"/>
                <w:lang w:eastAsia="fr-FR"/>
              </w:rPr>
            </w:pPr>
            <w:r>
              <w:rPr>
                <w:rFonts w:ascii="Calibri" w:hAnsi="Calibri" w:cs="Calibri"/>
                <w:color w:val="000000"/>
              </w:rPr>
              <w:t>0 (0.0)</w:t>
            </w:r>
          </w:p>
        </w:tc>
        <w:tc>
          <w:tcPr>
            <w:tcW w:w="1701" w:type="dxa"/>
            <w:tcBorders>
              <w:top w:val="nil"/>
              <w:left w:val="nil"/>
              <w:bottom w:val="nil"/>
              <w:right w:val="nil"/>
            </w:tcBorders>
            <w:shd w:val="clear" w:color="000000" w:fill="FFFFFF"/>
            <w:noWrap/>
          </w:tcPr>
          <w:p w14:paraId="2DCFB46D" w14:textId="06BD5782" w:rsidR="00F8393E" w:rsidRPr="00333B9C" w:rsidRDefault="00F8393E" w:rsidP="005179B2">
            <w:pPr>
              <w:jc w:val="center"/>
              <w:rPr>
                <w:rFonts w:eastAsia="Times New Roman" w:cs="Calibri"/>
                <w:b/>
                <w:color w:val="000000"/>
                <w:sz w:val="16"/>
                <w:lang w:eastAsia="fr-FR"/>
              </w:rPr>
            </w:pPr>
            <w:r>
              <w:rPr>
                <w:rFonts w:ascii="Calibri" w:hAnsi="Calibri" w:cs="Calibri"/>
                <w:color w:val="000000"/>
              </w:rPr>
              <w:t>1</w:t>
            </w:r>
            <w:r w:rsidR="005179B2">
              <w:rPr>
                <w:rFonts w:ascii="Calibri" w:hAnsi="Calibri" w:cs="Calibri"/>
                <w:color w:val="000000"/>
              </w:rPr>
              <w:t>30</w:t>
            </w:r>
            <w:r>
              <w:rPr>
                <w:rFonts w:ascii="Calibri" w:hAnsi="Calibri" w:cs="Calibri"/>
                <w:color w:val="000000"/>
              </w:rPr>
              <w:t xml:space="preserve"> (33.1)</w:t>
            </w:r>
          </w:p>
        </w:tc>
        <w:tc>
          <w:tcPr>
            <w:tcW w:w="1701" w:type="dxa"/>
            <w:tcBorders>
              <w:top w:val="nil"/>
              <w:left w:val="nil"/>
              <w:bottom w:val="nil"/>
              <w:right w:val="nil"/>
            </w:tcBorders>
            <w:shd w:val="clear" w:color="000000" w:fill="FFFFFF"/>
            <w:noWrap/>
            <w:vAlign w:val="bottom"/>
          </w:tcPr>
          <w:p w14:paraId="14499084" w14:textId="77777777" w:rsidR="00F8393E" w:rsidRPr="00333B9C" w:rsidRDefault="00F8393E" w:rsidP="00F8393E">
            <w:pPr>
              <w:rPr>
                <w:rFonts w:eastAsia="Times New Roman" w:cs="Calibri"/>
                <w:b/>
                <w:color w:val="000000"/>
                <w:sz w:val="16"/>
                <w:lang w:eastAsia="fr-FR"/>
              </w:rPr>
            </w:pPr>
          </w:p>
        </w:tc>
        <w:tc>
          <w:tcPr>
            <w:tcW w:w="863" w:type="dxa"/>
            <w:tcBorders>
              <w:top w:val="nil"/>
              <w:bottom w:val="nil"/>
              <w:right w:val="single" w:sz="4" w:space="0" w:color="auto"/>
            </w:tcBorders>
            <w:shd w:val="clear" w:color="auto" w:fill="auto"/>
            <w:noWrap/>
            <w:vAlign w:val="bottom"/>
          </w:tcPr>
          <w:p w14:paraId="6539E667" w14:textId="77777777" w:rsidR="00F8393E" w:rsidRPr="00333B9C" w:rsidRDefault="00F8393E" w:rsidP="00F8393E">
            <w:pPr>
              <w:rPr>
                <w:rFonts w:ascii="Calibri" w:hAnsi="Calibri" w:cs="Calibri"/>
                <w:color w:val="000000"/>
                <w:sz w:val="16"/>
              </w:rPr>
            </w:pPr>
          </w:p>
        </w:tc>
      </w:tr>
      <w:tr w:rsidR="00F8393E" w:rsidRPr="0009503D" w14:paraId="1FDC1BEA" w14:textId="77777777" w:rsidTr="00EA10ED">
        <w:trPr>
          <w:trHeight w:val="60"/>
          <w:jc w:val="center"/>
        </w:trPr>
        <w:tc>
          <w:tcPr>
            <w:tcW w:w="2547" w:type="dxa"/>
            <w:noWrap/>
          </w:tcPr>
          <w:p w14:paraId="01CEEF9A" w14:textId="77777777" w:rsidR="00F8393E" w:rsidRPr="0023047F" w:rsidRDefault="00F8393E" w:rsidP="00F8393E">
            <w:pPr>
              <w:jc w:val="right"/>
              <w:rPr>
                <w:rFonts w:eastAsia="Times New Roman" w:cs="Calibri"/>
                <w:b/>
                <w:color w:val="000000"/>
                <w:lang w:val="en-US" w:eastAsia="fr-FR"/>
              </w:rPr>
            </w:pPr>
            <w:r w:rsidRPr="0023047F">
              <w:rPr>
                <w:rFonts w:ascii="Calibri" w:hAnsi="Calibri" w:cs="Calibri"/>
                <w:b/>
                <w:color w:val="000000"/>
                <w:lang w:val="en-US"/>
              </w:rPr>
              <w:t>Type of IL-6R inhibitor</w:t>
            </w:r>
          </w:p>
        </w:tc>
        <w:tc>
          <w:tcPr>
            <w:tcW w:w="2556" w:type="dxa"/>
            <w:tcBorders>
              <w:top w:val="nil"/>
              <w:left w:val="nil"/>
              <w:bottom w:val="nil"/>
              <w:right w:val="nil"/>
            </w:tcBorders>
            <w:shd w:val="clear" w:color="000000" w:fill="FFFFFF"/>
            <w:noWrap/>
            <w:vAlign w:val="bottom"/>
          </w:tcPr>
          <w:p w14:paraId="7ACAA6DB" w14:textId="77777777" w:rsidR="00F8393E" w:rsidRPr="0023047F" w:rsidRDefault="00F8393E" w:rsidP="00F8393E">
            <w:pPr>
              <w:jc w:val="center"/>
              <w:rPr>
                <w:rFonts w:ascii="Calibri" w:hAnsi="Calibri" w:cs="Calibri"/>
                <w:color w:val="000000"/>
                <w:lang w:val="en-US"/>
              </w:rPr>
            </w:pPr>
          </w:p>
        </w:tc>
        <w:tc>
          <w:tcPr>
            <w:tcW w:w="1701" w:type="dxa"/>
            <w:tcBorders>
              <w:top w:val="nil"/>
              <w:left w:val="nil"/>
              <w:bottom w:val="nil"/>
              <w:right w:val="nil"/>
            </w:tcBorders>
            <w:shd w:val="clear" w:color="000000" w:fill="FFFFFF"/>
            <w:noWrap/>
            <w:vAlign w:val="bottom"/>
          </w:tcPr>
          <w:p w14:paraId="4B701D71" w14:textId="77777777" w:rsidR="00F8393E" w:rsidRPr="0023047F" w:rsidRDefault="00F8393E" w:rsidP="00F8393E">
            <w:pPr>
              <w:jc w:val="center"/>
              <w:rPr>
                <w:rFonts w:ascii="Calibri" w:hAnsi="Calibri" w:cs="Calibri"/>
                <w:color w:val="000000"/>
                <w:lang w:val="en-US"/>
              </w:rPr>
            </w:pPr>
          </w:p>
        </w:tc>
        <w:tc>
          <w:tcPr>
            <w:tcW w:w="1701" w:type="dxa"/>
            <w:tcBorders>
              <w:top w:val="nil"/>
              <w:left w:val="nil"/>
              <w:bottom w:val="nil"/>
              <w:right w:val="nil"/>
            </w:tcBorders>
            <w:shd w:val="clear" w:color="000000" w:fill="FFFFFF"/>
            <w:noWrap/>
            <w:vAlign w:val="bottom"/>
          </w:tcPr>
          <w:p w14:paraId="2726489A" w14:textId="77777777" w:rsidR="00F8393E" w:rsidRPr="0023047F" w:rsidRDefault="00F8393E" w:rsidP="00F8393E">
            <w:pPr>
              <w:jc w:val="center"/>
              <w:rPr>
                <w:rFonts w:ascii="Calibri" w:hAnsi="Calibri" w:cs="Calibri"/>
                <w:color w:val="000000"/>
                <w:lang w:val="en-US"/>
              </w:rPr>
            </w:pPr>
          </w:p>
        </w:tc>
        <w:tc>
          <w:tcPr>
            <w:tcW w:w="1701" w:type="dxa"/>
            <w:tcBorders>
              <w:top w:val="nil"/>
              <w:left w:val="nil"/>
              <w:bottom w:val="nil"/>
              <w:right w:val="nil"/>
            </w:tcBorders>
            <w:shd w:val="clear" w:color="000000" w:fill="FFFFFF"/>
            <w:noWrap/>
            <w:vAlign w:val="bottom"/>
          </w:tcPr>
          <w:p w14:paraId="02BBF98A" w14:textId="77777777" w:rsidR="00F8393E" w:rsidRPr="0023047F" w:rsidRDefault="00F8393E" w:rsidP="00F8393E">
            <w:pPr>
              <w:rPr>
                <w:rFonts w:eastAsia="Times New Roman" w:cs="Calibri"/>
                <w:b/>
                <w:color w:val="000000"/>
                <w:sz w:val="16"/>
                <w:lang w:val="en-US" w:eastAsia="fr-FR"/>
              </w:rPr>
            </w:pPr>
          </w:p>
        </w:tc>
        <w:tc>
          <w:tcPr>
            <w:tcW w:w="863" w:type="dxa"/>
            <w:tcBorders>
              <w:top w:val="nil"/>
              <w:bottom w:val="nil"/>
              <w:right w:val="single" w:sz="4" w:space="0" w:color="auto"/>
            </w:tcBorders>
            <w:shd w:val="clear" w:color="auto" w:fill="auto"/>
            <w:noWrap/>
            <w:vAlign w:val="bottom"/>
          </w:tcPr>
          <w:p w14:paraId="0060E274" w14:textId="77777777" w:rsidR="00F8393E" w:rsidRPr="0023047F" w:rsidRDefault="00F8393E" w:rsidP="00F8393E">
            <w:pPr>
              <w:rPr>
                <w:rFonts w:ascii="Calibri" w:hAnsi="Calibri" w:cs="Calibri"/>
                <w:color w:val="000000"/>
                <w:sz w:val="16"/>
                <w:lang w:val="en-US"/>
              </w:rPr>
            </w:pPr>
          </w:p>
        </w:tc>
      </w:tr>
      <w:tr w:rsidR="00F8393E" w:rsidRPr="00333B9C" w14:paraId="34D4CCDE" w14:textId="77777777" w:rsidTr="00334753">
        <w:trPr>
          <w:trHeight w:val="60"/>
          <w:jc w:val="center"/>
        </w:trPr>
        <w:tc>
          <w:tcPr>
            <w:tcW w:w="2547" w:type="dxa"/>
            <w:noWrap/>
          </w:tcPr>
          <w:p w14:paraId="5A27AB14" w14:textId="77777777" w:rsidR="00F8393E" w:rsidRPr="00333B9C" w:rsidRDefault="00F8393E" w:rsidP="00F8393E">
            <w:pPr>
              <w:jc w:val="right"/>
              <w:rPr>
                <w:rFonts w:eastAsia="Times New Roman" w:cs="Calibri"/>
                <w:color w:val="000000"/>
                <w:lang w:eastAsia="fr-FR"/>
              </w:rPr>
            </w:pPr>
            <w:proofErr w:type="spellStart"/>
            <w:r w:rsidRPr="00247B7E">
              <w:rPr>
                <w:rFonts w:ascii="Calibri" w:hAnsi="Calibri" w:cs="Calibri"/>
                <w:color w:val="000000"/>
                <w:lang w:val="en-US"/>
              </w:rPr>
              <w:t>Sarilumab</w:t>
            </w:r>
            <w:proofErr w:type="spellEnd"/>
          </w:p>
        </w:tc>
        <w:tc>
          <w:tcPr>
            <w:tcW w:w="2556" w:type="dxa"/>
            <w:tcBorders>
              <w:top w:val="nil"/>
              <w:left w:val="nil"/>
              <w:bottom w:val="nil"/>
              <w:right w:val="nil"/>
            </w:tcBorders>
            <w:shd w:val="clear" w:color="000000" w:fill="FFFFFF"/>
            <w:noWrap/>
            <w:vAlign w:val="bottom"/>
          </w:tcPr>
          <w:p w14:paraId="3EDB0E5C" w14:textId="7D8B72A9" w:rsidR="00F8393E" w:rsidRDefault="00F8393E" w:rsidP="00F8393E">
            <w:pPr>
              <w:jc w:val="center"/>
              <w:rPr>
                <w:rFonts w:ascii="Calibri" w:hAnsi="Calibri" w:cs="Calibri"/>
                <w:color w:val="000000"/>
              </w:rPr>
            </w:pPr>
            <w:r>
              <w:rPr>
                <w:rFonts w:ascii="Calibri" w:hAnsi="Calibri" w:cs="Calibri"/>
                <w:color w:val="000000"/>
              </w:rPr>
              <w:t>844 (86.56%)</w:t>
            </w:r>
          </w:p>
        </w:tc>
        <w:tc>
          <w:tcPr>
            <w:tcW w:w="1701" w:type="dxa"/>
            <w:tcBorders>
              <w:top w:val="nil"/>
              <w:left w:val="nil"/>
              <w:bottom w:val="nil"/>
              <w:right w:val="nil"/>
            </w:tcBorders>
            <w:shd w:val="clear" w:color="000000" w:fill="FFFFFF"/>
            <w:noWrap/>
            <w:vAlign w:val="bottom"/>
          </w:tcPr>
          <w:p w14:paraId="74C2AF11" w14:textId="69BAB906" w:rsidR="00F8393E" w:rsidRDefault="00F8393E" w:rsidP="00F8393E">
            <w:pPr>
              <w:jc w:val="center"/>
              <w:rPr>
                <w:rFonts w:ascii="Calibri" w:hAnsi="Calibri" w:cs="Calibri"/>
                <w:color w:val="000000"/>
              </w:rPr>
            </w:pPr>
            <w:r>
              <w:rPr>
                <w:rFonts w:ascii="Calibri" w:hAnsi="Calibri" w:cs="Calibri"/>
                <w:color w:val="000000"/>
              </w:rPr>
              <w:t>488 (86.07%)</w:t>
            </w:r>
          </w:p>
        </w:tc>
        <w:tc>
          <w:tcPr>
            <w:tcW w:w="1701" w:type="dxa"/>
            <w:tcBorders>
              <w:top w:val="nil"/>
              <w:left w:val="nil"/>
              <w:bottom w:val="nil"/>
              <w:right w:val="nil"/>
            </w:tcBorders>
            <w:shd w:val="clear" w:color="000000" w:fill="FFFFFF"/>
            <w:noWrap/>
            <w:vAlign w:val="bottom"/>
          </w:tcPr>
          <w:p w14:paraId="6BC32299" w14:textId="3B59104B" w:rsidR="00F8393E" w:rsidRDefault="00F8393E" w:rsidP="00F8393E">
            <w:pPr>
              <w:jc w:val="center"/>
              <w:rPr>
                <w:rFonts w:ascii="Calibri" w:hAnsi="Calibri" w:cs="Calibri"/>
                <w:color w:val="000000"/>
              </w:rPr>
            </w:pPr>
            <w:r>
              <w:rPr>
                <w:rFonts w:ascii="Calibri" w:hAnsi="Calibri" w:cs="Calibri"/>
                <w:color w:val="000000"/>
              </w:rPr>
              <w:t>356 (87.25%)</w:t>
            </w:r>
          </w:p>
        </w:tc>
        <w:tc>
          <w:tcPr>
            <w:tcW w:w="1701" w:type="dxa"/>
            <w:tcBorders>
              <w:top w:val="nil"/>
              <w:left w:val="nil"/>
              <w:bottom w:val="nil"/>
              <w:right w:val="nil"/>
            </w:tcBorders>
            <w:shd w:val="clear" w:color="000000" w:fill="FFFFFF"/>
            <w:noWrap/>
            <w:vAlign w:val="bottom"/>
          </w:tcPr>
          <w:p w14:paraId="38133880" w14:textId="62D2E369" w:rsidR="00F8393E" w:rsidRPr="00333B9C" w:rsidRDefault="00F8393E" w:rsidP="00F8393E">
            <w:pPr>
              <w:rPr>
                <w:rFonts w:eastAsia="Times New Roman" w:cs="Calibri"/>
                <w:b/>
                <w:color w:val="000000"/>
                <w:sz w:val="16"/>
                <w:lang w:eastAsia="fr-FR"/>
              </w:rPr>
            </w:pPr>
            <w:r>
              <w:rPr>
                <w:rFonts w:ascii="Calibri" w:hAnsi="Calibri" w:cs="Calibri"/>
                <w:color w:val="000000"/>
              </w:rPr>
              <w:t>1</w:t>
            </w:r>
          </w:p>
        </w:tc>
        <w:tc>
          <w:tcPr>
            <w:tcW w:w="863" w:type="dxa"/>
            <w:tcBorders>
              <w:top w:val="nil"/>
              <w:left w:val="nil"/>
              <w:bottom w:val="nil"/>
              <w:right w:val="single" w:sz="4" w:space="0" w:color="auto"/>
            </w:tcBorders>
            <w:shd w:val="clear" w:color="000000" w:fill="FFFFFF"/>
            <w:noWrap/>
            <w:vAlign w:val="bottom"/>
          </w:tcPr>
          <w:p w14:paraId="546B5626" w14:textId="4F6B2F00" w:rsidR="00F8393E" w:rsidRPr="00333B9C" w:rsidRDefault="00F8393E" w:rsidP="00F8393E">
            <w:pPr>
              <w:rPr>
                <w:rFonts w:ascii="Calibri" w:hAnsi="Calibri" w:cs="Calibri"/>
                <w:color w:val="000000"/>
                <w:sz w:val="16"/>
              </w:rPr>
            </w:pPr>
            <w:r>
              <w:rPr>
                <w:rFonts w:ascii="Calibri" w:hAnsi="Calibri" w:cs="Calibri"/>
                <w:color w:val="000000"/>
              </w:rPr>
              <w:t>0,59</w:t>
            </w:r>
          </w:p>
        </w:tc>
      </w:tr>
      <w:tr w:rsidR="00F8393E" w:rsidRPr="00333B9C" w14:paraId="34C38E82" w14:textId="77777777" w:rsidTr="00334753">
        <w:trPr>
          <w:trHeight w:val="60"/>
          <w:jc w:val="center"/>
        </w:trPr>
        <w:tc>
          <w:tcPr>
            <w:tcW w:w="2547" w:type="dxa"/>
            <w:noWrap/>
          </w:tcPr>
          <w:p w14:paraId="62C42B0D" w14:textId="77777777" w:rsidR="00F8393E" w:rsidRPr="00333B9C" w:rsidRDefault="00F8393E" w:rsidP="00F8393E">
            <w:pPr>
              <w:jc w:val="right"/>
              <w:rPr>
                <w:rFonts w:eastAsia="Times New Roman" w:cs="Calibri"/>
                <w:color w:val="000000"/>
                <w:lang w:eastAsia="fr-FR"/>
              </w:rPr>
            </w:pPr>
            <w:proofErr w:type="spellStart"/>
            <w:r>
              <w:rPr>
                <w:rFonts w:eastAsia="Times New Roman" w:cs="Calibri"/>
                <w:color w:val="000000"/>
                <w:lang w:val="en-US" w:eastAsia="fr-FR"/>
              </w:rPr>
              <w:t>Tocilizumab</w:t>
            </w:r>
            <w:proofErr w:type="spellEnd"/>
          </w:p>
        </w:tc>
        <w:tc>
          <w:tcPr>
            <w:tcW w:w="2556" w:type="dxa"/>
            <w:tcBorders>
              <w:top w:val="nil"/>
              <w:left w:val="nil"/>
              <w:bottom w:val="nil"/>
              <w:right w:val="nil"/>
            </w:tcBorders>
            <w:shd w:val="clear" w:color="000000" w:fill="FFFFFF"/>
            <w:noWrap/>
            <w:vAlign w:val="bottom"/>
          </w:tcPr>
          <w:p w14:paraId="1AB479BA" w14:textId="5DF6F681" w:rsidR="00F8393E" w:rsidRDefault="00F8393E" w:rsidP="00F8393E">
            <w:pPr>
              <w:jc w:val="center"/>
              <w:rPr>
                <w:rFonts w:ascii="Calibri" w:hAnsi="Calibri" w:cs="Calibri"/>
                <w:color w:val="000000"/>
              </w:rPr>
            </w:pPr>
            <w:r>
              <w:rPr>
                <w:rFonts w:ascii="Calibri" w:hAnsi="Calibri" w:cs="Calibri"/>
                <w:color w:val="000000"/>
              </w:rPr>
              <w:t>131 (13.44%)</w:t>
            </w:r>
          </w:p>
        </w:tc>
        <w:tc>
          <w:tcPr>
            <w:tcW w:w="1701" w:type="dxa"/>
            <w:tcBorders>
              <w:top w:val="nil"/>
              <w:left w:val="nil"/>
              <w:bottom w:val="nil"/>
              <w:right w:val="nil"/>
            </w:tcBorders>
            <w:shd w:val="clear" w:color="000000" w:fill="FFFFFF"/>
            <w:noWrap/>
            <w:vAlign w:val="bottom"/>
          </w:tcPr>
          <w:p w14:paraId="18AE8C8B" w14:textId="665B9518" w:rsidR="00F8393E" w:rsidRDefault="00F8393E" w:rsidP="00F8393E">
            <w:pPr>
              <w:jc w:val="center"/>
              <w:rPr>
                <w:rFonts w:ascii="Calibri" w:hAnsi="Calibri" w:cs="Calibri"/>
                <w:color w:val="000000"/>
              </w:rPr>
            </w:pPr>
            <w:r>
              <w:rPr>
                <w:rFonts w:ascii="Calibri" w:hAnsi="Calibri" w:cs="Calibri"/>
                <w:color w:val="000000"/>
              </w:rPr>
              <w:t>79 (13.93%)</w:t>
            </w:r>
          </w:p>
        </w:tc>
        <w:tc>
          <w:tcPr>
            <w:tcW w:w="1701" w:type="dxa"/>
            <w:tcBorders>
              <w:top w:val="nil"/>
              <w:left w:val="nil"/>
              <w:bottom w:val="nil"/>
              <w:right w:val="nil"/>
            </w:tcBorders>
            <w:shd w:val="clear" w:color="000000" w:fill="FFFFFF"/>
            <w:noWrap/>
            <w:vAlign w:val="bottom"/>
          </w:tcPr>
          <w:p w14:paraId="7B527E45" w14:textId="62739894" w:rsidR="00F8393E" w:rsidRDefault="00F8393E" w:rsidP="00F8393E">
            <w:pPr>
              <w:jc w:val="center"/>
              <w:rPr>
                <w:rFonts w:ascii="Calibri" w:hAnsi="Calibri" w:cs="Calibri"/>
                <w:color w:val="000000"/>
              </w:rPr>
            </w:pPr>
            <w:r>
              <w:rPr>
                <w:rFonts w:ascii="Calibri" w:hAnsi="Calibri" w:cs="Calibri"/>
                <w:color w:val="000000"/>
              </w:rPr>
              <w:t>52 (12.75%)</w:t>
            </w:r>
          </w:p>
        </w:tc>
        <w:tc>
          <w:tcPr>
            <w:tcW w:w="1701" w:type="dxa"/>
            <w:tcBorders>
              <w:top w:val="nil"/>
              <w:left w:val="nil"/>
              <w:bottom w:val="nil"/>
              <w:right w:val="nil"/>
            </w:tcBorders>
            <w:shd w:val="clear" w:color="000000" w:fill="FFFFFF"/>
            <w:noWrap/>
            <w:vAlign w:val="bottom"/>
          </w:tcPr>
          <w:p w14:paraId="26C30BBD" w14:textId="07B13DF6" w:rsidR="00F8393E" w:rsidRPr="00333B9C" w:rsidRDefault="00F8393E" w:rsidP="00F8393E">
            <w:pPr>
              <w:rPr>
                <w:rFonts w:eastAsia="Times New Roman" w:cs="Calibri"/>
                <w:b/>
                <w:color w:val="000000"/>
                <w:sz w:val="16"/>
                <w:lang w:eastAsia="fr-FR"/>
              </w:rPr>
            </w:pPr>
            <w:r>
              <w:rPr>
                <w:rFonts w:ascii="Calibri" w:hAnsi="Calibri" w:cs="Calibri"/>
                <w:color w:val="000000"/>
              </w:rPr>
              <w:t>0.90 [0.62;1.31]</w:t>
            </w:r>
          </w:p>
        </w:tc>
        <w:tc>
          <w:tcPr>
            <w:tcW w:w="863" w:type="dxa"/>
            <w:tcBorders>
              <w:top w:val="nil"/>
              <w:left w:val="nil"/>
              <w:bottom w:val="nil"/>
              <w:right w:val="single" w:sz="4" w:space="0" w:color="auto"/>
            </w:tcBorders>
            <w:shd w:val="clear" w:color="000000" w:fill="FFFFFF"/>
            <w:noWrap/>
            <w:vAlign w:val="bottom"/>
          </w:tcPr>
          <w:p w14:paraId="23A61014" w14:textId="35A2B1D4" w:rsidR="00F8393E" w:rsidRPr="00333B9C" w:rsidRDefault="00F8393E" w:rsidP="00F8393E">
            <w:pPr>
              <w:rPr>
                <w:rFonts w:ascii="Calibri" w:hAnsi="Calibri" w:cs="Calibri"/>
                <w:color w:val="000000"/>
                <w:sz w:val="16"/>
              </w:rPr>
            </w:pPr>
            <w:r>
              <w:rPr>
                <w:rFonts w:ascii="Calibri" w:hAnsi="Calibri" w:cs="Calibri"/>
                <w:color w:val="000000"/>
              </w:rPr>
              <w:t> </w:t>
            </w:r>
          </w:p>
        </w:tc>
      </w:tr>
      <w:tr w:rsidR="00F8393E" w:rsidRPr="00C81B78" w14:paraId="5C3BE61F" w14:textId="77777777" w:rsidTr="00334753">
        <w:trPr>
          <w:trHeight w:val="300"/>
          <w:jc w:val="center"/>
        </w:trPr>
        <w:tc>
          <w:tcPr>
            <w:tcW w:w="2547" w:type="dxa"/>
            <w:tcBorders>
              <w:top w:val="nil"/>
            </w:tcBorders>
            <w:shd w:val="clear" w:color="auto" w:fill="auto"/>
            <w:noWrap/>
            <w:vAlign w:val="center"/>
          </w:tcPr>
          <w:p w14:paraId="4D3ED064" w14:textId="77777777" w:rsidR="00F8393E" w:rsidRDefault="00F8393E" w:rsidP="00F8393E">
            <w:pPr>
              <w:rPr>
                <w:rFonts w:eastAsia="Times New Roman" w:cs="Calibri"/>
                <w:b/>
                <w:color w:val="000000"/>
                <w:lang w:eastAsia="fr-FR"/>
              </w:rPr>
            </w:pPr>
            <w:r>
              <w:rPr>
                <w:rFonts w:eastAsia="Times New Roman" w:cs="Calibri"/>
                <w:b/>
                <w:color w:val="000000"/>
                <w:lang w:eastAsia="fr-FR"/>
              </w:rPr>
              <w:t xml:space="preserve">Infection </w:t>
            </w:r>
            <w:proofErr w:type="spellStart"/>
            <w:r>
              <w:rPr>
                <w:rFonts w:eastAsia="Times New Roman" w:cs="Calibri"/>
                <w:b/>
                <w:color w:val="000000"/>
                <w:lang w:eastAsia="fr-FR"/>
              </w:rPr>
              <w:t>during</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hospital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stay</w:t>
            </w:r>
            <w:proofErr w:type="spellEnd"/>
          </w:p>
        </w:tc>
        <w:tc>
          <w:tcPr>
            <w:tcW w:w="2556" w:type="dxa"/>
            <w:tcBorders>
              <w:top w:val="nil"/>
              <w:left w:val="nil"/>
              <w:bottom w:val="nil"/>
              <w:right w:val="nil"/>
            </w:tcBorders>
            <w:shd w:val="clear" w:color="000000" w:fill="FFFFFF"/>
            <w:noWrap/>
            <w:vAlign w:val="bottom"/>
          </w:tcPr>
          <w:p w14:paraId="7DCD6AE2" w14:textId="54D60192" w:rsidR="00F8393E" w:rsidRPr="009B46ED" w:rsidRDefault="00F8393E" w:rsidP="00F8393E">
            <w:pPr>
              <w:rPr>
                <w:rFonts w:eastAsia="Times New Roman" w:cs="Calibri"/>
                <w:b/>
                <w:color w:val="000000"/>
                <w:lang w:eastAsia="fr-FR"/>
              </w:rPr>
            </w:pPr>
            <w:r>
              <w:rPr>
                <w:rFonts w:ascii="Calibri" w:hAnsi="Calibri" w:cs="Calibri"/>
                <w:color w:val="000000"/>
              </w:rPr>
              <w:t>458 (44.47%)</w:t>
            </w:r>
          </w:p>
        </w:tc>
        <w:tc>
          <w:tcPr>
            <w:tcW w:w="1701" w:type="dxa"/>
            <w:tcBorders>
              <w:top w:val="nil"/>
              <w:left w:val="nil"/>
              <w:bottom w:val="nil"/>
              <w:right w:val="nil"/>
            </w:tcBorders>
            <w:shd w:val="clear" w:color="000000" w:fill="FFFFFF"/>
            <w:noWrap/>
            <w:vAlign w:val="bottom"/>
          </w:tcPr>
          <w:p w14:paraId="4C8A6925" w14:textId="771DB090" w:rsidR="00F8393E" w:rsidRPr="009B46ED" w:rsidRDefault="00F8393E" w:rsidP="00F8393E">
            <w:pPr>
              <w:rPr>
                <w:rFonts w:eastAsia="Times New Roman" w:cs="Calibri"/>
                <w:b/>
                <w:color w:val="000000"/>
                <w:lang w:eastAsia="fr-FR"/>
              </w:rPr>
            </w:pPr>
            <w:r>
              <w:rPr>
                <w:rFonts w:ascii="Calibri" w:hAnsi="Calibri" w:cs="Calibri"/>
                <w:color w:val="000000"/>
              </w:rPr>
              <w:t>117 (19.86%)</w:t>
            </w:r>
          </w:p>
        </w:tc>
        <w:tc>
          <w:tcPr>
            <w:tcW w:w="1701" w:type="dxa"/>
            <w:tcBorders>
              <w:top w:val="nil"/>
              <w:left w:val="nil"/>
              <w:bottom w:val="nil"/>
              <w:right w:val="nil"/>
            </w:tcBorders>
            <w:shd w:val="clear" w:color="000000" w:fill="FFFFFF"/>
            <w:noWrap/>
            <w:vAlign w:val="bottom"/>
          </w:tcPr>
          <w:p w14:paraId="74F092D2" w14:textId="5A660802" w:rsidR="00F8393E" w:rsidRPr="009B46ED" w:rsidRDefault="00F8393E" w:rsidP="00F8393E">
            <w:pPr>
              <w:rPr>
                <w:rFonts w:eastAsia="Times New Roman" w:cs="Calibri"/>
                <w:b/>
                <w:color w:val="000000"/>
                <w:lang w:eastAsia="fr-FR"/>
              </w:rPr>
            </w:pPr>
            <w:r>
              <w:rPr>
                <w:rFonts w:ascii="Calibri" w:hAnsi="Calibri" w:cs="Calibri"/>
                <w:color w:val="000000"/>
              </w:rPr>
              <w:t>341 (77.32%)</w:t>
            </w:r>
          </w:p>
        </w:tc>
        <w:tc>
          <w:tcPr>
            <w:tcW w:w="1701" w:type="dxa"/>
            <w:tcBorders>
              <w:top w:val="nil"/>
              <w:left w:val="nil"/>
              <w:bottom w:val="nil"/>
              <w:right w:val="nil"/>
            </w:tcBorders>
            <w:shd w:val="clear" w:color="000000" w:fill="FFFFFF"/>
            <w:noWrap/>
            <w:vAlign w:val="bottom"/>
          </w:tcPr>
          <w:p w14:paraId="4C3D6F16" w14:textId="2B1E24FE" w:rsidR="00F8393E" w:rsidRPr="009B46ED" w:rsidRDefault="00F8393E" w:rsidP="00F8393E">
            <w:pPr>
              <w:rPr>
                <w:rFonts w:eastAsia="Times New Roman" w:cs="Calibri"/>
                <w:b/>
                <w:color w:val="000000"/>
                <w:lang w:eastAsia="fr-FR"/>
              </w:rPr>
            </w:pPr>
            <w:r>
              <w:rPr>
                <w:rFonts w:ascii="Calibri" w:hAnsi="Calibri" w:cs="Calibri"/>
                <w:color w:val="000000"/>
              </w:rPr>
              <w:t>13.76 [10.18;18.59]</w:t>
            </w:r>
          </w:p>
        </w:tc>
        <w:tc>
          <w:tcPr>
            <w:tcW w:w="863" w:type="dxa"/>
            <w:tcBorders>
              <w:top w:val="nil"/>
              <w:left w:val="nil"/>
              <w:bottom w:val="nil"/>
              <w:right w:val="single" w:sz="4" w:space="0" w:color="auto"/>
            </w:tcBorders>
            <w:shd w:val="clear" w:color="000000" w:fill="FFFFFF"/>
            <w:noWrap/>
            <w:vAlign w:val="bottom"/>
          </w:tcPr>
          <w:p w14:paraId="6BDB6EF0" w14:textId="1ABA8540" w:rsidR="00F8393E" w:rsidRPr="00C81B78" w:rsidRDefault="00F8393E" w:rsidP="00F8393E">
            <w:pPr>
              <w:rPr>
                <w:rFonts w:ascii="Calibri" w:hAnsi="Calibri" w:cs="Calibri"/>
                <w:color w:val="000000"/>
              </w:rPr>
            </w:pPr>
            <w:r w:rsidRPr="00F8393E">
              <w:rPr>
                <w:rFonts w:ascii="Calibri" w:hAnsi="Calibri" w:cs="Calibri"/>
                <w:color w:val="000000"/>
              </w:rPr>
              <w:t>&lt;0.0001</w:t>
            </w:r>
            <w:r>
              <w:rPr>
                <w:rFonts w:ascii="Calibri" w:hAnsi="Calibri" w:cs="Calibri"/>
                <w:color w:val="000000"/>
              </w:rPr>
              <w:t> </w:t>
            </w:r>
          </w:p>
        </w:tc>
      </w:tr>
      <w:tr w:rsidR="00F8393E" w:rsidRPr="00C81B78" w14:paraId="0B37D64B" w14:textId="77777777" w:rsidTr="00EA10ED">
        <w:trPr>
          <w:trHeight w:val="300"/>
          <w:jc w:val="center"/>
        </w:trPr>
        <w:tc>
          <w:tcPr>
            <w:tcW w:w="2547" w:type="dxa"/>
            <w:shd w:val="clear" w:color="auto" w:fill="auto"/>
            <w:noWrap/>
            <w:vAlign w:val="center"/>
            <w:hideMark/>
          </w:tcPr>
          <w:p w14:paraId="00F813B3" w14:textId="77777777" w:rsidR="00F8393E" w:rsidRPr="009B46ED" w:rsidRDefault="00F8393E" w:rsidP="00F8393E">
            <w:pPr>
              <w:rPr>
                <w:rFonts w:eastAsia="Times New Roman" w:cs="Calibri"/>
                <w:b/>
                <w:color w:val="000000"/>
                <w:lang w:eastAsia="fr-FR"/>
              </w:rPr>
            </w:pPr>
            <w:proofErr w:type="spellStart"/>
            <w:r>
              <w:rPr>
                <w:rFonts w:eastAsia="Times New Roman" w:cs="Calibri"/>
                <w:b/>
                <w:color w:val="000000"/>
                <w:lang w:eastAsia="fr-FR"/>
              </w:rPr>
              <w:t>Fungal</w:t>
            </w:r>
            <w:proofErr w:type="spellEnd"/>
            <w:r>
              <w:rPr>
                <w:rFonts w:eastAsia="Times New Roman" w:cs="Calibri"/>
                <w:b/>
                <w:color w:val="000000"/>
                <w:lang w:eastAsia="fr-FR"/>
              </w:rPr>
              <w:t xml:space="preserve"> infection </w:t>
            </w:r>
          </w:p>
        </w:tc>
        <w:tc>
          <w:tcPr>
            <w:tcW w:w="2556" w:type="dxa"/>
            <w:tcBorders>
              <w:top w:val="nil"/>
              <w:left w:val="nil"/>
              <w:bottom w:val="nil"/>
              <w:right w:val="nil"/>
            </w:tcBorders>
            <w:shd w:val="clear" w:color="000000" w:fill="FFFFFF"/>
            <w:noWrap/>
            <w:vAlign w:val="bottom"/>
          </w:tcPr>
          <w:p w14:paraId="481864BC" w14:textId="05381234" w:rsidR="00F8393E" w:rsidRPr="009B46ED" w:rsidRDefault="00F8393E" w:rsidP="00F8393E">
            <w:pPr>
              <w:rPr>
                <w:rFonts w:eastAsia="Times New Roman" w:cs="Calibri"/>
                <w:b/>
                <w:color w:val="000000"/>
                <w:lang w:eastAsia="fr-FR"/>
              </w:rPr>
            </w:pPr>
            <w:r>
              <w:rPr>
                <w:rFonts w:ascii="Calibri" w:hAnsi="Calibri" w:cs="Calibri"/>
                <w:color w:val="000000"/>
              </w:rPr>
              <w:t>33 (3.20%)</w:t>
            </w:r>
          </w:p>
        </w:tc>
        <w:tc>
          <w:tcPr>
            <w:tcW w:w="1701" w:type="dxa"/>
            <w:tcBorders>
              <w:top w:val="nil"/>
              <w:left w:val="nil"/>
              <w:bottom w:val="nil"/>
              <w:right w:val="nil"/>
            </w:tcBorders>
            <w:shd w:val="clear" w:color="000000" w:fill="FFFFFF"/>
            <w:noWrap/>
            <w:vAlign w:val="bottom"/>
          </w:tcPr>
          <w:p w14:paraId="6ADD6EAA" w14:textId="531F05D1" w:rsidR="00F8393E" w:rsidRPr="009B46ED" w:rsidRDefault="00F8393E" w:rsidP="00F8393E">
            <w:pPr>
              <w:rPr>
                <w:rFonts w:eastAsia="Times New Roman" w:cs="Calibri"/>
                <w:b/>
                <w:color w:val="000000"/>
                <w:lang w:eastAsia="fr-FR"/>
              </w:rPr>
            </w:pPr>
            <w:r>
              <w:rPr>
                <w:rFonts w:ascii="Calibri" w:hAnsi="Calibri" w:cs="Calibri"/>
                <w:color w:val="000000"/>
              </w:rPr>
              <w:t>5 (0.85%)</w:t>
            </w:r>
          </w:p>
        </w:tc>
        <w:tc>
          <w:tcPr>
            <w:tcW w:w="1701" w:type="dxa"/>
            <w:tcBorders>
              <w:top w:val="nil"/>
              <w:left w:val="nil"/>
              <w:bottom w:val="nil"/>
              <w:right w:val="nil"/>
            </w:tcBorders>
            <w:shd w:val="clear" w:color="000000" w:fill="FFFFFF"/>
            <w:noWrap/>
            <w:vAlign w:val="bottom"/>
          </w:tcPr>
          <w:p w14:paraId="4BEB6A6A" w14:textId="682F1437" w:rsidR="00F8393E" w:rsidRPr="009B46ED" w:rsidRDefault="00F8393E" w:rsidP="00F8393E">
            <w:pPr>
              <w:rPr>
                <w:rFonts w:eastAsia="Times New Roman" w:cs="Calibri"/>
                <w:b/>
                <w:color w:val="000000"/>
                <w:lang w:eastAsia="fr-FR"/>
              </w:rPr>
            </w:pPr>
            <w:r>
              <w:rPr>
                <w:rFonts w:ascii="Calibri" w:hAnsi="Calibri" w:cs="Calibri"/>
                <w:color w:val="000000"/>
              </w:rPr>
              <w:t>28 (6.35%)</w:t>
            </w:r>
          </w:p>
        </w:tc>
        <w:tc>
          <w:tcPr>
            <w:tcW w:w="1701" w:type="dxa"/>
            <w:tcBorders>
              <w:top w:val="nil"/>
              <w:left w:val="nil"/>
              <w:bottom w:val="nil"/>
              <w:right w:val="nil"/>
            </w:tcBorders>
            <w:shd w:val="clear" w:color="000000" w:fill="FFFFFF"/>
            <w:noWrap/>
            <w:vAlign w:val="bottom"/>
          </w:tcPr>
          <w:p w14:paraId="215E4BB0" w14:textId="71277465" w:rsidR="00F8393E" w:rsidRPr="009B46ED" w:rsidRDefault="00F8393E" w:rsidP="00F8393E">
            <w:pPr>
              <w:rPr>
                <w:rFonts w:eastAsia="Times New Roman" w:cs="Calibri"/>
                <w:b/>
                <w:color w:val="000000"/>
                <w:lang w:eastAsia="fr-FR"/>
              </w:rPr>
            </w:pPr>
            <w:r>
              <w:rPr>
                <w:rFonts w:ascii="Calibri" w:hAnsi="Calibri" w:cs="Calibri"/>
                <w:color w:val="000000"/>
              </w:rPr>
              <w:t>7.92 [3.03;20.68]</w:t>
            </w:r>
          </w:p>
        </w:tc>
        <w:tc>
          <w:tcPr>
            <w:tcW w:w="863" w:type="dxa"/>
            <w:tcBorders>
              <w:top w:val="nil"/>
              <w:bottom w:val="nil"/>
            </w:tcBorders>
            <w:shd w:val="clear" w:color="auto" w:fill="auto"/>
            <w:noWrap/>
            <w:vAlign w:val="bottom"/>
          </w:tcPr>
          <w:p w14:paraId="398A56FC" w14:textId="2DDB14FE" w:rsidR="00F8393E" w:rsidRPr="00C81B78" w:rsidRDefault="00F8393E" w:rsidP="00F8393E">
            <w:pPr>
              <w:rPr>
                <w:rFonts w:ascii="Calibri" w:hAnsi="Calibri" w:cs="Calibri"/>
                <w:color w:val="000000"/>
              </w:rPr>
            </w:pPr>
            <w:r w:rsidRPr="00F8393E">
              <w:rPr>
                <w:rFonts w:ascii="Calibri" w:hAnsi="Calibri" w:cs="Calibri"/>
                <w:color w:val="000000"/>
              </w:rPr>
              <w:t>&lt;0.0001</w:t>
            </w:r>
            <w:r>
              <w:rPr>
                <w:rFonts w:ascii="Calibri" w:hAnsi="Calibri" w:cs="Calibri"/>
                <w:color w:val="000000"/>
              </w:rPr>
              <w:t> </w:t>
            </w:r>
          </w:p>
        </w:tc>
      </w:tr>
      <w:tr w:rsidR="00F8393E" w:rsidRPr="00C81B78" w14:paraId="252FA220" w14:textId="77777777" w:rsidTr="00EA10ED">
        <w:trPr>
          <w:trHeight w:val="300"/>
          <w:jc w:val="center"/>
        </w:trPr>
        <w:tc>
          <w:tcPr>
            <w:tcW w:w="2547" w:type="dxa"/>
            <w:shd w:val="clear" w:color="auto" w:fill="auto"/>
            <w:noWrap/>
            <w:vAlign w:val="center"/>
            <w:hideMark/>
          </w:tcPr>
          <w:p w14:paraId="7824BF6E" w14:textId="77777777" w:rsidR="00F8393E" w:rsidRPr="009B46ED" w:rsidRDefault="00F8393E" w:rsidP="00F8393E">
            <w:pPr>
              <w:rPr>
                <w:rFonts w:eastAsia="Times New Roman" w:cs="Calibri"/>
                <w:b/>
                <w:color w:val="000000"/>
                <w:lang w:eastAsia="fr-FR"/>
              </w:rPr>
            </w:pPr>
            <w:r>
              <w:rPr>
                <w:rFonts w:eastAsia="Times New Roman" w:cs="Calibri"/>
                <w:b/>
                <w:color w:val="000000"/>
                <w:lang w:eastAsia="fr-FR"/>
              </w:rPr>
              <w:t xml:space="preserve">Viral infection </w:t>
            </w:r>
          </w:p>
        </w:tc>
        <w:tc>
          <w:tcPr>
            <w:tcW w:w="2556" w:type="dxa"/>
            <w:tcBorders>
              <w:top w:val="nil"/>
              <w:left w:val="nil"/>
              <w:bottom w:val="nil"/>
              <w:right w:val="nil"/>
            </w:tcBorders>
            <w:shd w:val="clear" w:color="000000" w:fill="FFFFFF"/>
            <w:noWrap/>
            <w:vAlign w:val="bottom"/>
          </w:tcPr>
          <w:p w14:paraId="34D0C40A" w14:textId="71431F06" w:rsidR="00F8393E" w:rsidRPr="009B46ED" w:rsidRDefault="00F8393E" w:rsidP="00F8393E">
            <w:pPr>
              <w:rPr>
                <w:rFonts w:eastAsia="Times New Roman" w:cs="Calibri"/>
                <w:b/>
                <w:color w:val="000000"/>
                <w:lang w:eastAsia="fr-FR"/>
              </w:rPr>
            </w:pPr>
            <w:r>
              <w:rPr>
                <w:rFonts w:ascii="Calibri" w:hAnsi="Calibri" w:cs="Calibri"/>
                <w:color w:val="000000"/>
              </w:rPr>
              <w:t>30 (2.91%)</w:t>
            </w:r>
          </w:p>
        </w:tc>
        <w:tc>
          <w:tcPr>
            <w:tcW w:w="1701" w:type="dxa"/>
            <w:tcBorders>
              <w:top w:val="nil"/>
              <w:left w:val="nil"/>
              <w:bottom w:val="nil"/>
              <w:right w:val="nil"/>
            </w:tcBorders>
            <w:shd w:val="clear" w:color="000000" w:fill="FFFFFF"/>
            <w:noWrap/>
            <w:vAlign w:val="bottom"/>
          </w:tcPr>
          <w:p w14:paraId="47FD8ED2" w14:textId="370A1AFF" w:rsidR="00F8393E" w:rsidRPr="009B46ED" w:rsidRDefault="00F8393E" w:rsidP="00F8393E">
            <w:pPr>
              <w:rPr>
                <w:rFonts w:eastAsia="Times New Roman" w:cs="Calibri"/>
                <w:b/>
                <w:color w:val="000000"/>
                <w:lang w:eastAsia="fr-FR"/>
              </w:rPr>
            </w:pPr>
            <w:r>
              <w:rPr>
                <w:rFonts w:ascii="Calibri" w:hAnsi="Calibri" w:cs="Calibri"/>
                <w:color w:val="000000"/>
              </w:rPr>
              <w:t>4 (0.68%)</w:t>
            </w:r>
          </w:p>
        </w:tc>
        <w:tc>
          <w:tcPr>
            <w:tcW w:w="1701" w:type="dxa"/>
            <w:tcBorders>
              <w:top w:val="nil"/>
              <w:left w:val="nil"/>
              <w:bottom w:val="nil"/>
              <w:right w:val="nil"/>
            </w:tcBorders>
            <w:shd w:val="clear" w:color="000000" w:fill="FFFFFF"/>
            <w:noWrap/>
            <w:vAlign w:val="bottom"/>
          </w:tcPr>
          <w:p w14:paraId="655CEA4D" w14:textId="19BA7F2E" w:rsidR="00F8393E" w:rsidRPr="009B46ED" w:rsidRDefault="00F8393E" w:rsidP="00F8393E">
            <w:pPr>
              <w:rPr>
                <w:rFonts w:eastAsia="Times New Roman" w:cs="Calibri"/>
                <w:b/>
                <w:color w:val="000000"/>
                <w:lang w:eastAsia="fr-FR"/>
              </w:rPr>
            </w:pPr>
            <w:r>
              <w:rPr>
                <w:rFonts w:ascii="Calibri" w:hAnsi="Calibri" w:cs="Calibri"/>
                <w:color w:val="000000"/>
              </w:rPr>
              <w:t>26 (5.90%)</w:t>
            </w:r>
          </w:p>
        </w:tc>
        <w:tc>
          <w:tcPr>
            <w:tcW w:w="1701" w:type="dxa"/>
            <w:tcBorders>
              <w:top w:val="nil"/>
              <w:left w:val="nil"/>
              <w:bottom w:val="nil"/>
              <w:right w:val="nil"/>
            </w:tcBorders>
            <w:shd w:val="clear" w:color="000000" w:fill="FFFFFF"/>
            <w:noWrap/>
            <w:vAlign w:val="bottom"/>
          </w:tcPr>
          <w:p w14:paraId="389567E9" w14:textId="22ADD9AF" w:rsidR="00F8393E" w:rsidRPr="009B46ED" w:rsidRDefault="00F8393E" w:rsidP="00F8393E">
            <w:pPr>
              <w:rPr>
                <w:rFonts w:eastAsia="Times New Roman" w:cs="Calibri"/>
                <w:b/>
                <w:color w:val="000000"/>
                <w:lang w:eastAsia="fr-FR"/>
              </w:rPr>
            </w:pPr>
            <w:r>
              <w:rPr>
                <w:rFonts w:ascii="Calibri" w:hAnsi="Calibri" w:cs="Calibri"/>
                <w:color w:val="000000"/>
              </w:rPr>
              <w:t>9.16 [3.17;26.45]</w:t>
            </w:r>
          </w:p>
        </w:tc>
        <w:tc>
          <w:tcPr>
            <w:tcW w:w="863" w:type="dxa"/>
            <w:tcBorders>
              <w:top w:val="nil"/>
              <w:bottom w:val="nil"/>
            </w:tcBorders>
            <w:shd w:val="clear" w:color="auto" w:fill="auto"/>
            <w:noWrap/>
            <w:vAlign w:val="bottom"/>
          </w:tcPr>
          <w:p w14:paraId="56C02A9D" w14:textId="48C12067" w:rsidR="00F8393E" w:rsidRPr="00C81B78" w:rsidRDefault="00F8393E" w:rsidP="00F8393E">
            <w:pPr>
              <w:rPr>
                <w:rFonts w:ascii="Calibri" w:hAnsi="Calibri" w:cs="Calibri"/>
                <w:color w:val="000000"/>
              </w:rPr>
            </w:pPr>
            <w:r w:rsidRPr="00F8393E">
              <w:rPr>
                <w:rFonts w:ascii="Calibri" w:hAnsi="Calibri" w:cs="Calibri"/>
                <w:color w:val="000000"/>
              </w:rPr>
              <w:t>&lt;0.0001</w:t>
            </w:r>
            <w:r>
              <w:rPr>
                <w:rFonts w:ascii="Calibri" w:hAnsi="Calibri" w:cs="Calibri"/>
                <w:color w:val="000000"/>
              </w:rPr>
              <w:t> </w:t>
            </w:r>
          </w:p>
        </w:tc>
      </w:tr>
      <w:tr w:rsidR="00F8393E" w:rsidRPr="00C81B78" w14:paraId="61692353" w14:textId="77777777" w:rsidTr="00334753">
        <w:trPr>
          <w:trHeight w:val="300"/>
          <w:jc w:val="center"/>
        </w:trPr>
        <w:tc>
          <w:tcPr>
            <w:tcW w:w="2547" w:type="dxa"/>
            <w:shd w:val="clear" w:color="auto" w:fill="auto"/>
            <w:noWrap/>
            <w:vAlign w:val="center"/>
          </w:tcPr>
          <w:p w14:paraId="6164724B" w14:textId="366B795D" w:rsidR="00F8393E" w:rsidRDefault="00F8393E" w:rsidP="00F8393E">
            <w:pPr>
              <w:rPr>
                <w:rFonts w:eastAsia="Times New Roman" w:cs="Calibri"/>
                <w:b/>
                <w:color w:val="000000"/>
                <w:lang w:eastAsia="fr-FR"/>
              </w:rPr>
            </w:pPr>
            <w:proofErr w:type="spellStart"/>
            <w:r>
              <w:rPr>
                <w:rFonts w:eastAsia="Times New Roman" w:cs="Calibri"/>
                <w:b/>
                <w:color w:val="000000"/>
                <w:lang w:eastAsia="fr-FR"/>
              </w:rPr>
              <w:t>Number</w:t>
            </w:r>
            <w:proofErr w:type="spellEnd"/>
            <w:r>
              <w:rPr>
                <w:rFonts w:eastAsia="Times New Roman" w:cs="Calibri"/>
                <w:b/>
                <w:color w:val="000000"/>
                <w:lang w:eastAsia="fr-FR"/>
              </w:rPr>
              <w:t xml:space="preserve"> of VAP </w:t>
            </w:r>
            <w:proofErr w:type="spellStart"/>
            <w:r>
              <w:rPr>
                <w:rFonts w:eastAsia="Times New Roman" w:cs="Calibri"/>
                <w:b/>
                <w:color w:val="000000"/>
                <w:lang w:eastAsia="fr-FR"/>
              </w:rPr>
              <w:t>episodes</w:t>
            </w:r>
            <w:proofErr w:type="spellEnd"/>
          </w:p>
        </w:tc>
        <w:tc>
          <w:tcPr>
            <w:tcW w:w="2556" w:type="dxa"/>
            <w:tcBorders>
              <w:top w:val="nil"/>
              <w:left w:val="nil"/>
              <w:bottom w:val="nil"/>
              <w:right w:val="nil"/>
            </w:tcBorders>
            <w:shd w:val="clear" w:color="000000" w:fill="FFFFFF"/>
            <w:noWrap/>
            <w:vAlign w:val="bottom"/>
          </w:tcPr>
          <w:p w14:paraId="65819B9C" w14:textId="2C0C4499" w:rsidR="00F8393E" w:rsidRDefault="00F8393E" w:rsidP="00F8393E">
            <w:pPr>
              <w:rPr>
                <w:rFonts w:ascii="Calibri" w:hAnsi="Calibri" w:cs="Calibri"/>
                <w:color w:val="000000"/>
              </w:rPr>
            </w:pPr>
            <w:r>
              <w:rPr>
                <w:rFonts w:ascii="Calibri" w:hAnsi="Calibri" w:cs="Calibri"/>
                <w:color w:val="000000"/>
              </w:rPr>
              <w:t>0.00 [0.00;1.00]</w:t>
            </w:r>
          </w:p>
        </w:tc>
        <w:tc>
          <w:tcPr>
            <w:tcW w:w="1701" w:type="dxa"/>
            <w:tcBorders>
              <w:top w:val="nil"/>
              <w:left w:val="nil"/>
              <w:bottom w:val="nil"/>
              <w:right w:val="nil"/>
            </w:tcBorders>
            <w:shd w:val="clear" w:color="000000" w:fill="FFFFFF"/>
            <w:noWrap/>
            <w:vAlign w:val="bottom"/>
          </w:tcPr>
          <w:p w14:paraId="383B8CE2" w14:textId="6DB07965" w:rsidR="00F8393E" w:rsidRDefault="00F8393E" w:rsidP="00F8393E">
            <w:pPr>
              <w:rPr>
                <w:rFonts w:ascii="Calibri" w:hAnsi="Calibri" w:cs="Calibri"/>
                <w:color w:val="000000"/>
              </w:rPr>
            </w:pPr>
            <w:r>
              <w:rPr>
                <w:rFonts w:ascii="Calibri" w:hAnsi="Calibri" w:cs="Calibri"/>
                <w:color w:val="000000"/>
              </w:rPr>
              <w:t>0.00 [0.00;0.00]</w:t>
            </w:r>
          </w:p>
        </w:tc>
        <w:tc>
          <w:tcPr>
            <w:tcW w:w="1701" w:type="dxa"/>
            <w:tcBorders>
              <w:top w:val="nil"/>
              <w:left w:val="nil"/>
              <w:bottom w:val="nil"/>
              <w:right w:val="nil"/>
            </w:tcBorders>
            <w:shd w:val="clear" w:color="000000" w:fill="FFFFFF"/>
            <w:noWrap/>
            <w:vAlign w:val="bottom"/>
          </w:tcPr>
          <w:p w14:paraId="5F989271" w14:textId="262E1366" w:rsidR="00F8393E" w:rsidRDefault="00F8393E" w:rsidP="00F8393E">
            <w:pPr>
              <w:rPr>
                <w:rFonts w:ascii="Calibri" w:hAnsi="Calibri" w:cs="Calibri"/>
                <w:color w:val="000000"/>
              </w:rPr>
            </w:pPr>
            <w:r>
              <w:rPr>
                <w:rFonts w:ascii="Calibri" w:hAnsi="Calibri" w:cs="Calibri"/>
                <w:color w:val="000000"/>
              </w:rPr>
              <w:t>1.00 [1.00;2.00]</w:t>
            </w:r>
          </w:p>
        </w:tc>
        <w:tc>
          <w:tcPr>
            <w:tcW w:w="1701" w:type="dxa"/>
            <w:tcBorders>
              <w:top w:val="nil"/>
              <w:left w:val="nil"/>
              <w:bottom w:val="nil"/>
              <w:right w:val="nil"/>
            </w:tcBorders>
            <w:shd w:val="clear" w:color="000000" w:fill="FFFFFF"/>
            <w:noWrap/>
            <w:vAlign w:val="bottom"/>
          </w:tcPr>
          <w:p w14:paraId="7B36D8CE" w14:textId="50AB05B2" w:rsidR="00F8393E" w:rsidRDefault="00F8393E" w:rsidP="00F8393E">
            <w:pPr>
              <w:rPr>
                <w:rFonts w:ascii="Calibri" w:hAnsi="Calibri" w:cs="Calibri"/>
                <w:color w:val="000000"/>
              </w:rPr>
            </w:pPr>
            <w:r>
              <w:rPr>
                <w:rFonts w:ascii="Calibri" w:hAnsi="Calibri" w:cs="Calibri"/>
                <w:color w:val="000000"/>
              </w:rPr>
              <w:t xml:space="preserve"> </w:t>
            </w:r>
          </w:p>
        </w:tc>
        <w:tc>
          <w:tcPr>
            <w:tcW w:w="863" w:type="dxa"/>
            <w:tcBorders>
              <w:top w:val="nil"/>
              <w:left w:val="nil"/>
              <w:bottom w:val="nil"/>
              <w:right w:val="single" w:sz="4" w:space="0" w:color="auto"/>
            </w:tcBorders>
            <w:shd w:val="clear" w:color="000000" w:fill="FFFFFF"/>
            <w:noWrap/>
            <w:vAlign w:val="bottom"/>
          </w:tcPr>
          <w:p w14:paraId="02285C4A" w14:textId="4C066F1B" w:rsidR="00F8393E" w:rsidRPr="00C81B78" w:rsidRDefault="00F8393E" w:rsidP="00F8393E">
            <w:pPr>
              <w:rPr>
                <w:rFonts w:ascii="Calibri" w:hAnsi="Calibri" w:cs="Calibri"/>
                <w:color w:val="000000"/>
              </w:rPr>
            </w:pPr>
            <w:r>
              <w:rPr>
                <w:rFonts w:ascii="Calibri" w:hAnsi="Calibri" w:cs="Calibri"/>
                <w:color w:val="000000"/>
              </w:rPr>
              <w:t>&lt;0.0001</w:t>
            </w:r>
          </w:p>
        </w:tc>
      </w:tr>
      <w:tr w:rsidR="00F8393E" w:rsidRPr="00C81B78" w14:paraId="7B7EE88C" w14:textId="77777777" w:rsidTr="00334753">
        <w:trPr>
          <w:trHeight w:val="300"/>
          <w:jc w:val="center"/>
        </w:trPr>
        <w:tc>
          <w:tcPr>
            <w:tcW w:w="2547" w:type="dxa"/>
            <w:shd w:val="clear" w:color="auto" w:fill="auto"/>
            <w:noWrap/>
            <w:vAlign w:val="center"/>
            <w:hideMark/>
          </w:tcPr>
          <w:p w14:paraId="2F6B7E57" w14:textId="77777777" w:rsidR="00F8393E" w:rsidRPr="009B46ED" w:rsidRDefault="00F8393E" w:rsidP="00F8393E">
            <w:pPr>
              <w:rPr>
                <w:rFonts w:eastAsia="Times New Roman" w:cs="Calibri"/>
                <w:b/>
                <w:color w:val="000000"/>
                <w:lang w:eastAsia="fr-FR"/>
              </w:rPr>
            </w:pPr>
            <w:proofErr w:type="spellStart"/>
            <w:r>
              <w:rPr>
                <w:rFonts w:eastAsia="Times New Roman" w:cs="Calibri"/>
                <w:b/>
                <w:color w:val="000000"/>
                <w:lang w:eastAsia="fr-FR"/>
              </w:rPr>
              <w:t>Urinary</w:t>
            </w:r>
            <w:proofErr w:type="spellEnd"/>
            <w:r>
              <w:rPr>
                <w:rFonts w:eastAsia="Times New Roman" w:cs="Calibri"/>
                <w:b/>
                <w:color w:val="000000"/>
                <w:lang w:eastAsia="fr-FR"/>
              </w:rPr>
              <w:t xml:space="preserve"> tract infection</w:t>
            </w:r>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49DAABD8" w14:textId="17F3055B" w:rsidR="00F8393E" w:rsidRPr="009B46ED" w:rsidRDefault="00F8393E" w:rsidP="00F8393E">
            <w:pPr>
              <w:rPr>
                <w:rFonts w:eastAsia="Times New Roman" w:cs="Calibri"/>
                <w:b/>
                <w:color w:val="000000"/>
                <w:lang w:eastAsia="fr-FR"/>
              </w:rPr>
            </w:pPr>
            <w:r>
              <w:rPr>
                <w:rFonts w:ascii="Calibri" w:hAnsi="Calibri" w:cs="Calibri"/>
                <w:color w:val="000000"/>
              </w:rPr>
              <w:t>42 (4.11%)</w:t>
            </w:r>
          </w:p>
        </w:tc>
        <w:tc>
          <w:tcPr>
            <w:tcW w:w="1701" w:type="dxa"/>
            <w:tcBorders>
              <w:top w:val="nil"/>
              <w:left w:val="nil"/>
              <w:bottom w:val="nil"/>
              <w:right w:val="nil"/>
            </w:tcBorders>
            <w:shd w:val="clear" w:color="000000" w:fill="FFFFFF"/>
            <w:noWrap/>
            <w:vAlign w:val="bottom"/>
          </w:tcPr>
          <w:p w14:paraId="64FF47F2" w14:textId="61212835" w:rsidR="00F8393E" w:rsidRPr="009B46ED" w:rsidRDefault="00F8393E" w:rsidP="00F8393E">
            <w:pPr>
              <w:rPr>
                <w:rFonts w:eastAsia="Times New Roman" w:cs="Calibri"/>
                <w:b/>
                <w:color w:val="000000"/>
                <w:lang w:eastAsia="fr-FR"/>
              </w:rPr>
            </w:pPr>
            <w:r>
              <w:rPr>
                <w:rFonts w:ascii="Calibri" w:hAnsi="Calibri" w:cs="Calibri"/>
                <w:color w:val="000000"/>
              </w:rPr>
              <w:t>16 (2.74%)</w:t>
            </w:r>
          </w:p>
        </w:tc>
        <w:tc>
          <w:tcPr>
            <w:tcW w:w="1701" w:type="dxa"/>
            <w:tcBorders>
              <w:top w:val="nil"/>
              <w:left w:val="nil"/>
              <w:bottom w:val="nil"/>
              <w:right w:val="nil"/>
            </w:tcBorders>
            <w:shd w:val="clear" w:color="000000" w:fill="FFFFFF"/>
            <w:noWrap/>
            <w:vAlign w:val="bottom"/>
          </w:tcPr>
          <w:p w14:paraId="3077FDE2" w14:textId="50106347" w:rsidR="00F8393E" w:rsidRPr="009B46ED" w:rsidRDefault="00F8393E" w:rsidP="00F8393E">
            <w:pPr>
              <w:rPr>
                <w:rFonts w:eastAsia="Times New Roman" w:cs="Calibri"/>
                <w:b/>
                <w:color w:val="000000"/>
                <w:lang w:eastAsia="fr-FR"/>
              </w:rPr>
            </w:pPr>
            <w:r>
              <w:rPr>
                <w:rFonts w:ascii="Calibri" w:hAnsi="Calibri" w:cs="Calibri"/>
                <w:color w:val="000000"/>
              </w:rPr>
              <w:t>26 (5.96%)</w:t>
            </w:r>
          </w:p>
        </w:tc>
        <w:tc>
          <w:tcPr>
            <w:tcW w:w="1701" w:type="dxa"/>
            <w:tcBorders>
              <w:top w:val="nil"/>
              <w:left w:val="nil"/>
              <w:bottom w:val="nil"/>
              <w:right w:val="nil"/>
            </w:tcBorders>
            <w:shd w:val="clear" w:color="000000" w:fill="FFFFFF"/>
            <w:noWrap/>
            <w:vAlign w:val="bottom"/>
          </w:tcPr>
          <w:p w14:paraId="0653A152" w14:textId="1FBD7575" w:rsidR="00F8393E" w:rsidRPr="009B46ED" w:rsidRDefault="00F8393E" w:rsidP="00F8393E">
            <w:pPr>
              <w:rPr>
                <w:rFonts w:eastAsia="Times New Roman" w:cs="Calibri"/>
                <w:b/>
                <w:color w:val="000000"/>
                <w:lang w:eastAsia="fr-FR"/>
              </w:rPr>
            </w:pPr>
            <w:r>
              <w:rPr>
                <w:rFonts w:ascii="Calibri" w:hAnsi="Calibri" w:cs="Calibri"/>
                <w:color w:val="000000"/>
              </w:rPr>
              <w:t>2.26 [1.19;4.26]</w:t>
            </w:r>
          </w:p>
        </w:tc>
        <w:tc>
          <w:tcPr>
            <w:tcW w:w="863" w:type="dxa"/>
            <w:tcBorders>
              <w:top w:val="nil"/>
              <w:bottom w:val="nil"/>
            </w:tcBorders>
            <w:shd w:val="clear" w:color="auto" w:fill="auto"/>
            <w:noWrap/>
            <w:vAlign w:val="bottom"/>
          </w:tcPr>
          <w:p w14:paraId="51606E93" w14:textId="3C57B9AA" w:rsidR="00F8393E" w:rsidRPr="00C81B78" w:rsidRDefault="00F8393E" w:rsidP="00F8393E">
            <w:pPr>
              <w:rPr>
                <w:rFonts w:ascii="Calibri" w:hAnsi="Calibri" w:cs="Calibri"/>
                <w:color w:val="000000"/>
              </w:rPr>
            </w:pPr>
            <w:r>
              <w:rPr>
                <w:rFonts w:ascii="Calibri" w:hAnsi="Calibri" w:cs="Calibri"/>
                <w:color w:val="000000"/>
              </w:rPr>
              <w:t>0.0102</w:t>
            </w:r>
          </w:p>
        </w:tc>
      </w:tr>
      <w:tr w:rsidR="00F8393E" w:rsidRPr="00C81B78" w14:paraId="304F43A3" w14:textId="77777777" w:rsidTr="00334753">
        <w:trPr>
          <w:trHeight w:val="300"/>
          <w:jc w:val="center"/>
        </w:trPr>
        <w:tc>
          <w:tcPr>
            <w:tcW w:w="2547" w:type="dxa"/>
            <w:shd w:val="clear" w:color="auto" w:fill="auto"/>
            <w:noWrap/>
            <w:vAlign w:val="center"/>
            <w:hideMark/>
          </w:tcPr>
          <w:p w14:paraId="4EAC3952" w14:textId="77777777" w:rsidR="00F8393E" w:rsidRPr="009B46ED" w:rsidRDefault="00F8393E" w:rsidP="00F8393E">
            <w:pPr>
              <w:rPr>
                <w:rFonts w:eastAsia="Times New Roman" w:cs="Calibri"/>
                <w:b/>
                <w:color w:val="000000"/>
                <w:lang w:eastAsia="fr-FR"/>
              </w:rPr>
            </w:pPr>
            <w:r>
              <w:rPr>
                <w:rFonts w:eastAsia="Times New Roman" w:cs="Calibri"/>
                <w:b/>
                <w:color w:val="000000"/>
                <w:lang w:eastAsia="fr-FR"/>
              </w:rPr>
              <w:t xml:space="preserve">Primitive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401FDF5F" w14:textId="1E52058D" w:rsidR="00F8393E" w:rsidRPr="009B46ED" w:rsidRDefault="00F8393E" w:rsidP="00F8393E">
            <w:pPr>
              <w:rPr>
                <w:rFonts w:eastAsia="Times New Roman" w:cs="Calibri"/>
                <w:b/>
                <w:color w:val="000000"/>
                <w:lang w:eastAsia="fr-FR"/>
              </w:rPr>
            </w:pPr>
            <w:r>
              <w:rPr>
                <w:rFonts w:ascii="Calibri" w:hAnsi="Calibri" w:cs="Calibri"/>
                <w:color w:val="000000"/>
              </w:rPr>
              <w:t>72 (7.05%)</w:t>
            </w:r>
          </w:p>
        </w:tc>
        <w:tc>
          <w:tcPr>
            <w:tcW w:w="1701" w:type="dxa"/>
            <w:tcBorders>
              <w:top w:val="nil"/>
              <w:left w:val="nil"/>
              <w:bottom w:val="nil"/>
              <w:right w:val="nil"/>
            </w:tcBorders>
            <w:shd w:val="clear" w:color="000000" w:fill="FFFFFF"/>
            <w:noWrap/>
            <w:vAlign w:val="bottom"/>
          </w:tcPr>
          <w:p w14:paraId="21C91E86" w14:textId="4BABAEC4" w:rsidR="00F8393E" w:rsidRPr="009B46ED" w:rsidRDefault="00F8393E" w:rsidP="00F8393E">
            <w:pPr>
              <w:rPr>
                <w:rFonts w:eastAsia="Times New Roman" w:cs="Calibri"/>
                <w:b/>
                <w:color w:val="000000"/>
                <w:lang w:eastAsia="fr-FR"/>
              </w:rPr>
            </w:pPr>
            <w:r>
              <w:rPr>
                <w:rFonts w:ascii="Calibri" w:hAnsi="Calibri" w:cs="Calibri"/>
                <w:color w:val="000000"/>
              </w:rPr>
              <w:t>15 (2.56%)</w:t>
            </w:r>
          </w:p>
        </w:tc>
        <w:tc>
          <w:tcPr>
            <w:tcW w:w="1701" w:type="dxa"/>
            <w:tcBorders>
              <w:top w:val="nil"/>
              <w:left w:val="nil"/>
              <w:bottom w:val="nil"/>
              <w:right w:val="nil"/>
            </w:tcBorders>
            <w:shd w:val="clear" w:color="000000" w:fill="FFFFFF"/>
            <w:noWrap/>
            <w:vAlign w:val="bottom"/>
          </w:tcPr>
          <w:p w14:paraId="3BA4BA72" w14:textId="145C660E" w:rsidR="00F8393E" w:rsidRPr="009B46ED" w:rsidRDefault="00F8393E" w:rsidP="00F8393E">
            <w:pPr>
              <w:rPr>
                <w:rFonts w:eastAsia="Times New Roman" w:cs="Calibri"/>
                <w:b/>
                <w:color w:val="000000"/>
                <w:lang w:eastAsia="fr-FR"/>
              </w:rPr>
            </w:pPr>
            <w:r>
              <w:rPr>
                <w:rFonts w:ascii="Calibri" w:hAnsi="Calibri" w:cs="Calibri"/>
                <w:color w:val="000000"/>
              </w:rPr>
              <w:t>57 (13.07%)</w:t>
            </w:r>
          </w:p>
        </w:tc>
        <w:tc>
          <w:tcPr>
            <w:tcW w:w="1701" w:type="dxa"/>
            <w:tcBorders>
              <w:top w:val="nil"/>
              <w:left w:val="nil"/>
              <w:bottom w:val="nil"/>
              <w:right w:val="nil"/>
            </w:tcBorders>
            <w:shd w:val="clear" w:color="000000" w:fill="FFFFFF"/>
            <w:noWrap/>
            <w:vAlign w:val="bottom"/>
          </w:tcPr>
          <w:p w14:paraId="399170FF" w14:textId="37C3DA30" w:rsidR="00F8393E" w:rsidRPr="009B46ED" w:rsidRDefault="00F8393E" w:rsidP="00F8393E">
            <w:pPr>
              <w:rPr>
                <w:rFonts w:eastAsia="Times New Roman" w:cs="Calibri"/>
                <w:b/>
                <w:color w:val="000000"/>
                <w:lang w:eastAsia="fr-FR"/>
              </w:rPr>
            </w:pPr>
            <w:r>
              <w:rPr>
                <w:rFonts w:ascii="Calibri" w:hAnsi="Calibri" w:cs="Calibri"/>
                <w:color w:val="000000"/>
              </w:rPr>
              <w:t>5.73 [3.19;10.26]</w:t>
            </w:r>
          </w:p>
        </w:tc>
        <w:tc>
          <w:tcPr>
            <w:tcW w:w="863" w:type="dxa"/>
            <w:tcBorders>
              <w:top w:val="nil"/>
              <w:bottom w:val="nil"/>
            </w:tcBorders>
            <w:shd w:val="clear" w:color="auto" w:fill="auto"/>
            <w:noWrap/>
            <w:vAlign w:val="bottom"/>
          </w:tcPr>
          <w:p w14:paraId="1BA8A85A" w14:textId="51112732" w:rsidR="00F8393E" w:rsidRPr="00C81B78" w:rsidRDefault="00F8393E" w:rsidP="00F8393E">
            <w:pPr>
              <w:rPr>
                <w:rFonts w:ascii="Calibri" w:hAnsi="Calibri" w:cs="Calibri"/>
                <w:color w:val="000000"/>
              </w:rPr>
            </w:pPr>
            <w:r w:rsidRPr="00F8393E">
              <w:rPr>
                <w:rFonts w:ascii="Calibri" w:hAnsi="Calibri" w:cs="Calibri"/>
                <w:color w:val="000000"/>
              </w:rPr>
              <w:t>&lt;0.0001</w:t>
            </w:r>
            <w:r>
              <w:rPr>
                <w:rFonts w:ascii="Calibri" w:hAnsi="Calibri" w:cs="Calibri"/>
                <w:color w:val="000000"/>
              </w:rPr>
              <w:t> </w:t>
            </w:r>
          </w:p>
        </w:tc>
      </w:tr>
      <w:tr w:rsidR="00F8393E" w:rsidRPr="00C81B78" w14:paraId="536AF160" w14:textId="77777777" w:rsidTr="00334753">
        <w:trPr>
          <w:trHeight w:val="300"/>
          <w:jc w:val="center"/>
        </w:trPr>
        <w:tc>
          <w:tcPr>
            <w:tcW w:w="2547" w:type="dxa"/>
            <w:shd w:val="clear" w:color="auto" w:fill="auto"/>
            <w:noWrap/>
            <w:vAlign w:val="center"/>
            <w:hideMark/>
          </w:tcPr>
          <w:p w14:paraId="6BE28DDE" w14:textId="77777777" w:rsidR="00F8393E" w:rsidRPr="009B46ED" w:rsidRDefault="00F8393E" w:rsidP="00F8393E">
            <w:pPr>
              <w:rPr>
                <w:rFonts w:eastAsia="Times New Roman" w:cs="Calibri"/>
                <w:b/>
                <w:color w:val="000000"/>
                <w:lang w:eastAsia="fr-FR"/>
              </w:rPr>
            </w:pPr>
            <w:proofErr w:type="spellStart"/>
            <w:r>
              <w:rPr>
                <w:rFonts w:eastAsia="Times New Roman" w:cs="Calibri"/>
                <w:b/>
                <w:color w:val="000000"/>
                <w:lang w:eastAsia="fr-FR"/>
              </w:rPr>
              <w:t>Secondary</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6D696CB1" w14:textId="3A2364B4" w:rsidR="00F8393E" w:rsidRPr="009B46ED" w:rsidRDefault="00F8393E" w:rsidP="00F8393E">
            <w:pPr>
              <w:rPr>
                <w:rFonts w:eastAsia="Times New Roman" w:cs="Calibri"/>
                <w:b/>
                <w:color w:val="000000"/>
                <w:lang w:eastAsia="fr-FR"/>
              </w:rPr>
            </w:pPr>
            <w:r>
              <w:rPr>
                <w:rFonts w:ascii="Calibri" w:hAnsi="Calibri" w:cs="Calibri"/>
                <w:color w:val="000000"/>
              </w:rPr>
              <w:t>53 (5.19%)</w:t>
            </w:r>
          </w:p>
        </w:tc>
        <w:tc>
          <w:tcPr>
            <w:tcW w:w="1701" w:type="dxa"/>
            <w:tcBorders>
              <w:top w:val="nil"/>
              <w:left w:val="nil"/>
              <w:bottom w:val="nil"/>
              <w:right w:val="nil"/>
            </w:tcBorders>
            <w:shd w:val="clear" w:color="000000" w:fill="FFFFFF"/>
            <w:noWrap/>
            <w:vAlign w:val="bottom"/>
          </w:tcPr>
          <w:p w14:paraId="007BA3A3" w14:textId="7ADB25A8" w:rsidR="00F8393E" w:rsidRPr="009B46ED" w:rsidRDefault="00F8393E" w:rsidP="00F8393E">
            <w:pPr>
              <w:rPr>
                <w:rFonts w:eastAsia="Times New Roman" w:cs="Calibri"/>
                <w:b/>
                <w:color w:val="000000"/>
                <w:lang w:eastAsia="fr-FR"/>
              </w:rPr>
            </w:pPr>
            <w:r>
              <w:rPr>
                <w:rFonts w:ascii="Calibri" w:hAnsi="Calibri" w:cs="Calibri"/>
                <w:color w:val="000000"/>
              </w:rPr>
              <w:t>8 (1.37%)</w:t>
            </w:r>
          </w:p>
        </w:tc>
        <w:tc>
          <w:tcPr>
            <w:tcW w:w="1701" w:type="dxa"/>
            <w:tcBorders>
              <w:top w:val="nil"/>
              <w:left w:val="nil"/>
              <w:bottom w:val="nil"/>
              <w:right w:val="nil"/>
            </w:tcBorders>
            <w:shd w:val="clear" w:color="000000" w:fill="FFFFFF"/>
            <w:noWrap/>
            <w:vAlign w:val="bottom"/>
          </w:tcPr>
          <w:p w14:paraId="224155E5" w14:textId="44408535" w:rsidR="00F8393E" w:rsidRPr="009B46ED" w:rsidRDefault="00F8393E" w:rsidP="00F8393E">
            <w:pPr>
              <w:rPr>
                <w:rFonts w:eastAsia="Times New Roman" w:cs="Calibri"/>
                <w:b/>
                <w:color w:val="000000"/>
                <w:lang w:eastAsia="fr-FR"/>
              </w:rPr>
            </w:pPr>
            <w:r>
              <w:rPr>
                <w:rFonts w:ascii="Calibri" w:hAnsi="Calibri" w:cs="Calibri"/>
                <w:color w:val="000000"/>
              </w:rPr>
              <w:t>45 (10.32%)</w:t>
            </w:r>
          </w:p>
        </w:tc>
        <w:tc>
          <w:tcPr>
            <w:tcW w:w="1701" w:type="dxa"/>
            <w:tcBorders>
              <w:top w:val="nil"/>
              <w:left w:val="nil"/>
              <w:bottom w:val="nil"/>
              <w:right w:val="nil"/>
            </w:tcBorders>
            <w:shd w:val="clear" w:color="000000" w:fill="FFFFFF"/>
            <w:noWrap/>
            <w:vAlign w:val="bottom"/>
          </w:tcPr>
          <w:p w14:paraId="3F88F614" w14:textId="7A4320BC" w:rsidR="00F8393E" w:rsidRPr="009B46ED" w:rsidRDefault="00F8393E" w:rsidP="00F8393E">
            <w:pPr>
              <w:rPr>
                <w:rFonts w:eastAsia="Times New Roman" w:cs="Calibri"/>
                <w:b/>
                <w:color w:val="000000"/>
                <w:lang w:eastAsia="fr-FR"/>
              </w:rPr>
            </w:pPr>
            <w:r>
              <w:rPr>
                <w:rFonts w:ascii="Calibri" w:hAnsi="Calibri" w:cs="Calibri"/>
                <w:color w:val="000000"/>
              </w:rPr>
              <w:t>8.32 [3.88;17.83]</w:t>
            </w:r>
          </w:p>
        </w:tc>
        <w:tc>
          <w:tcPr>
            <w:tcW w:w="863" w:type="dxa"/>
            <w:tcBorders>
              <w:top w:val="nil"/>
              <w:bottom w:val="nil"/>
            </w:tcBorders>
            <w:shd w:val="clear" w:color="auto" w:fill="auto"/>
            <w:noWrap/>
            <w:vAlign w:val="bottom"/>
          </w:tcPr>
          <w:p w14:paraId="045531FA" w14:textId="1A199703" w:rsidR="00F8393E" w:rsidRPr="00C81B78" w:rsidRDefault="00F8393E" w:rsidP="00F8393E">
            <w:pPr>
              <w:rPr>
                <w:rFonts w:ascii="Calibri" w:hAnsi="Calibri" w:cs="Calibri"/>
                <w:color w:val="000000"/>
              </w:rPr>
            </w:pPr>
            <w:r w:rsidRPr="00F8393E">
              <w:rPr>
                <w:rFonts w:ascii="Calibri" w:hAnsi="Calibri" w:cs="Calibri"/>
                <w:color w:val="000000"/>
              </w:rPr>
              <w:t>&lt;0.0001</w:t>
            </w:r>
            <w:r>
              <w:rPr>
                <w:rFonts w:ascii="Calibri" w:hAnsi="Calibri" w:cs="Calibri"/>
                <w:color w:val="000000"/>
              </w:rPr>
              <w:t> </w:t>
            </w:r>
          </w:p>
        </w:tc>
      </w:tr>
      <w:tr w:rsidR="00F8393E" w:rsidRPr="009B46ED" w14:paraId="5C308DB7" w14:textId="77777777" w:rsidTr="00334753">
        <w:trPr>
          <w:trHeight w:val="300"/>
          <w:jc w:val="center"/>
        </w:trPr>
        <w:tc>
          <w:tcPr>
            <w:tcW w:w="2547" w:type="dxa"/>
            <w:tcBorders>
              <w:bottom w:val="nil"/>
            </w:tcBorders>
            <w:shd w:val="clear" w:color="auto" w:fill="auto"/>
            <w:noWrap/>
            <w:vAlign w:val="center"/>
            <w:hideMark/>
          </w:tcPr>
          <w:p w14:paraId="48BADA7F" w14:textId="77777777" w:rsidR="00F8393E" w:rsidRPr="009B46ED" w:rsidRDefault="00F8393E" w:rsidP="00F8393E">
            <w:pPr>
              <w:rPr>
                <w:rFonts w:eastAsia="Times New Roman" w:cs="Calibri"/>
                <w:b/>
                <w:color w:val="000000"/>
                <w:lang w:eastAsia="fr-FR"/>
              </w:rPr>
            </w:pPr>
            <w:proofErr w:type="spellStart"/>
            <w:r>
              <w:rPr>
                <w:rFonts w:eastAsia="Times New Roman" w:cs="Calibri"/>
                <w:b/>
                <w:color w:val="000000"/>
                <w:lang w:eastAsia="fr-FR"/>
              </w:rPr>
              <w:t>Catheter</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related</w:t>
            </w:r>
            <w:proofErr w:type="spellEnd"/>
            <w:r>
              <w:rPr>
                <w:rFonts w:eastAsia="Times New Roman" w:cs="Calibri"/>
                <w:b/>
                <w:color w:val="000000"/>
                <w:lang w:eastAsia="fr-FR"/>
              </w:rPr>
              <w:t xml:space="preserve"> infection</w:t>
            </w:r>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435D262F" w14:textId="622A8D2E" w:rsidR="00F8393E" w:rsidRPr="009B46ED" w:rsidRDefault="00F8393E" w:rsidP="00F8393E">
            <w:pPr>
              <w:rPr>
                <w:rFonts w:eastAsia="Times New Roman" w:cs="Calibri"/>
                <w:b/>
                <w:color w:val="000000"/>
                <w:lang w:eastAsia="fr-FR"/>
              </w:rPr>
            </w:pPr>
            <w:r>
              <w:rPr>
                <w:rFonts w:ascii="Calibri" w:hAnsi="Calibri" w:cs="Calibri"/>
                <w:color w:val="000000"/>
              </w:rPr>
              <w:t>30 (2.94%)</w:t>
            </w:r>
          </w:p>
        </w:tc>
        <w:tc>
          <w:tcPr>
            <w:tcW w:w="1701" w:type="dxa"/>
            <w:tcBorders>
              <w:top w:val="nil"/>
              <w:left w:val="nil"/>
              <w:bottom w:val="nil"/>
              <w:right w:val="nil"/>
            </w:tcBorders>
            <w:shd w:val="clear" w:color="000000" w:fill="FFFFFF"/>
            <w:noWrap/>
            <w:vAlign w:val="bottom"/>
          </w:tcPr>
          <w:p w14:paraId="678EB010" w14:textId="15771214" w:rsidR="00F8393E" w:rsidRPr="009B46ED" w:rsidRDefault="00F8393E" w:rsidP="00F8393E">
            <w:pPr>
              <w:rPr>
                <w:rFonts w:eastAsia="Times New Roman" w:cs="Calibri"/>
                <w:b/>
                <w:color w:val="000000"/>
                <w:lang w:eastAsia="fr-FR"/>
              </w:rPr>
            </w:pPr>
            <w:r>
              <w:rPr>
                <w:rFonts w:ascii="Calibri" w:hAnsi="Calibri" w:cs="Calibri"/>
                <w:color w:val="000000"/>
              </w:rPr>
              <w:t>4 (0.68%)</w:t>
            </w:r>
          </w:p>
        </w:tc>
        <w:tc>
          <w:tcPr>
            <w:tcW w:w="1701" w:type="dxa"/>
            <w:tcBorders>
              <w:top w:val="nil"/>
              <w:left w:val="nil"/>
              <w:bottom w:val="nil"/>
              <w:right w:val="nil"/>
            </w:tcBorders>
            <w:shd w:val="clear" w:color="000000" w:fill="FFFFFF"/>
            <w:noWrap/>
            <w:vAlign w:val="bottom"/>
          </w:tcPr>
          <w:p w14:paraId="68055198" w14:textId="13FD401E" w:rsidR="00F8393E" w:rsidRPr="009B46ED" w:rsidRDefault="00F8393E" w:rsidP="00F8393E">
            <w:pPr>
              <w:rPr>
                <w:rFonts w:eastAsia="Times New Roman" w:cs="Calibri"/>
                <w:b/>
                <w:color w:val="000000"/>
                <w:lang w:eastAsia="fr-FR"/>
              </w:rPr>
            </w:pPr>
            <w:r>
              <w:rPr>
                <w:rFonts w:ascii="Calibri" w:hAnsi="Calibri" w:cs="Calibri"/>
                <w:color w:val="000000"/>
              </w:rPr>
              <w:t>26 (5.96%)</w:t>
            </w:r>
          </w:p>
        </w:tc>
        <w:tc>
          <w:tcPr>
            <w:tcW w:w="1701" w:type="dxa"/>
            <w:tcBorders>
              <w:top w:val="nil"/>
              <w:left w:val="nil"/>
              <w:bottom w:val="nil"/>
              <w:right w:val="nil"/>
            </w:tcBorders>
            <w:shd w:val="clear" w:color="000000" w:fill="FFFFFF"/>
            <w:noWrap/>
            <w:vAlign w:val="bottom"/>
          </w:tcPr>
          <w:p w14:paraId="2F1810C2" w14:textId="759170DF" w:rsidR="00F8393E" w:rsidRPr="009B46ED" w:rsidRDefault="00F8393E" w:rsidP="00F8393E">
            <w:pPr>
              <w:rPr>
                <w:rFonts w:eastAsia="Times New Roman" w:cs="Calibri"/>
                <w:b/>
                <w:color w:val="000000"/>
                <w:lang w:eastAsia="fr-FR"/>
              </w:rPr>
            </w:pPr>
            <w:r>
              <w:rPr>
                <w:rFonts w:ascii="Calibri" w:hAnsi="Calibri" w:cs="Calibri"/>
                <w:color w:val="000000"/>
              </w:rPr>
              <w:t>9.21 [3.19;26.59]</w:t>
            </w:r>
          </w:p>
        </w:tc>
        <w:tc>
          <w:tcPr>
            <w:tcW w:w="863" w:type="dxa"/>
            <w:tcBorders>
              <w:top w:val="nil"/>
              <w:bottom w:val="nil"/>
            </w:tcBorders>
            <w:shd w:val="clear" w:color="auto" w:fill="auto"/>
            <w:noWrap/>
            <w:vAlign w:val="bottom"/>
          </w:tcPr>
          <w:p w14:paraId="4947A277" w14:textId="62C30C81" w:rsidR="00F8393E" w:rsidRPr="009B46ED" w:rsidRDefault="00F8393E" w:rsidP="00F8393E">
            <w:pPr>
              <w:rPr>
                <w:rFonts w:eastAsia="Times New Roman" w:cs="Calibri"/>
                <w:b/>
                <w:color w:val="000000"/>
                <w:lang w:eastAsia="fr-FR"/>
              </w:rPr>
            </w:pPr>
            <w:r w:rsidRPr="00F8393E">
              <w:rPr>
                <w:rFonts w:ascii="Calibri" w:hAnsi="Calibri" w:cs="Calibri"/>
                <w:color w:val="000000"/>
              </w:rPr>
              <w:t>&lt;0.0001</w:t>
            </w:r>
            <w:r>
              <w:rPr>
                <w:rFonts w:ascii="Calibri" w:hAnsi="Calibri" w:cs="Calibri"/>
                <w:color w:val="000000"/>
              </w:rPr>
              <w:t> </w:t>
            </w:r>
          </w:p>
        </w:tc>
      </w:tr>
      <w:tr w:rsidR="00F8393E" w:rsidRPr="009B46ED" w14:paraId="7D03DB1D" w14:textId="77777777" w:rsidTr="00334753">
        <w:trPr>
          <w:trHeight w:val="300"/>
          <w:jc w:val="center"/>
        </w:trPr>
        <w:tc>
          <w:tcPr>
            <w:tcW w:w="2547" w:type="dxa"/>
            <w:tcBorders>
              <w:top w:val="nil"/>
              <w:bottom w:val="single" w:sz="4" w:space="0" w:color="auto"/>
            </w:tcBorders>
            <w:shd w:val="clear" w:color="auto" w:fill="auto"/>
            <w:noWrap/>
            <w:vAlign w:val="center"/>
          </w:tcPr>
          <w:p w14:paraId="4DB98131" w14:textId="77777777" w:rsidR="00F8393E" w:rsidRDefault="00F8393E" w:rsidP="00F8393E">
            <w:pPr>
              <w:rPr>
                <w:rFonts w:eastAsia="Times New Roman" w:cs="Calibri"/>
                <w:b/>
                <w:color w:val="000000"/>
                <w:lang w:eastAsia="fr-FR"/>
              </w:rPr>
            </w:pPr>
            <w:proofErr w:type="spellStart"/>
            <w:r>
              <w:rPr>
                <w:rFonts w:eastAsia="Times New Roman" w:cs="Calibri"/>
                <w:b/>
                <w:color w:val="000000"/>
                <w:lang w:eastAsia="fr-FR"/>
              </w:rPr>
              <w:t>Pneumonia</w:t>
            </w:r>
            <w:proofErr w:type="spellEnd"/>
          </w:p>
        </w:tc>
        <w:tc>
          <w:tcPr>
            <w:tcW w:w="2556" w:type="dxa"/>
            <w:tcBorders>
              <w:top w:val="nil"/>
              <w:left w:val="nil"/>
              <w:bottom w:val="single" w:sz="4" w:space="0" w:color="auto"/>
              <w:right w:val="nil"/>
            </w:tcBorders>
            <w:shd w:val="clear" w:color="000000" w:fill="FFFFFF"/>
            <w:noWrap/>
            <w:vAlign w:val="bottom"/>
          </w:tcPr>
          <w:p w14:paraId="609E1B3A" w14:textId="658A9FE3" w:rsidR="00F8393E" w:rsidRPr="009B46ED" w:rsidRDefault="00F8393E" w:rsidP="00F8393E">
            <w:pPr>
              <w:rPr>
                <w:rFonts w:eastAsia="Times New Roman" w:cs="Calibri"/>
                <w:color w:val="000000"/>
                <w:lang w:eastAsia="fr-FR"/>
              </w:rPr>
            </w:pPr>
            <w:r>
              <w:rPr>
                <w:rFonts w:ascii="Calibri" w:hAnsi="Calibri" w:cs="Calibri"/>
                <w:color w:val="000000"/>
              </w:rPr>
              <w:t>385 (37.38%)</w:t>
            </w:r>
          </w:p>
        </w:tc>
        <w:tc>
          <w:tcPr>
            <w:tcW w:w="1701" w:type="dxa"/>
            <w:tcBorders>
              <w:top w:val="nil"/>
              <w:left w:val="nil"/>
              <w:bottom w:val="single" w:sz="4" w:space="0" w:color="auto"/>
              <w:right w:val="nil"/>
            </w:tcBorders>
            <w:shd w:val="clear" w:color="000000" w:fill="FFFFFF"/>
            <w:noWrap/>
            <w:vAlign w:val="bottom"/>
          </w:tcPr>
          <w:p w14:paraId="2C876586" w14:textId="1224A521" w:rsidR="00F8393E" w:rsidRPr="009B46ED" w:rsidRDefault="00F8393E" w:rsidP="00F8393E">
            <w:pPr>
              <w:rPr>
                <w:rFonts w:eastAsia="Times New Roman" w:cs="Calibri"/>
                <w:color w:val="000000"/>
                <w:lang w:eastAsia="fr-FR"/>
              </w:rPr>
            </w:pPr>
            <w:r>
              <w:rPr>
                <w:rFonts w:ascii="Calibri" w:hAnsi="Calibri" w:cs="Calibri"/>
                <w:color w:val="000000"/>
              </w:rPr>
              <w:t>82 (13.92%)</w:t>
            </w:r>
          </w:p>
        </w:tc>
        <w:tc>
          <w:tcPr>
            <w:tcW w:w="1701" w:type="dxa"/>
            <w:tcBorders>
              <w:top w:val="nil"/>
              <w:left w:val="nil"/>
              <w:bottom w:val="single" w:sz="4" w:space="0" w:color="auto"/>
              <w:right w:val="nil"/>
            </w:tcBorders>
            <w:shd w:val="clear" w:color="000000" w:fill="FFFFFF"/>
            <w:noWrap/>
            <w:vAlign w:val="bottom"/>
          </w:tcPr>
          <w:p w14:paraId="614E9D45" w14:textId="22DF986A" w:rsidR="00F8393E" w:rsidRPr="009B46ED" w:rsidRDefault="00F8393E" w:rsidP="00F8393E">
            <w:pPr>
              <w:rPr>
                <w:rFonts w:eastAsia="Times New Roman" w:cs="Calibri"/>
                <w:color w:val="000000"/>
                <w:lang w:eastAsia="fr-FR"/>
              </w:rPr>
            </w:pPr>
            <w:r>
              <w:rPr>
                <w:rFonts w:ascii="Calibri" w:hAnsi="Calibri" w:cs="Calibri"/>
                <w:color w:val="000000"/>
              </w:rPr>
              <w:t>303 (68.71%)</w:t>
            </w:r>
          </w:p>
        </w:tc>
        <w:tc>
          <w:tcPr>
            <w:tcW w:w="1701" w:type="dxa"/>
            <w:tcBorders>
              <w:top w:val="nil"/>
              <w:left w:val="nil"/>
              <w:bottom w:val="single" w:sz="4" w:space="0" w:color="auto"/>
              <w:right w:val="nil"/>
            </w:tcBorders>
            <w:shd w:val="clear" w:color="000000" w:fill="FFFFFF"/>
            <w:noWrap/>
            <w:vAlign w:val="bottom"/>
          </w:tcPr>
          <w:p w14:paraId="1FF446DF" w14:textId="76E6E189" w:rsidR="00F8393E" w:rsidRPr="009B46ED" w:rsidRDefault="00F8393E" w:rsidP="00F8393E">
            <w:pPr>
              <w:rPr>
                <w:rFonts w:eastAsia="Times New Roman" w:cs="Calibri"/>
                <w:b/>
                <w:color w:val="000000"/>
                <w:lang w:eastAsia="fr-FR"/>
              </w:rPr>
            </w:pPr>
            <w:r>
              <w:rPr>
                <w:rFonts w:ascii="Calibri" w:hAnsi="Calibri" w:cs="Calibri"/>
                <w:color w:val="000000"/>
              </w:rPr>
              <w:t>13.58 [9.98;18.47]</w:t>
            </w:r>
          </w:p>
        </w:tc>
        <w:tc>
          <w:tcPr>
            <w:tcW w:w="863" w:type="dxa"/>
            <w:tcBorders>
              <w:top w:val="nil"/>
            </w:tcBorders>
            <w:shd w:val="clear" w:color="auto" w:fill="auto"/>
            <w:noWrap/>
            <w:vAlign w:val="bottom"/>
          </w:tcPr>
          <w:p w14:paraId="794F9494" w14:textId="6FC39677" w:rsidR="00F8393E" w:rsidRPr="009B46ED" w:rsidRDefault="00F8393E" w:rsidP="00F8393E">
            <w:pPr>
              <w:rPr>
                <w:rFonts w:eastAsia="Times New Roman" w:cs="Calibri"/>
                <w:color w:val="000000"/>
                <w:lang w:eastAsia="fr-FR"/>
              </w:rPr>
            </w:pPr>
            <w:r w:rsidRPr="00F8393E">
              <w:rPr>
                <w:rFonts w:ascii="Calibri" w:hAnsi="Calibri" w:cs="Calibri"/>
                <w:color w:val="000000"/>
              </w:rPr>
              <w:t>&lt;0.0001</w:t>
            </w:r>
            <w:r>
              <w:rPr>
                <w:rFonts w:ascii="Calibri" w:hAnsi="Calibri" w:cs="Calibri"/>
                <w:color w:val="000000"/>
              </w:rPr>
              <w:t> </w:t>
            </w:r>
          </w:p>
        </w:tc>
      </w:tr>
    </w:tbl>
    <w:p w14:paraId="609DE2F6" w14:textId="77777777" w:rsidR="00C04EDE" w:rsidRPr="003C678A" w:rsidRDefault="00C04EDE" w:rsidP="00400A25">
      <w:pPr>
        <w:rPr>
          <w:lang w:val="en-US"/>
        </w:rPr>
      </w:pPr>
    </w:p>
    <w:p w14:paraId="28F35808" w14:textId="787C8370" w:rsidR="0031539A" w:rsidRDefault="0031539A">
      <w:pPr>
        <w:rPr>
          <w:lang w:val="en-US"/>
        </w:rPr>
      </w:pPr>
      <w:r>
        <w:rPr>
          <w:lang w:val="en-US"/>
        </w:rPr>
        <w:br w:type="page"/>
      </w:r>
    </w:p>
    <w:p w14:paraId="5BCB6A01" w14:textId="33538180" w:rsidR="006E7535" w:rsidRPr="0031539A" w:rsidRDefault="00296B73">
      <w:pPr>
        <w:rPr>
          <w:u w:val="single"/>
          <w:lang w:val="en-US"/>
        </w:rPr>
      </w:pPr>
      <w:r>
        <w:rPr>
          <w:u w:val="single"/>
          <w:lang w:val="en-US"/>
        </w:rPr>
        <w:lastRenderedPageBreak/>
        <w:t>Supplementary table 1</w:t>
      </w:r>
      <w:r w:rsidR="005179B2">
        <w:rPr>
          <w:u w:val="single"/>
          <w:lang w:val="en-US"/>
        </w:rPr>
        <w:t>3</w:t>
      </w:r>
      <w:r w:rsidR="0031539A" w:rsidRPr="0031539A">
        <w:rPr>
          <w:u w:val="single"/>
          <w:lang w:val="en-US"/>
        </w:rPr>
        <w:t>: Infectious complications function of time of ICU admission</w:t>
      </w:r>
    </w:p>
    <w:tbl>
      <w:tblPr>
        <w:tblW w:w="1111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47"/>
        <w:gridCol w:w="2556"/>
        <w:gridCol w:w="1701"/>
        <w:gridCol w:w="1701"/>
        <w:gridCol w:w="1701"/>
        <w:gridCol w:w="913"/>
      </w:tblGrid>
      <w:tr w:rsidR="0031539A" w:rsidRPr="00333B9C" w14:paraId="409EF563" w14:textId="77777777" w:rsidTr="00296B73">
        <w:trPr>
          <w:trHeight w:val="300"/>
          <w:jc w:val="center"/>
        </w:trPr>
        <w:tc>
          <w:tcPr>
            <w:tcW w:w="2547" w:type="dxa"/>
            <w:tcBorders>
              <w:top w:val="single" w:sz="4" w:space="0" w:color="auto"/>
              <w:bottom w:val="single" w:sz="4" w:space="0" w:color="auto"/>
            </w:tcBorders>
            <w:shd w:val="clear" w:color="auto" w:fill="D9D9D9" w:themeFill="background1" w:themeFillShade="D9"/>
            <w:noWrap/>
            <w:vAlign w:val="center"/>
            <w:hideMark/>
          </w:tcPr>
          <w:p w14:paraId="1A58A2E4" w14:textId="77777777" w:rsidR="0031539A" w:rsidRPr="00333B9C" w:rsidRDefault="0031539A" w:rsidP="00EA10ED">
            <w:pPr>
              <w:spacing w:after="0" w:line="240" w:lineRule="auto"/>
              <w:jc w:val="right"/>
              <w:rPr>
                <w:rFonts w:eastAsia="Times New Roman" w:cs="Calibri"/>
                <w:b/>
                <w:color w:val="000000"/>
                <w:lang w:val="en-US" w:eastAsia="fr-FR"/>
              </w:rPr>
            </w:pPr>
          </w:p>
        </w:tc>
        <w:tc>
          <w:tcPr>
            <w:tcW w:w="2556" w:type="dxa"/>
            <w:tcBorders>
              <w:top w:val="single" w:sz="4" w:space="0" w:color="auto"/>
              <w:bottom w:val="single" w:sz="4" w:space="0" w:color="auto"/>
            </w:tcBorders>
            <w:shd w:val="clear" w:color="auto" w:fill="D9D9D9" w:themeFill="background1" w:themeFillShade="D9"/>
            <w:noWrap/>
            <w:vAlign w:val="bottom"/>
            <w:hideMark/>
          </w:tcPr>
          <w:p w14:paraId="556DD586" w14:textId="77777777" w:rsidR="0031539A" w:rsidRPr="00333B9C" w:rsidRDefault="0031539A"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Total population</w:t>
            </w:r>
          </w:p>
          <w:p w14:paraId="71A56791" w14:textId="77777777" w:rsidR="0031539A" w:rsidRPr="00333B9C" w:rsidRDefault="0031539A"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(N=</w:t>
            </w:r>
            <w:r>
              <w:rPr>
                <w:rFonts w:eastAsia="Times New Roman" w:cs="Calibri"/>
                <w:b/>
                <w:color w:val="000000"/>
                <w:lang w:eastAsia="fr-FR"/>
              </w:rPr>
              <w:t>1030</w:t>
            </w:r>
            <w:r w:rsidRPr="00333B9C">
              <w:rPr>
                <w:rFonts w:eastAsia="Times New Roman" w:cs="Calibri"/>
                <w:b/>
                <w:color w:val="000000"/>
                <w:lang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71832979" w14:textId="77777777" w:rsidR="0031539A" w:rsidRPr="00333B9C" w:rsidRDefault="0031539A" w:rsidP="00EA10ED">
            <w:pPr>
              <w:spacing w:after="0" w:line="240" w:lineRule="auto"/>
              <w:jc w:val="center"/>
              <w:rPr>
                <w:rFonts w:eastAsia="Times New Roman" w:cs="Calibri"/>
                <w:b/>
                <w:color w:val="000000"/>
                <w:lang w:val="en-US" w:eastAsia="fr-FR"/>
              </w:rPr>
            </w:pPr>
            <w:r w:rsidRPr="00333B9C">
              <w:rPr>
                <w:rFonts w:eastAsia="Times New Roman" w:cs="Calibri"/>
                <w:b/>
                <w:color w:val="000000"/>
                <w:lang w:val="en-US" w:eastAsia="fr-FR"/>
              </w:rPr>
              <w:t xml:space="preserve">Comorbidity 0 or 1 (n = </w:t>
            </w:r>
            <w:r>
              <w:rPr>
                <w:rFonts w:eastAsia="Times New Roman" w:cs="Calibri"/>
                <w:b/>
                <w:color w:val="000000"/>
                <w:lang w:val="en-US" w:eastAsia="fr-FR"/>
              </w:rPr>
              <w:t>589</w:t>
            </w:r>
            <w:r w:rsidRPr="00333B9C">
              <w:rPr>
                <w:rFonts w:eastAsia="Times New Roman" w:cs="Calibri"/>
                <w:b/>
                <w:color w:val="000000"/>
                <w:lang w:val="en-US"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4FDAF447" w14:textId="77777777" w:rsidR="0031539A" w:rsidRPr="00333B9C" w:rsidRDefault="0031539A" w:rsidP="00EA10ED">
            <w:pPr>
              <w:spacing w:after="0" w:line="240" w:lineRule="auto"/>
              <w:jc w:val="center"/>
              <w:rPr>
                <w:rFonts w:eastAsia="Times New Roman" w:cs="Calibri"/>
                <w:b/>
                <w:color w:val="000000"/>
                <w:lang w:val="en-US" w:eastAsia="fr-FR"/>
              </w:rPr>
            </w:pPr>
            <w:r w:rsidRPr="00333B9C">
              <w:rPr>
                <w:rFonts w:eastAsia="Times New Roman" w:cs="Calibri"/>
                <w:b/>
                <w:color w:val="000000"/>
                <w:lang w:val="en-US" w:eastAsia="fr-FR"/>
              </w:rPr>
              <w:t>Comorbidities 2 or more</w:t>
            </w:r>
          </w:p>
          <w:p w14:paraId="1DDA223C" w14:textId="77777777" w:rsidR="0031539A" w:rsidRPr="00333B9C" w:rsidRDefault="0031539A" w:rsidP="00EA10ED">
            <w:pPr>
              <w:spacing w:after="0" w:line="240" w:lineRule="auto"/>
              <w:jc w:val="center"/>
              <w:rPr>
                <w:rFonts w:eastAsia="Times New Roman" w:cs="Calibri"/>
                <w:b/>
                <w:color w:val="000000"/>
                <w:lang w:eastAsia="fr-FR"/>
              </w:rPr>
            </w:pPr>
            <w:r w:rsidRPr="00333B9C">
              <w:rPr>
                <w:rFonts w:eastAsia="Times New Roman" w:cs="Calibri"/>
                <w:b/>
                <w:color w:val="000000"/>
                <w:lang w:val="en-US" w:eastAsia="fr-FR"/>
              </w:rPr>
              <w:t xml:space="preserve">(n = </w:t>
            </w:r>
            <w:r>
              <w:rPr>
                <w:rFonts w:eastAsia="Times New Roman" w:cs="Calibri"/>
                <w:b/>
                <w:color w:val="000000"/>
                <w:lang w:val="en-US" w:eastAsia="fr-FR"/>
              </w:rPr>
              <w:t>441</w:t>
            </w:r>
            <w:r w:rsidRPr="00333B9C">
              <w:rPr>
                <w:rFonts w:eastAsia="Times New Roman" w:cs="Calibri"/>
                <w:b/>
                <w:color w:val="000000"/>
                <w:lang w:val="en-US" w:eastAsia="fr-FR"/>
              </w:rPr>
              <w:t>)</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5460147D" w14:textId="77777777" w:rsidR="0031539A" w:rsidRPr="00333B9C" w:rsidRDefault="0031539A"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OR [IC95%]</w:t>
            </w:r>
          </w:p>
        </w:tc>
        <w:tc>
          <w:tcPr>
            <w:tcW w:w="913" w:type="dxa"/>
            <w:tcBorders>
              <w:top w:val="single" w:sz="4" w:space="0" w:color="auto"/>
              <w:bottom w:val="single" w:sz="4" w:space="0" w:color="auto"/>
            </w:tcBorders>
            <w:shd w:val="clear" w:color="auto" w:fill="D9D9D9" w:themeFill="background1" w:themeFillShade="D9"/>
            <w:noWrap/>
            <w:vAlign w:val="bottom"/>
            <w:hideMark/>
          </w:tcPr>
          <w:p w14:paraId="04FEDE33" w14:textId="77777777" w:rsidR="0031539A" w:rsidRPr="00333B9C" w:rsidRDefault="0031539A" w:rsidP="00EA10ED">
            <w:pPr>
              <w:spacing w:after="0" w:line="240" w:lineRule="auto"/>
              <w:jc w:val="center"/>
              <w:rPr>
                <w:rFonts w:eastAsia="Times New Roman" w:cs="Calibri"/>
                <w:b/>
                <w:color w:val="000000"/>
                <w:lang w:eastAsia="fr-FR"/>
              </w:rPr>
            </w:pPr>
            <w:r w:rsidRPr="00333B9C">
              <w:rPr>
                <w:rFonts w:eastAsia="Times New Roman" w:cs="Calibri"/>
                <w:b/>
                <w:color w:val="000000"/>
                <w:lang w:eastAsia="fr-FR"/>
              </w:rPr>
              <w:t>p</w:t>
            </w:r>
          </w:p>
        </w:tc>
      </w:tr>
      <w:tr w:rsidR="00A53E65" w:rsidRPr="0023047F" w14:paraId="4F404159" w14:textId="77777777" w:rsidTr="00296B73">
        <w:trPr>
          <w:trHeight w:val="60"/>
          <w:jc w:val="center"/>
        </w:trPr>
        <w:tc>
          <w:tcPr>
            <w:tcW w:w="2547" w:type="dxa"/>
            <w:noWrap/>
          </w:tcPr>
          <w:p w14:paraId="6B2FAE1E" w14:textId="77777777" w:rsidR="00A53E65" w:rsidRDefault="00A53E65" w:rsidP="00A53E65">
            <w:pPr>
              <w:spacing w:after="0" w:line="240" w:lineRule="auto"/>
              <w:jc w:val="right"/>
              <w:rPr>
                <w:rFonts w:ascii="Calibri" w:hAnsi="Calibri" w:cs="Calibri"/>
                <w:b/>
                <w:color w:val="000000"/>
                <w:lang w:val="en-US"/>
              </w:rPr>
            </w:pPr>
            <w:r w:rsidRPr="0023047F">
              <w:rPr>
                <w:rFonts w:ascii="Calibri" w:hAnsi="Calibri" w:cs="Calibri"/>
                <w:b/>
                <w:color w:val="000000"/>
                <w:lang w:val="en-US"/>
              </w:rPr>
              <w:t>IL-6R inhibitor</w:t>
            </w:r>
            <w:r>
              <w:rPr>
                <w:rFonts w:ascii="Calibri" w:hAnsi="Calibri" w:cs="Calibri"/>
                <w:b/>
                <w:color w:val="000000"/>
                <w:lang w:val="en-US"/>
              </w:rPr>
              <w:t xml:space="preserve"> </w:t>
            </w:r>
          </w:p>
          <w:p w14:paraId="1F8BB7C8" w14:textId="7E53AD63" w:rsidR="00A53E65" w:rsidRPr="0023047F" w:rsidRDefault="00A53E65" w:rsidP="00A53E65">
            <w:pPr>
              <w:spacing w:after="0" w:line="240" w:lineRule="auto"/>
              <w:jc w:val="right"/>
              <w:rPr>
                <w:rFonts w:eastAsia="Times New Roman" w:cs="Calibri"/>
                <w:b/>
                <w:color w:val="000000"/>
                <w:lang w:val="en-US" w:eastAsia="fr-FR"/>
              </w:rPr>
            </w:pPr>
            <w:r w:rsidRPr="00404FF4">
              <w:rPr>
                <w:rFonts w:ascii="Calibri" w:hAnsi="Calibri" w:cs="Calibri"/>
                <w:color w:val="000000"/>
                <w:lang w:val="en-US"/>
              </w:rPr>
              <w:t>(</w:t>
            </w:r>
            <w:proofErr w:type="spellStart"/>
            <w:r w:rsidRPr="00404FF4">
              <w:rPr>
                <w:rFonts w:ascii="Calibri" w:hAnsi="Calibri" w:cs="Calibri"/>
                <w:color w:val="000000"/>
                <w:lang w:val="en-US"/>
              </w:rPr>
              <w:t>Sarilumab</w:t>
            </w:r>
            <w:proofErr w:type="spellEnd"/>
            <w:r w:rsidRPr="00404FF4">
              <w:rPr>
                <w:rFonts w:ascii="Calibri" w:hAnsi="Calibri" w:cs="Calibri"/>
                <w:color w:val="000000"/>
                <w:lang w:val="en-US"/>
              </w:rPr>
              <w:t xml:space="preserve"> or </w:t>
            </w:r>
            <w:proofErr w:type="spellStart"/>
            <w:r w:rsidRPr="00404FF4">
              <w:rPr>
                <w:rFonts w:ascii="Calibri" w:hAnsi="Calibri" w:cs="Calibri"/>
                <w:color w:val="000000"/>
                <w:lang w:val="en-US"/>
              </w:rPr>
              <w:t>Tocilizumab</w:t>
            </w:r>
            <w:proofErr w:type="spellEnd"/>
            <w:r w:rsidRPr="00404FF4">
              <w:rPr>
                <w:rFonts w:ascii="Calibri" w:hAnsi="Calibri" w:cs="Calibri"/>
                <w:color w:val="000000"/>
                <w:lang w:val="en-US"/>
              </w:rPr>
              <w:t>)</w:t>
            </w:r>
          </w:p>
        </w:tc>
        <w:tc>
          <w:tcPr>
            <w:tcW w:w="2556" w:type="dxa"/>
            <w:tcBorders>
              <w:top w:val="nil"/>
              <w:left w:val="nil"/>
              <w:bottom w:val="nil"/>
              <w:right w:val="nil"/>
            </w:tcBorders>
            <w:shd w:val="clear" w:color="000000" w:fill="FFFFFF"/>
            <w:noWrap/>
            <w:vAlign w:val="bottom"/>
          </w:tcPr>
          <w:p w14:paraId="4E16300C" w14:textId="208528C9" w:rsidR="00A53E65" w:rsidRPr="0023047F" w:rsidRDefault="00A53E65" w:rsidP="00A53E65">
            <w:pPr>
              <w:jc w:val="center"/>
              <w:rPr>
                <w:rFonts w:ascii="Calibri" w:hAnsi="Calibri" w:cs="Calibri"/>
                <w:color w:val="000000"/>
                <w:lang w:val="en-US"/>
              </w:rPr>
            </w:pPr>
            <w:r>
              <w:rPr>
                <w:rFonts w:ascii="Calibri" w:hAnsi="Calibri" w:cs="Calibri"/>
                <w:color w:val="000000"/>
              </w:rPr>
              <w:t>133 (13.57%)</w:t>
            </w:r>
          </w:p>
        </w:tc>
        <w:tc>
          <w:tcPr>
            <w:tcW w:w="1701" w:type="dxa"/>
            <w:tcBorders>
              <w:top w:val="nil"/>
              <w:left w:val="nil"/>
              <w:bottom w:val="nil"/>
              <w:right w:val="nil"/>
            </w:tcBorders>
            <w:shd w:val="clear" w:color="000000" w:fill="FFFFFF"/>
            <w:noWrap/>
            <w:vAlign w:val="bottom"/>
          </w:tcPr>
          <w:p w14:paraId="443E25A2" w14:textId="2F7A5986" w:rsidR="00A53E65" w:rsidRPr="0023047F" w:rsidRDefault="00A53E65" w:rsidP="00A53E65">
            <w:pPr>
              <w:jc w:val="center"/>
              <w:rPr>
                <w:rFonts w:ascii="Calibri" w:hAnsi="Calibri" w:cs="Calibri"/>
                <w:color w:val="000000"/>
                <w:lang w:val="en-US"/>
              </w:rPr>
            </w:pPr>
            <w:r>
              <w:rPr>
                <w:rFonts w:ascii="Calibri" w:hAnsi="Calibri" w:cs="Calibri"/>
                <w:color w:val="000000"/>
              </w:rPr>
              <w:t>124 (15.14%)</w:t>
            </w:r>
          </w:p>
        </w:tc>
        <w:tc>
          <w:tcPr>
            <w:tcW w:w="1701" w:type="dxa"/>
            <w:tcBorders>
              <w:top w:val="nil"/>
              <w:left w:val="nil"/>
              <w:bottom w:val="nil"/>
              <w:right w:val="nil"/>
            </w:tcBorders>
            <w:shd w:val="clear" w:color="000000" w:fill="FFFFFF"/>
            <w:noWrap/>
            <w:vAlign w:val="bottom"/>
          </w:tcPr>
          <w:p w14:paraId="1F36998F" w14:textId="03C92D7E" w:rsidR="00A53E65" w:rsidRPr="0023047F" w:rsidRDefault="00A53E65" w:rsidP="00A53E65">
            <w:pPr>
              <w:jc w:val="center"/>
              <w:rPr>
                <w:rFonts w:ascii="Calibri" w:hAnsi="Calibri" w:cs="Calibri"/>
                <w:color w:val="000000"/>
                <w:lang w:val="en-US"/>
              </w:rPr>
            </w:pPr>
            <w:r>
              <w:rPr>
                <w:rFonts w:ascii="Calibri" w:hAnsi="Calibri" w:cs="Calibri"/>
                <w:color w:val="000000"/>
              </w:rPr>
              <w:t>9 (5.59%)</w:t>
            </w:r>
          </w:p>
        </w:tc>
        <w:tc>
          <w:tcPr>
            <w:tcW w:w="1701" w:type="dxa"/>
            <w:tcBorders>
              <w:top w:val="nil"/>
              <w:left w:val="nil"/>
              <w:bottom w:val="nil"/>
              <w:right w:val="nil"/>
            </w:tcBorders>
            <w:shd w:val="clear" w:color="000000" w:fill="FFFFFF"/>
            <w:noWrap/>
            <w:vAlign w:val="bottom"/>
          </w:tcPr>
          <w:p w14:paraId="0CADD766" w14:textId="57E2FD02" w:rsidR="00A53E65" w:rsidRPr="0023047F" w:rsidRDefault="00A53E65" w:rsidP="00A53E65">
            <w:pPr>
              <w:rPr>
                <w:rFonts w:eastAsia="Times New Roman" w:cs="Calibri"/>
                <w:b/>
                <w:color w:val="000000"/>
                <w:sz w:val="16"/>
                <w:lang w:val="en-US" w:eastAsia="fr-FR"/>
              </w:rPr>
            </w:pPr>
            <w:r>
              <w:rPr>
                <w:rFonts w:ascii="Calibri" w:hAnsi="Calibri" w:cs="Calibri"/>
                <w:color w:val="000000"/>
              </w:rPr>
              <w:t>0.33 [0.16;0.67]</w:t>
            </w:r>
          </w:p>
        </w:tc>
        <w:tc>
          <w:tcPr>
            <w:tcW w:w="913" w:type="dxa"/>
            <w:tcBorders>
              <w:top w:val="single" w:sz="4" w:space="0" w:color="auto"/>
              <w:bottom w:val="nil"/>
              <w:right w:val="single" w:sz="4" w:space="0" w:color="auto"/>
            </w:tcBorders>
            <w:shd w:val="clear" w:color="auto" w:fill="auto"/>
            <w:noWrap/>
            <w:vAlign w:val="bottom"/>
          </w:tcPr>
          <w:p w14:paraId="042D0C5F" w14:textId="20C82AED" w:rsidR="00A53E65" w:rsidRPr="008F59E2" w:rsidRDefault="00A53E65" w:rsidP="00A53E65">
            <w:pPr>
              <w:rPr>
                <w:rFonts w:ascii="Calibri" w:hAnsi="Calibri" w:cs="Calibri"/>
                <w:b/>
                <w:color w:val="000000"/>
                <w:sz w:val="16"/>
                <w:lang w:val="en-US"/>
              </w:rPr>
            </w:pPr>
            <w:r w:rsidRPr="008F59E2">
              <w:rPr>
                <w:rFonts w:ascii="Calibri" w:hAnsi="Calibri" w:cs="Calibri"/>
                <w:b/>
                <w:color w:val="000000"/>
                <w:sz w:val="20"/>
                <w:lang w:val="en-US"/>
              </w:rPr>
              <w:t>0.0012</w:t>
            </w:r>
          </w:p>
        </w:tc>
      </w:tr>
      <w:tr w:rsidR="00A53E65" w:rsidRPr="00C81B78" w14:paraId="2BE27BAE" w14:textId="77777777" w:rsidTr="00296B73">
        <w:trPr>
          <w:trHeight w:val="300"/>
          <w:jc w:val="center"/>
        </w:trPr>
        <w:tc>
          <w:tcPr>
            <w:tcW w:w="2547" w:type="dxa"/>
            <w:tcBorders>
              <w:top w:val="nil"/>
            </w:tcBorders>
            <w:shd w:val="clear" w:color="auto" w:fill="auto"/>
            <w:noWrap/>
            <w:vAlign w:val="center"/>
          </w:tcPr>
          <w:p w14:paraId="01AC5574" w14:textId="77777777" w:rsidR="00A53E65" w:rsidRDefault="00A53E65" w:rsidP="00A53E65">
            <w:pPr>
              <w:rPr>
                <w:rFonts w:eastAsia="Times New Roman" w:cs="Calibri"/>
                <w:b/>
                <w:color w:val="000000"/>
                <w:lang w:eastAsia="fr-FR"/>
              </w:rPr>
            </w:pPr>
            <w:r>
              <w:rPr>
                <w:rFonts w:eastAsia="Times New Roman" w:cs="Calibri"/>
                <w:b/>
                <w:color w:val="000000"/>
                <w:lang w:eastAsia="fr-FR"/>
              </w:rPr>
              <w:t xml:space="preserve">Infection </w:t>
            </w:r>
            <w:proofErr w:type="spellStart"/>
            <w:r>
              <w:rPr>
                <w:rFonts w:eastAsia="Times New Roman" w:cs="Calibri"/>
                <w:b/>
                <w:color w:val="000000"/>
                <w:lang w:eastAsia="fr-FR"/>
              </w:rPr>
              <w:t>during</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hospital</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stay</w:t>
            </w:r>
            <w:proofErr w:type="spellEnd"/>
          </w:p>
        </w:tc>
        <w:tc>
          <w:tcPr>
            <w:tcW w:w="2556" w:type="dxa"/>
            <w:tcBorders>
              <w:top w:val="nil"/>
              <w:left w:val="nil"/>
              <w:bottom w:val="nil"/>
              <w:right w:val="nil"/>
            </w:tcBorders>
            <w:shd w:val="clear" w:color="000000" w:fill="FFFFFF"/>
            <w:noWrap/>
            <w:vAlign w:val="bottom"/>
          </w:tcPr>
          <w:p w14:paraId="4B56F69E" w14:textId="51D83424" w:rsidR="00A53E65" w:rsidRPr="009B46ED" w:rsidRDefault="00A53E65" w:rsidP="00A53E65">
            <w:pPr>
              <w:rPr>
                <w:rFonts w:eastAsia="Times New Roman" w:cs="Calibri"/>
                <w:b/>
                <w:color w:val="000000"/>
                <w:lang w:eastAsia="fr-FR"/>
              </w:rPr>
            </w:pPr>
            <w:r>
              <w:rPr>
                <w:rFonts w:ascii="Calibri" w:hAnsi="Calibri" w:cs="Calibri"/>
                <w:color w:val="000000"/>
              </w:rPr>
              <w:t>465 (44.88%)</w:t>
            </w:r>
          </w:p>
        </w:tc>
        <w:tc>
          <w:tcPr>
            <w:tcW w:w="1701" w:type="dxa"/>
            <w:tcBorders>
              <w:top w:val="nil"/>
              <w:left w:val="nil"/>
              <w:bottom w:val="nil"/>
              <w:right w:val="nil"/>
            </w:tcBorders>
            <w:shd w:val="clear" w:color="000000" w:fill="FFFFFF"/>
            <w:noWrap/>
            <w:vAlign w:val="bottom"/>
          </w:tcPr>
          <w:p w14:paraId="623FDD12" w14:textId="6E551ABF" w:rsidR="00A53E65" w:rsidRPr="009B46ED" w:rsidRDefault="00A53E65" w:rsidP="00A53E65">
            <w:pPr>
              <w:rPr>
                <w:rFonts w:eastAsia="Times New Roman" w:cs="Calibri"/>
                <w:b/>
                <w:color w:val="000000"/>
                <w:lang w:eastAsia="fr-FR"/>
              </w:rPr>
            </w:pPr>
            <w:r>
              <w:rPr>
                <w:rFonts w:ascii="Calibri" w:hAnsi="Calibri" w:cs="Calibri"/>
                <w:color w:val="000000"/>
              </w:rPr>
              <w:t>356 (42.18%)</w:t>
            </w:r>
          </w:p>
        </w:tc>
        <w:tc>
          <w:tcPr>
            <w:tcW w:w="1701" w:type="dxa"/>
            <w:tcBorders>
              <w:top w:val="nil"/>
              <w:left w:val="nil"/>
              <w:bottom w:val="nil"/>
              <w:right w:val="nil"/>
            </w:tcBorders>
            <w:shd w:val="clear" w:color="000000" w:fill="FFFFFF"/>
            <w:noWrap/>
            <w:vAlign w:val="bottom"/>
          </w:tcPr>
          <w:p w14:paraId="4710EBEE" w14:textId="51F01124" w:rsidR="00A53E65" w:rsidRPr="009B46ED" w:rsidRDefault="00A53E65" w:rsidP="00A53E65">
            <w:pPr>
              <w:rPr>
                <w:rFonts w:eastAsia="Times New Roman" w:cs="Calibri"/>
                <w:b/>
                <w:color w:val="000000"/>
                <w:lang w:eastAsia="fr-FR"/>
              </w:rPr>
            </w:pPr>
            <w:r>
              <w:rPr>
                <w:rFonts w:ascii="Calibri" w:hAnsi="Calibri" w:cs="Calibri"/>
                <w:color w:val="000000"/>
              </w:rPr>
              <w:t>109 (56.77%)</w:t>
            </w:r>
          </w:p>
        </w:tc>
        <w:tc>
          <w:tcPr>
            <w:tcW w:w="1701" w:type="dxa"/>
            <w:tcBorders>
              <w:top w:val="nil"/>
              <w:left w:val="nil"/>
              <w:bottom w:val="nil"/>
              <w:right w:val="nil"/>
            </w:tcBorders>
            <w:shd w:val="clear" w:color="000000" w:fill="FFFFFF"/>
            <w:noWrap/>
            <w:vAlign w:val="bottom"/>
          </w:tcPr>
          <w:p w14:paraId="6F37F4FB" w14:textId="01CE6062" w:rsidR="00A53E65" w:rsidRPr="009B46ED" w:rsidRDefault="00A53E65" w:rsidP="00A53E65">
            <w:pPr>
              <w:rPr>
                <w:rFonts w:eastAsia="Times New Roman" w:cs="Calibri"/>
                <w:b/>
                <w:color w:val="000000"/>
                <w:lang w:eastAsia="fr-FR"/>
              </w:rPr>
            </w:pPr>
            <w:r>
              <w:rPr>
                <w:rFonts w:ascii="Calibri" w:hAnsi="Calibri" w:cs="Calibri"/>
                <w:color w:val="000000"/>
              </w:rPr>
              <w:t>1.80 [1.31;2.47]</w:t>
            </w:r>
          </w:p>
        </w:tc>
        <w:tc>
          <w:tcPr>
            <w:tcW w:w="913" w:type="dxa"/>
            <w:tcBorders>
              <w:top w:val="nil"/>
              <w:left w:val="nil"/>
              <w:bottom w:val="nil"/>
              <w:right w:val="single" w:sz="4" w:space="0" w:color="auto"/>
            </w:tcBorders>
            <w:shd w:val="clear" w:color="000000" w:fill="FFFFFF"/>
            <w:noWrap/>
            <w:vAlign w:val="bottom"/>
          </w:tcPr>
          <w:p w14:paraId="50BE341F" w14:textId="2285C362" w:rsidR="00A53E65" w:rsidRPr="008F59E2" w:rsidRDefault="00D6565F" w:rsidP="00A53E65">
            <w:pPr>
              <w:rPr>
                <w:rFonts w:ascii="Calibri" w:hAnsi="Calibri" w:cs="Calibri"/>
                <w:b/>
                <w:color w:val="000000"/>
              </w:rPr>
            </w:pPr>
            <w:r w:rsidRPr="008F59E2">
              <w:rPr>
                <w:rFonts w:ascii="Calibri" w:hAnsi="Calibri" w:cs="Calibri"/>
                <w:b/>
                <w:color w:val="000000"/>
              </w:rPr>
              <w:t>0.0002</w:t>
            </w:r>
          </w:p>
        </w:tc>
      </w:tr>
      <w:tr w:rsidR="00D6565F" w:rsidRPr="00C81B78" w14:paraId="332CE364" w14:textId="77777777" w:rsidTr="00404FF4">
        <w:trPr>
          <w:trHeight w:val="300"/>
          <w:jc w:val="center"/>
        </w:trPr>
        <w:tc>
          <w:tcPr>
            <w:tcW w:w="2547" w:type="dxa"/>
            <w:shd w:val="clear" w:color="auto" w:fill="auto"/>
            <w:noWrap/>
            <w:vAlign w:val="center"/>
            <w:hideMark/>
          </w:tcPr>
          <w:p w14:paraId="2AAF83B3" w14:textId="77777777" w:rsidR="00D6565F" w:rsidRPr="009B46ED" w:rsidRDefault="00D6565F" w:rsidP="00D6565F">
            <w:pPr>
              <w:rPr>
                <w:rFonts w:eastAsia="Times New Roman" w:cs="Calibri"/>
                <w:b/>
                <w:color w:val="000000"/>
                <w:lang w:eastAsia="fr-FR"/>
              </w:rPr>
            </w:pPr>
            <w:proofErr w:type="spellStart"/>
            <w:r>
              <w:rPr>
                <w:rFonts w:eastAsia="Times New Roman" w:cs="Calibri"/>
                <w:b/>
                <w:color w:val="000000"/>
                <w:lang w:eastAsia="fr-FR"/>
              </w:rPr>
              <w:t>Fungal</w:t>
            </w:r>
            <w:proofErr w:type="spellEnd"/>
            <w:r>
              <w:rPr>
                <w:rFonts w:eastAsia="Times New Roman" w:cs="Calibri"/>
                <w:b/>
                <w:color w:val="000000"/>
                <w:lang w:eastAsia="fr-FR"/>
              </w:rPr>
              <w:t xml:space="preserve"> infection </w:t>
            </w:r>
          </w:p>
        </w:tc>
        <w:tc>
          <w:tcPr>
            <w:tcW w:w="2556" w:type="dxa"/>
            <w:tcBorders>
              <w:top w:val="nil"/>
              <w:left w:val="nil"/>
              <w:bottom w:val="nil"/>
              <w:right w:val="nil"/>
            </w:tcBorders>
            <w:shd w:val="clear" w:color="000000" w:fill="FFFFFF"/>
            <w:noWrap/>
            <w:vAlign w:val="bottom"/>
          </w:tcPr>
          <w:p w14:paraId="2A5C3A6D" w14:textId="4054C819" w:rsidR="00D6565F" w:rsidRPr="009B46ED" w:rsidRDefault="00D6565F" w:rsidP="00D6565F">
            <w:pPr>
              <w:rPr>
                <w:rFonts w:eastAsia="Times New Roman" w:cs="Calibri"/>
                <w:b/>
                <w:color w:val="000000"/>
                <w:lang w:eastAsia="fr-FR"/>
              </w:rPr>
            </w:pPr>
            <w:r>
              <w:rPr>
                <w:rFonts w:ascii="Calibri" w:hAnsi="Calibri" w:cs="Calibri"/>
                <w:color w:val="000000"/>
              </w:rPr>
              <w:t>33 (3.19%)</w:t>
            </w:r>
          </w:p>
        </w:tc>
        <w:tc>
          <w:tcPr>
            <w:tcW w:w="1701" w:type="dxa"/>
            <w:tcBorders>
              <w:top w:val="nil"/>
              <w:left w:val="nil"/>
              <w:bottom w:val="nil"/>
              <w:right w:val="nil"/>
            </w:tcBorders>
            <w:shd w:val="clear" w:color="000000" w:fill="FFFFFF"/>
            <w:noWrap/>
            <w:vAlign w:val="bottom"/>
          </w:tcPr>
          <w:p w14:paraId="2F3A3D9E" w14:textId="0F8D3649" w:rsidR="00D6565F" w:rsidRPr="009B46ED" w:rsidRDefault="00D6565F" w:rsidP="00D6565F">
            <w:pPr>
              <w:rPr>
                <w:rFonts w:eastAsia="Times New Roman" w:cs="Calibri"/>
                <w:b/>
                <w:color w:val="000000"/>
                <w:lang w:eastAsia="fr-FR"/>
              </w:rPr>
            </w:pPr>
            <w:r>
              <w:rPr>
                <w:rFonts w:ascii="Calibri" w:hAnsi="Calibri" w:cs="Calibri"/>
                <w:color w:val="000000"/>
              </w:rPr>
              <w:t>24 (2.84%)</w:t>
            </w:r>
          </w:p>
        </w:tc>
        <w:tc>
          <w:tcPr>
            <w:tcW w:w="1701" w:type="dxa"/>
            <w:tcBorders>
              <w:top w:val="nil"/>
              <w:left w:val="nil"/>
              <w:bottom w:val="nil"/>
              <w:right w:val="nil"/>
            </w:tcBorders>
            <w:shd w:val="clear" w:color="000000" w:fill="FFFFFF"/>
            <w:noWrap/>
            <w:vAlign w:val="bottom"/>
          </w:tcPr>
          <w:p w14:paraId="685A9DF4" w14:textId="376841C5" w:rsidR="00D6565F" w:rsidRPr="009B46ED" w:rsidRDefault="00D6565F" w:rsidP="00D6565F">
            <w:pPr>
              <w:rPr>
                <w:rFonts w:eastAsia="Times New Roman" w:cs="Calibri"/>
                <w:b/>
                <w:color w:val="000000"/>
                <w:lang w:eastAsia="fr-FR"/>
              </w:rPr>
            </w:pPr>
            <w:r>
              <w:rPr>
                <w:rFonts w:ascii="Calibri" w:hAnsi="Calibri" w:cs="Calibri"/>
                <w:color w:val="000000"/>
              </w:rPr>
              <w:t>9 (4.69%)</w:t>
            </w:r>
          </w:p>
        </w:tc>
        <w:tc>
          <w:tcPr>
            <w:tcW w:w="1701" w:type="dxa"/>
            <w:tcBorders>
              <w:top w:val="nil"/>
              <w:left w:val="nil"/>
              <w:bottom w:val="nil"/>
              <w:right w:val="nil"/>
            </w:tcBorders>
            <w:shd w:val="clear" w:color="000000" w:fill="FFFFFF"/>
            <w:noWrap/>
            <w:vAlign w:val="bottom"/>
          </w:tcPr>
          <w:p w14:paraId="776A8562" w14:textId="35B005B3" w:rsidR="00D6565F" w:rsidRPr="009B46ED" w:rsidRDefault="00D6565F" w:rsidP="00D6565F">
            <w:pPr>
              <w:rPr>
                <w:rFonts w:eastAsia="Times New Roman" w:cs="Calibri"/>
                <w:b/>
                <w:color w:val="000000"/>
                <w:lang w:eastAsia="fr-FR"/>
              </w:rPr>
            </w:pPr>
            <w:r>
              <w:rPr>
                <w:rFonts w:ascii="Calibri" w:hAnsi="Calibri" w:cs="Calibri"/>
                <w:color w:val="000000"/>
              </w:rPr>
              <w:t>1.68 [0.77;3.68]</w:t>
            </w:r>
          </w:p>
        </w:tc>
        <w:tc>
          <w:tcPr>
            <w:tcW w:w="913" w:type="dxa"/>
            <w:tcBorders>
              <w:top w:val="nil"/>
              <w:bottom w:val="nil"/>
            </w:tcBorders>
            <w:shd w:val="clear" w:color="auto" w:fill="auto"/>
            <w:noWrap/>
            <w:vAlign w:val="bottom"/>
          </w:tcPr>
          <w:p w14:paraId="4C8C0872" w14:textId="7A77895B" w:rsidR="00D6565F" w:rsidRPr="00C81B78" w:rsidRDefault="00D6565F" w:rsidP="00D6565F">
            <w:pPr>
              <w:rPr>
                <w:rFonts w:ascii="Calibri" w:hAnsi="Calibri" w:cs="Calibri"/>
                <w:color w:val="000000"/>
              </w:rPr>
            </w:pPr>
            <w:r>
              <w:rPr>
                <w:rFonts w:ascii="Calibri" w:hAnsi="Calibri" w:cs="Calibri"/>
                <w:color w:val="000000"/>
              </w:rPr>
              <w:t>0.19</w:t>
            </w:r>
          </w:p>
        </w:tc>
      </w:tr>
      <w:tr w:rsidR="00D6565F" w:rsidRPr="00C81B78" w14:paraId="5ABCBC2C" w14:textId="77777777" w:rsidTr="00404FF4">
        <w:trPr>
          <w:trHeight w:val="300"/>
          <w:jc w:val="center"/>
        </w:trPr>
        <w:tc>
          <w:tcPr>
            <w:tcW w:w="2547" w:type="dxa"/>
            <w:shd w:val="clear" w:color="auto" w:fill="auto"/>
            <w:noWrap/>
            <w:vAlign w:val="center"/>
            <w:hideMark/>
          </w:tcPr>
          <w:p w14:paraId="5C1C5555" w14:textId="77777777" w:rsidR="00D6565F" w:rsidRPr="009B46ED" w:rsidRDefault="00D6565F" w:rsidP="00D6565F">
            <w:pPr>
              <w:rPr>
                <w:rFonts w:eastAsia="Times New Roman" w:cs="Calibri"/>
                <w:b/>
                <w:color w:val="000000"/>
                <w:lang w:eastAsia="fr-FR"/>
              </w:rPr>
            </w:pPr>
            <w:r>
              <w:rPr>
                <w:rFonts w:eastAsia="Times New Roman" w:cs="Calibri"/>
                <w:b/>
                <w:color w:val="000000"/>
                <w:lang w:eastAsia="fr-FR"/>
              </w:rPr>
              <w:t xml:space="preserve">Viral infection </w:t>
            </w:r>
          </w:p>
        </w:tc>
        <w:tc>
          <w:tcPr>
            <w:tcW w:w="2556" w:type="dxa"/>
            <w:tcBorders>
              <w:top w:val="nil"/>
              <w:left w:val="nil"/>
              <w:bottom w:val="nil"/>
              <w:right w:val="nil"/>
            </w:tcBorders>
            <w:shd w:val="clear" w:color="000000" w:fill="FFFFFF"/>
            <w:noWrap/>
            <w:vAlign w:val="bottom"/>
          </w:tcPr>
          <w:p w14:paraId="46028E32" w14:textId="290FF5E8" w:rsidR="00D6565F" w:rsidRPr="009B46ED" w:rsidRDefault="00D6565F" w:rsidP="00D6565F">
            <w:pPr>
              <w:rPr>
                <w:rFonts w:eastAsia="Times New Roman" w:cs="Calibri"/>
                <w:b/>
                <w:color w:val="000000"/>
                <w:lang w:eastAsia="fr-FR"/>
              </w:rPr>
            </w:pPr>
            <w:r>
              <w:rPr>
                <w:rFonts w:ascii="Calibri" w:hAnsi="Calibri" w:cs="Calibri"/>
                <w:color w:val="000000"/>
              </w:rPr>
              <w:t>31 (2.99%)</w:t>
            </w:r>
          </w:p>
        </w:tc>
        <w:tc>
          <w:tcPr>
            <w:tcW w:w="1701" w:type="dxa"/>
            <w:tcBorders>
              <w:top w:val="nil"/>
              <w:left w:val="nil"/>
              <w:bottom w:val="nil"/>
              <w:right w:val="nil"/>
            </w:tcBorders>
            <w:shd w:val="clear" w:color="000000" w:fill="FFFFFF"/>
            <w:noWrap/>
            <w:vAlign w:val="bottom"/>
          </w:tcPr>
          <w:p w14:paraId="6B15F8B7" w14:textId="645984AB" w:rsidR="00D6565F" w:rsidRPr="009B46ED" w:rsidRDefault="00D6565F" w:rsidP="00D6565F">
            <w:pPr>
              <w:rPr>
                <w:rFonts w:eastAsia="Times New Roman" w:cs="Calibri"/>
                <w:b/>
                <w:color w:val="000000"/>
                <w:lang w:eastAsia="fr-FR"/>
              </w:rPr>
            </w:pPr>
            <w:r>
              <w:rPr>
                <w:rFonts w:ascii="Calibri" w:hAnsi="Calibri" w:cs="Calibri"/>
                <w:color w:val="000000"/>
              </w:rPr>
              <w:t>26 (3.08%)</w:t>
            </w:r>
          </w:p>
        </w:tc>
        <w:tc>
          <w:tcPr>
            <w:tcW w:w="1701" w:type="dxa"/>
            <w:tcBorders>
              <w:top w:val="nil"/>
              <w:left w:val="nil"/>
              <w:bottom w:val="nil"/>
              <w:right w:val="nil"/>
            </w:tcBorders>
            <w:shd w:val="clear" w:color="000000" w:fill="FFFFFF"/>
            <w:noWrap/>
            <w:vAlign w:val="bottom"/>
          </w:tcPr>
          <w:p w14:paraId="44F37B8B" w14:textId="59438796" w:rsidR="00D6565F" w:rsidRPr="009B46ED" w:rsidRDefault="00D6565F" w:rsidP="00D6565F">
            <w:pPr>
              <w:rPr>
                <w:rFonts w:eastAsia="Times New Roman" w:cs="Calibri"/>
                <w:b/>
                <w:color w:val="000000"/>
                <w:lang w:eastAsia="fr-FR"/>
              </w:rPr>
            </w:pPr>
            <w:r>
              <w:rPr>
                <w:rFonts w:ascii="Calibri" w:hAnsi="Calibri" w:cs="Calibri"/>
                <w:color w:val="000000"/>
              </w:rPr>
              <w:t>5 (2.60%)</w:t>
            </w:r>
          </w:p>
        </w:tc>
        <w:tc>
          <w:tcPr>
            <w:tcW w:w="1701" w:type="dxa"/>
            <w:tcBorders>
              <w:top w:val="nil"/>
              <w:left w:val="nil"/>
              <w:bottom w:val="nil"/>
              <w:right w:val="nil"/>
            </w:tcBorders>
            <w:shd w:val="clear" w:color="000000" w:fill="FFFFFF"/>
            <w:noWrap/>
            <w:vAlign w:val="bottom"/>
          </w:tcPr>
          <w:p w14:paraId="4BD74F19" w14:textId="0EB55BD0" w:rsidR="00D6565F" w:rsidRPr="009B46ED" w:rsidRDefault="00D6565F" w:rsidP="00D6565F">
            <w:pPr>
              <w:rPr>
                <w:rFonts w:eastAsia="Times New Roman" w:cs="Calibri"/>
                <w:b/>
                <w:color w:val="000000"/>
                <w:lang w:eastAsia="fr-FR"/>
              </w:rPr>
            </w:pPr>
            <w:r>
              <w:rPr>
                <w:rFonts w:ascii="Calibri" w:hAnsi="Calibri" w:cs="Calibri"/>
                <w:color w:val="000000"/>
              </w:rPr>
              <w:t>0.84 [0.32;2.22]</w:t>
            </w:r>
          </w:p>
        </w:tc>
        <w:tc>
          <w:tcPr>
            <w:tcW w:w="913" w:type="dxa"/>
            <w:tcBorders>
              <w:top w:val="nil"/>
              <w:bottom w:val="nil"/>
            </w:tcBorders>
            <w:shd w:val="clear" w:color="auto" w:fill="auto"/>
            <w:noWrap/>
            <w:vAlign w:val="bottom"/>
          </w:tcPr>
          <w:p w14:paraId="1E02567D" w14:textId="715ACBBF" w:rsidR="00D6565F" w:rsidRPr="00C81B78" w:rsidRDefault="00D6565F" w:rsidP="00D6565F">
            <w:pPr>
              <w:rPr>
                <w:rFonts w:ascii="Calibri" w:hAnsi="Calibri" w:cs="Calibri"/>
                <w:color w:val="000000"/>
              </w:rPr>
            </w:pPr>
            <w:r>
              <w:rPr>
                <w:rFonts w:ascii="Calibri" w:hAnsi="Calibri" w:cs="Calibri"/>
                <w:color w:val="000000"/>
              </w:rPr>
              <w:t>0.73</w:t>
            </w:r>
          </w:p>
        </w:tc>
      </w:tr>
      <w:tr w:rsidR="00D6565F" w:rsidRPr="00C81B78" w14:paraId="21C23558" w14:textId="77777777" w:rsidTr="00296B73">
        <w:trPr>
          <w:trHeight w:val="300"/>
          <w:jc w:val="center"/>
        </w:trPr>
        <w:tc>
          <w:tcPr>
            <w:tcW w:w="2547" w:type="dxa"/>
            <w:shd w:val="clear" w:color="auto" w:fill="auto"/>
            <w:noWrap/>
            <w:vAlign w:val="center"/>
          </w:tcPr>
          <w:p w14:paraId="158BB7C2" w14:textId="77777777" w:rsidR="00D6565F" w:rsidRDefault="00D6565F" w:rsidP="00D6565F">
            <w:pPr>
              <w:rPr>
                <w:rFonts w:eastAsia="Times New Roman" w:cs="Calibri"/>
                <w:b/>
                <w:color w:val="000000"/>
                <w:lang w:eastAsia="fr-FR"/>
              </w:rPr>
            </w:pPr>
            <w:proofErr w:type="spellStart"/>
            <w:r>
              <w:rPr>
                <w:rFonts w:eastAsia="Times New Roman" w:cs="Calibri"/>
                <w:b/>
                <w:color w:val="000000"/>
                <w:lang w:eastAsia="fr-FR"/>
              </w:rPr>
              <w:t>Number</w:t>
            </w:r>
            <w:proofErr w:type="spellEnd"/>
            <w:r>
              <w:rPr>
                <w:rFonts w:eastAsia="Times New Roman" w:cs="Calibri"/>
                <w:b/>
                <w:color w:val="000000"/>
                <w:lang w:eastAsia="fr-FR"/>
              </w:rPr>
              <w:t xml:space="preserve"> of VAP </w:t>
            </w:r>
            <w:proofErr w:type="spellStart"/>
            <w:r>
              <w:rPr>
                <w:rFonts w:eastAsia="Times New Roman" w:cs="Calibri"/>
                <w:b/>
                <w:color w:val="000000"/>
                <w:lang w:eastAsia="fr-FR"/>
              </w:rPr>
              <w:t>episodes</w:t>
            </w:r>
            <w:proofErr w:type="spellEnd"/>
          </w:p>
        </w:tc>
        <w:tc>
          <w:tcPr>
            <w:tcW w:w="2556" w:type="dxa"/>
            <w:tcBorders>
              <w:top w:val="nil"/>
              <w:left w:val="nil"/>
              <w:bottom w:val="nil"/>
              <w:right w:val="nil"/>
            </w:tcBorders>
            <w:shd w:val="clear" w:color="000000" w:fill="FFFFFF"/>
            <w:noWrap/>
            <w:vAlign w:val="bottom"/>
          </w:tcPr>
          <w:p w14:paraId="2C1543CD" w14:textId="083355D3" w:rsidR="00D6565F" w:rsidRDefault="00D6565F" w:rsidP="00D6565F">
            <w:pPr>
              <w:rPr>
                <w:rFonts w:ascii="Calibri" w:hAnsi="Calibri" w:cs="Calibri"/>
                <w:color w:val="000000"/>
              </w:rPr>
            </w:pPr>
            <w:r>
              <w:rPr>
                <w:rFonts w:ascii="Calibri" w:hAnsi="Calibri" w:cs="Calibri"/>
                <w:color w:val="000000"/>
              </w:rPr>
              <w:t>0.00 [0.00;1.00]</w:t>
            </w:r>
          </w:p>
        </w:tc>
        <w:tc>
          <w:tcPr>
            <w:tcW w:w="1701" w:type="dxa"/>
            <w:tcBorders>
              <w:top w:val="nil"/>
              <w:left w:val="nil"/>
              <w:bottom w:val="nil"/>
              <w:right w:val="nil"/>
            </w:tcBorders>
            <w:shd w:val="clear" w:color="000000" w:fill="FFFFFF"/>
            <w:noWrap/>
            <w:vAlign w:val="bottom"/>
          </w:tcPr>
          <w:p w14:paraId="46D6DD66" w14:textId="347037C6" w:rsidR="00D6565F" w:rsidRDefault="00D6565F" w:rsidP="00D6565F">
            <w:pPr>
              <w:rPr>
                <w:rFonts w:ascii="Calibri" w:hAnsi="Calibri" w:cs="Calibri"/>
                <w:color w:val="000000"/>
              </w:rPr>
            </w:pPr>
            <w:r>
              <w:rPr>
                <w:rFonts w:ascii="Calibri" w:hAnsi="Calibri" w:cs="Calibri"/>
                <w:color w:val="000000"/>
              </w:rPr>
              <w:t>0.00 [0.00;1.00]</w:t>
            </w:r>
          </w:p>
        </w:tc>
        <w:tc>
          <w:tcPr>
            <w:tcW w:w="1701" w:type="dxa"/>
            <w:tcBorders>
              <w:top w:val="nil"/>
              <w:left w:val="nil"/>
              <w:bottom w:val="nil"/>
              <w:right w:val="nil"/>
            </w:tcBorders>
            <w:shd w:val="clear" w:color="000000" w:fill="FFFFFF"/>
            <w:noWrap/>
            <w:vAlign w:val="bottom"/>
          </w:tcPr>
          <w:p w14:paraId="3BF8684C" w14:textId="501882A4" w:rsidR="00D6565F" w:rsidRDefault="00D6565F" w:rsidP="00D6565F">
            <w:pPr>
              <w:rPr>
                <w:rFonts w:ascii="Calibri" w:hAnsi="Calibri" w:cs="Calibri"/>
                <w:color w:val="000000"/>
              </w:rPr>
            </w:pPr>
            <w:r>
              <w:rPr>
                <w:rFonts w:ascii="Calibri" w:hAnsi="Calibri" w:cs="Calibri"/>
                <w:color w:val="000000"/>
              </w:rPr>
              <w:t>1.00 [0.00;2.00]</w:t>
            </w:r>
          </w:p>
        </w:tc>
        <w:tc>
          <w:tcPr>
            <w:tcW w:w="1701" w:type="dxa"/>
            <w:tcBorders>
              <w:top w:val="nil"/>
              <w:left w:val="nil"/>
              <w:bottom w:val="nil"/>
              <w:right w:val="nil"/>
            </w:tcBorders>
            <w:shd w:val="clear" w:color="000000" w:fill="FFFFFF"/>
            <w:noWrap/>
            <w:vAlign w:val="bottom"/>
          </w:tcPr>
          <w:p w14:paraId="43C60812" w14:textId="5758B401" w:rsidR="00D6565F" w:rsidRDefault="00D6565F" w:rsidP="00D6565F">
            <w:pPr>
              <w:rPr>
                <w:rFonts w:ascii="Calibri" w:hAnsi="Calibri" w:cs="Calibri"/>
                <w:color w:val="000000"/>
              </w:rPr>
            </w:pPr>
            <w:r>
              <w:rPr>
                <w:rFonts w:ascii="Calibri" w:hAnsi="Calibri" w:cs="Calibri"/>
                <w:color w:val="000000"/>
              </w:rPr>
              <w:t xml:space="preserve"> </w:t>
            </w:r>
          </w:p>
        </w:tc>
        <w:tc>
          <w:tcPr>
            <w:tcW w:w="913" w:type="dxa"/>
            <w:tcBorders>
              <w:top w:val="nil"/>
              <w:left w:val="nil"/>
              <w:bottom w:val="nil"/>
              <w:right w:val="single" w:sz="4" w:space="0" w:color="auto"/>
            </w:tcBorders>
            <w:shd w:val="clear" w:color="000000" w:fill="FFFFFF"/>
            <w:noWrap/>
            <w:vAlign w:val="bottom"/>
          </w:tcPr>
          <w:p w14:paraId="1F3079ED" w14:textId="00FE6FD2" w:rsidR="00D6565F" w:rsidRPr="008F59E2" w:rsidRDefault="00D6565F" w:rsidP="00D6565F">
            <w:pPr>
              <w:rPr>
                <w:rFonts w:ascii="Calibri" w:hAnsi="Calibri" w:cs="Calibri"/>
                <w:b/>
                <w:color w:val="000000"/>
              </w:rPr>
            </w:pPr>
            <w:r w:rsidRPr="008F59E2">
              <w:rPr>
                <w:rFonts w:ascii="Calibri" w:hAnsi="Calibri" w:cs="Calibri"/>
                <w:b/>
                <w:color w:val="000000"/>
              </w:rPr>
              <w:t>0,0003</w:t>
            </w:r>
          </w:p>
        </w:tc>
      </w:tr>
      <w:tr w:rsidR="00D6565F" w:rsidRPr="00C81B78" w14:paraId="2D4C1A6A" w14:textId="77777777" w:rsidTr="00296B73">
        <w:trPr>
          <w:trHeight w:val="300"/>
          <w:jc w:val="center"/>
        </w:trPr>
        <w:tc>
          <w:tcPr>
            <w:tcW w:w="2547" w:type="dxa"/>
            <w:shd w:val="clear" w:color="auto" w:fill="auto"/>
            <w:noWrap/>
            <w:vAlign w:val="center"/>
            <w:hideMark/>
          </w:tcPr>
          <w:p w14:paraId="328525F2" w14:textId="77777777" w:rsidR="00D6565F" w:rsidRPr="009B46ED" w:rsidRDefault="00D6565F" w:rsidP="00D6565F">
            <w:pPr>
              <w:rPr>
                <w:rFonts w:eastAsia="Times New Roman" w:cs="Calibri"/>
                <w:b/>
                <w:color w:val="000000"/>
                <w:lang w:eastAsia="fr-FR"/>
              </w:rPr>
            </w:pPr>
            <w:proofErr w:type="spellStart"/>
            <w:r>
              <w:rPr>
                <w:rFonts w:eastAsia="Times New Roman" w:cs="Calibri"/>
                <w:b/>
                <w:color w:val="000000"/>
                <w:lang w:eastAsia="fr-FR"/>
              </w:rPr>
              <w:t>Urinary</w:t>
            </w:r>
            <w:proofErr w:type="spellEnd"/>
            <w:r>
              <w:rPr>
                <w:rFonts w:eastAsia="Times New Roman" w:cs="Calibri"/>
                <w:b/>
                <w:color w:val="000000"/>
                <w:lang w:eastAsia="fr-FR"/>
              </w:rPr>
              <w:t xml:space="preserve"> tract infection</w:t>
            </w:r>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390D7880" w14:textId="031D99CF" w:rsidR="00D6565F" w:rsidRPr="009B46ED" w:rsidRDefault="00D6565F" w:rsidP="00D6565F">
            <w:pPr>
              <w:rPr>
                <w:rFonts w:eastAsia="Times New Roman" w:cs="Calibri"/>
                <w:b/>
                <w:color w:val="000000"/>
                <w:lang w:eastAsia="fr-FR"/>
              </w:rPr>
            </w:pPr>
            <w:r>
              <w:rPr>
                <w:rFonts w:ascii="Calibri" w:hAnsi="Calibri" w:cs="Calibri"/>
                <w:color w:val="000000"/>
              </w:rPr>
              <w:t>42 (4.09%)</w:t>
            </w:r>
          </w:p>
        </w:tc>
        <w:tc>
          <w:tcPr>
            <w:tcW w:w="1701" w:type="dxa"/>
            <w:tcBorders>
              <w:top w:val="nil"/>
              <w:left w:val="nil"/>
              <w:bottom w:val="nil"/>
              <w:right w:val="nil"/>
            </w:tcBorders>
            <w:shd w:val="clear" w:color="000000" w:fill="FFFFFF"/>
            <w:noWrap/>
            <w:vAlign w:val="bottom"/>
          </w:tcPr>
          <w:p w14:paraId="54D49A32" w14:textId="21A25AA4" w:rsidR="00D6565F" w:rsidRPr="009B46ED" w:rsidRDefault="00D6565F" w:rsidP="00D6565F">
            <w:pPr>
              <w:rPr>
                <w:rFonts w:eastAsia="Times New Roman" w:cs="Calibri"/>
                <w:b/>
                <w:color w:val="000000"/>
                <w:lang w:eastAsia="fr-FR"/>
              </w:rPr>
            </w:pPr>
            <w:r>
              <w:rPr>
                <w:rFonts w:ascii="Calibri" w:hAnsi="Calibri" w:cs="Calibri"/>
                <w:color w:val="000000"/>
              </w:rPr>
              <w:t>38 (4.54%)</w:t>
            </w:r>
          </w:p>
        </w:tc>
        <w:tc>
          <w:tcPr>
            <w:tcW w:w="1701" w:type="dxa"/>
            <w:tcBorders>
              <w:top w:val="nil"/>
              <w:left w:val="nil"/>
              <w:bottom w:val="nil"/>
              <w:right w:val="nil"/>
            </w:tcBorders>
            <w:shd w:val="clear" w:color="000000" w:fill="FFFFFF"/>
            <w:noWrap/>
            <w:vAlign w:val="bottom"/>
          </w:tcPr>
          <w:p w14:paraId="7B2C45E1" w14:textId="6C7C0125" w:rsidR="00D6565F" w:rsidRPr="009B46ED" w:rsidRDefault="00D6565F" w:rsidP="00D6565F">
            <w:pPr>
              <w:rPr>
                <w:rFonts w:eastAsia="Times New Roman" w:cs="Calibri"/>
                <w:b/>
                <w:color w:val="000000"/>
                <w:lang w:eastAsia="fr-FR"/>
              </w:rPr>
            </w:pPr>
            <w:r>
              <w:rPr>
                <w:rFonts w:ascii="Calibri" w:hAnsi="Calibri" w:cs="Calibri"/>
                <w:color w:val="000000"/>
              </w:rPr>
              <w:t>4 (2.12%)</w:t>
            </w:r>
          </w:p>
        </w:tc>
        <w:tc>
          <w:tcPr>
            <w:tcW w:w="1701" w:type="dxa"/>
            <w:tcBorders>
              <w:top w:val="nil"/>
              <w:left w:val="nil"/>
              <w:bottom w:val="nil"/>
              <w:right w:val="nil"/>
            </w:tcBorders>
            <w:shd w:val="clear" w:color="000000" w:fill="FFFFFF"/>
            <w:noWrap/>
            <w:vAlign w:val="bottom"/>
          </w:tcPr>
          <w:p w14:paraId="6C81C125" w14:textId="6C44E8CB" w:rsidR="00D6565F" w:rsidRPr="009B46ED" w:rsidRDefault="00D6565F" w:rsidP="00D6565F">
            <w:pPr>
              <w:rPr>
                <w:rFonts w:eastAsia="Times New Roman" w:cs="Calibri"/>
                <w:b/>
                <w:color w:val="000000"/>
                <w:lang w:eastAsia="fr-FR"/>
              </w:rPr>
            </w:pPr>
            <w:r>
              <w:rPr>
                <w:rFonts w:ascii="Calibri" w:hAnsi="Calibri" w:cs="Calibri"/>
                <w:color w:val="000000"/>
              </w:rPr>
              <w:t>0.45 [0.16;1.29]</w:t>
            </w:r>
          </w:p>
        </w:tc>
        <w:tc>
          <w:tcPr>
            <w:tcW w:w="913" w:type="dxa"/>
            <w:tcBorders>
              <w:top w:val="nil"/>
              <w:bottom w:val="nil"/>
            </w:tcBorders>
            <w:shd w:val="clear" w:color="auto" w:fill="auto"/>
            <w:noWrap/>
            <w:vAlign w:val="bottom"/>
          </w:tcPr>
          <w:p w14:paraId="48DBA4BF" w14:textId="1C25093D" w:rsidR="00D6565F" w:rsidRPr="00C81B78" w:rsidRDefault="00D6565F" w:rsidP="00D6565F">
            <w:pPr>
              <w:rPr>
                <w:rFonts w:ascii="Calibri" w:hAnsi="Calibri" w:cs="Calibri"/>
                <w:color w:val="000000"/>
              </w:rPr>
            </w:pPr>
            <w:r>
              <w:rPr>
                <w:rFonts w:ascii="Calibri" w:hAnsi="Calibri" w:cs="Calibri"/>
                <w:color w:val="000000"/>
              </w:rPr>
              <w:t>0.13</w:t>
            </w:r>
          </w:p>
        </w:tc>
      </w:tr>
      <w:tr w:rsidR="00D6565F" w:rsidRPr="00C81B78" w14:paraId="0B0ECB60" w14:textId="77777777" w:rsidTr="00296B73">
        <w:trPr>
          <w:trHeight w:val="300"/>
          <w:jc w:val="center"/>
        </w:trPr>
        <w:tc>
          <w:tcPr>
            <w:tcW w:w="2547" w:type="dxa"/>
            <w:shd w:val="clear" w:color="auto" w:fill="auto"/>
            <w:noWrap/>
            <w:vAlign w:val="center"/>
            <w:hideMark/>
          </w:tcPr>
          <w:p w14:paraId="5B9E24FB" w14:textId="77777777" w:rsidR="00D6565F" w:rsidRPr="009B46ED" w:rsidRDefault="00D6565F" w:rsidP="00D6565F">
            <w:pPr>
              <w:rPr>
                <w:rFonts w:eastAsia="Times New Roman" w:cs="Calibri"/>
                <w:b/>
                <w:color w:val="000000"/>
                <w:lang w:eastAsia="fr-FR"/>
              </w:rPr>
            </w:pPr>
            <w:r>
              <w:rPr>
                <w:rFonts w:eastAsia="Times New Roman" w:cs="Calibri"/>
                <w:b/>
                <w:color w:val="000000"/>
                <w:lang w:eastAsia="fr-FR"/>
              </w:rPr>
              <w:t xml:space="preserve">Primitive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5CFD8E2B" w14:textId="2E8F9823" w:rsidR="00D6565F" w:rsidRPr="009B46ED" w:rsidRDefault="00D6565F" w:rsidP="00D6565F">
            <w:pPr>
              <w:rPr>
                <w:rFonts w:eastAsia="Times New Roman" w:cs="Calibri"/>
                <w:b/>
                <w:color w:val="000000"/>
                <w:lang w:eastAsia="fr-FR"/>
              </w:rPr>
            </w:pPr>
            <w:r>
              <w:rPr>
                <w:rFonts w:ascii="Calibri" w:hAnsi="Calibri" w:cs="Calibri"/>
                <w:color w:val="000000"/>
              </w:rPr>
              <w:t>76 (7.39%)</w:t>
            </w:r>
          </w:p>
        </w:tc>
        <w:tc>
          <w:tcPr>
            <w:tcW w:w="1701" w:type="dxa"/>
            <w:tcBorders>
              <w:top w:val="nil"/>
              <w:left w:val="nil"/>
              <w:bottom w:val="nil"/>
              <w:right w:val="nil"/>
            </w:tcBorders>
            <w:shd w:val="clear" w:color="000000" w:fill="FFFFFF"/>
            <w:noWrap/>
            <w:vAlign w:val="bottom"/>
          </w:tcPr>
          <w:p w14:paraId="0643F16C" w14:textId="55CC4696" w:rsidR="00D6565F" w:rsidRPr="009B46ED" w:rsidRDefault="00D6565F" w:rsidP="00D6565F">
            <w:pPr>
              <w:rPr>
                <w:rFonts w:eastAsia="Times New Roman" w:cs="Calibri"/>
                <w:b/>
                <w:color w:val="000000"/>
                <w:lang w:eastAsia="fr-FR"/>
              </w:rPr>
            </w:pPr>
            <w:r>
              <w:rPr>
                <w:rFonts w:ascii="Calibri" w:hAnsi="Calibri" w:cs="Calibri"/>
                <w:color w:val="000000"/>
              </w:rPr>
              <w:t>57 (6.79%)</w:t>
            </w:r>
          </w:p>
        </w:tc>
        <w:tc>
          <w:tcPr>
            <w:tcW w:w="1701" w:type="dxa"/>
            <w:tcBorders>
              <w:top w:val="nil"/>
              <w:left w:val="nil"/>
              <w:bottom w:val="nil"/>
              <w:right w:val="nil"/>
            </w:tcBorders>
            <w:shd w:val="clear" w:color="000000" w:fill="FFFFFF"/>
            <w:noWrap/>
            <w:vAlign w:val="bottom"/>
          </w:tcPr>
          <w:p w14:paraId="779181FD" w14:textId="18BCDA76" w:rsidR="00D6565F" w:rsidRPr="009B46ED" w:rsidRDefault="00D6565F" w:rsidP="00D6565F">
            <w:pPr>
              <w:rPr>
                <w:rFonts w:eastAsia="Times New Roman" w:cs="Calibri"/>
                <w:b/>
                <w:color w:val="000000"/>
                <w:lang w:eastAsia="fr-FR"/>
              </w:rPr>
            </w:pPr>
            <w:r>
              <w:rPr>
                <w:rFonts w:ascii="Calibri" w:hAnsi="Calibri" w:cs="Calibri"/>
                <w:color w:val="000000"/>
              </w:rPr>
              <w:t>19 (10.05%)</w:t>
            </w:r>
          </w:p>
        </w:tc>
        <w:tc>
          <w:tcPr>
            <w:tcW w:w="1701" w:type="dxa"/>
            <w:tcBorders>
              <w:top w:val="nil"/>
              <w:left w:val="nil"/>
              <w:bottom w:val="nil"/>
              <w:right w:val="nil"/>
            </w:tcBorders>
            <w:shd w:val="clear" w:color="000000" w:fill="FFFFFF"/>
            <w:noWrap/>
            <w:vAlign w:val="bottom"/>
          </w:tcPr>
          <w:p w14:paraId="2434CB3C" w14:textId="20159EE9" w:rsidR="00D6565F" w:rsidRPr="009B46ED" w:rsidRDefault="00D6565F" w:rsidP="00D6565F">
            <w:pPr>
              <w:rPr>
                <w:rFonts w:eastAsia="Times New Roman" w:cs="Calibri"/>
                <w:b/>
                <w:color w:val="000000"/>
                <w:lang w:eastAsia="fr-FR"/>
              </w:rPr>
            </w:pPr>
            <w:r>
              <w:rPr>
                <w:rFonts w:ascii="Calibri" w:hAnsi="Calibri" w:cs="Calibri"/>
                <w:color w:val="000000"/>
              </w:rPr>
              <w:t>1.53 [0.89;2.64]</w:t>
            </w:r>
          </w:p>
        </w:tc>
        <w:tc>
          <w:tcPr>
            <w:tcW w:w="913" w:type="dxa"/>
            <w:tcBorders>
              <w:top w:val="nil"/>
              <w:bottom w:val="nil"/>
            </w:tcBorders>
            <w:shd w:val="clear" w:color="auto" w:fill="auto"/>
            <w:noWrap/>
            <w:vAlign w:val="bottom"/>
          </w:tcPr>
          <w:p w14:paraId="18658E3F" w14:textId="1E3E3150" w:rsidR="00D6565F" w:rsidRPr="00C81B78" w:rsidRDefault="00D6565F" w:rsidP="00D6565F">
            <w:pPr>
              <w:rPr>
                <w:rFonts w:ascii="Calibri" w:hAnsi="Calibri" w:cs="Calibri"/>
                <w:color w:val="000000"/>
              </w:rPr>
            </w:pPr>
            <w:r>
              <w:rPr>
                <w:rFonts w:ascii="Calibri" w:hAnsi="Calibri" w:cs="Calibri"/>
                <w:color w:val="000000"/>
              </w:rPr>
              <w:t>0.12</w:t>
            </w:r>
          </w:p>
        </w:tc>
      </w:tr>
      <w:tr w:rsidR="00D6565F" w:rsidRPr="00C81B78" w14:paraId="4C9B535C" w14:textId="77777777" w:rsidTr="00296B73">
        <w:trPr>
          <w:trHeight w:val="300"/>
          <w:jc w:val="center"/>
        </w:trPr>
        <w:tc>
          <w:tcPr>
            <w:tcW w:w="2547" w:type="dxa"/>
            <w:tcBorders>
              <w:bottom w:val="nil"/>
            </w:tcBorders>
            <w:shd w:val="clear" w:color="auto" w:fill="auto"/>
            <w:noWrap/>
            <w:vAlign w:val="center"/>
            <w:hideMark/>
          </w:tcPr>
          <w:p w14:paraId="519CD619" w14:textId="77777777" w:rsidR="00D6565F" w:rsidRPr="009B46ED" w:rsidRDefault="00D6565F" w:rsidP="00D6565F">
            <w:pPr>
              <w:rPr>
                <w:rFonts w:eastAsia="Times New Roman" w:cs="Calibri"/>
                <w:b/>
                <w:color w:val="000000"/>
                <w:lang w:eastAsia="fr-FR"/>
              </w:rPr>
            </w:pPr>
            <w:proofErr w:type="spellStart"/>
            <w:r>
              <w:rPr>
                <w:rFonts w:eastAsia="Times New Roman" w:cs="Calibri"/>
                <w:b/>
                <w:color w:val="000000"/>
                <w:lang w:eastAsia="fr-FR"/>
              </w:rPr>
              <w:t>Secondary</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bacteremia</w:t>
            </w:r>
            <w:proofErr w:type="spellEnd"/>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08CE6E14" w14:textId="2E73AE82" w:rsidR="00D6565F" w:rsidRPr="009B46ED" w:rsidRDefault="00D6565F" w:rsidP="00D6565F">
            <w:pPr>
              <w:rPr>
                <w:rFonts w:eastAsia="Times New Roman" w:cs="Calibri"/>
                <w:b/>
                <w:color w:val="000000"/>
                <w:lang w:eastAsia="fr-FR"/>
              </w:rPr>
            </w:pPr>
            <w:r>
              <w:rPr>
                <w:rFonts w:ascii="Calibri" w:hAnsi="Calibri" w:cs="Calibri"/>
                <w:color w:val="000000"/>
              </w:rPr>
              <w:t>53 (5.16%)</w:t>
            </w:r>
          </w:p>
        </w:tc>
        <w:tc>
          <w:tcPr>
            <w:tcW w:w="1701" w:type="dxa"/>
            <w:tcBorders>
              <w:top w:val="nil"/>
              <w:left w:val="nil"/>
              <w:bottom w:val="nil"/>
              <w:right w:val="nil"/>
            </w:tcBorders>
            <w:shd w:val="clear" w:color="000000" w:fill="FFFFFF"/>
            <w:noWrap/>
            <w:vAlign w:val="bottom"/>
          </w:tcPr>
          <w:p w14:paraId="7261A571" w14:textId="26FA6FDE" w:rsidR="00D6565F" w:rsidRPr="009B46ED" w:rsidRDefault="00D6565F" w:rsidP="00D6565F">
            <w:pPr>
              <w:rPr>
                <w:rFonts w:eastAsia="Times New Roman" w:cs="Calibri"/>
                <w:b/>
                <w:color w:val="000000"/>
                <w:lang w:eastAsia="fr-FR"/>
              </w:rPr>
            </w:pPr>
            <w:r>
              <w:rPr>
                <w:rFonts w:ascii="Calibri" w:hAnsi="Calibri" w:cs="Calibri"/>
                <w:color w:val="000000"/>
              </w:rPr>
              <w:t>41 (4.89%)</w:t>
            </w:r>
          </w:p>
        </w:tc>
        <w:tc>
          <w:tcPr>
            <w:tcW w:w="1701" w:type="dxa"/>
            <w:tcBorders>
              <w:top w:val="nil"/>
              <w:left w:val="nil"/>
              <w:bottom w:val="nil"/>
              <w:right w:val="nil"/>
            </w:tcBorders>
            <w:shd w:val="clear" w:color="000000" w:fill="FFFFFF"/>
            <w:noWrap/>
            <w:vAlign w:val="bottom"/>
          </w:tcPr>
          <w:p w14:paraId="2714D863" w14:textId="70A26BCA" w:rsidR="00D6565F" w:rsidRPr="009B46ED" w:rsidRDefault="00D6565F" w:rsidP="00D6565F">
            <w:pPr>
              <w:rPr>
                <w:rFonts w:eastAsia="Times New Roman" w:cs="Calibri"/>
                <w:b/>
                <w:color w:val="000000"/>
                <w:lang w:eastAsia="fr-FR"/>
              </w:rPr>
            </w:pPr>
            <w:r>
              <w:rPr>
                <w:rFonts w:ascii="Calibri" w:hAnsi="Calibri" w:cs="Calibri"/>
                <w:color w:val="000000"/>
              </w:rPr>
              <w:t>12 (6.35%)</w:t>
            </w:r>
          </w:p>
        </w:tc>
        <w:tc>
          <w:tcPr>
            <w:tcW w:w="1701" w:type="dxa"/>
            <w:tcBorders>
              <w:top w:val="nil"/>
              <w:left w:val="nil"/>
              <w:bottom w:val="nil"/>
              <w:right w:val="nil"/>
            </w:tcBorders>
            <w:shd w:val="clear" w:color="000000" w:fill="FFFFFF"/>
            <w:noWrap/>
            <w:vAlign w:val="bottom"/>
          </w:tcPr>
          <w:p w14:paraId="65BE1D03" w14:textId="220E23EA" w:rsidR="00D6565F" w:rsidRPr="009B46ED" w:rsidRDefault="00D6565F" w:rsidP="00D6565F">
            <w:pPr>
              <w:rPr>
                <w:rFonts w:eastAsia="Times New Roman" w:cs="Calibri"/>
                <w:b/>
                <w:color w:val="000000"/>
                <w:lang w:eastAsia="fr-FR"/>
              </w:rPr>
            </w:pPr>
            <w:r>
              <w:rPr>
                <w:rFonts w:ascii="Calibri" w:hAnsi="Calibri" w:cs="Calibri"/>
                <w:color w:val="000000"/>
              </w:rPr>
              <w:t>1.32 [0.68;2.56]</w:t>
            </w:r>
          </w:p>
        </w:tc>
        <w:tc>
          <w:tcPr>
            <w:tcW w:w="913" w:type="dxa"/>
            <w:tcBorders>
              <w:top w:val="nil"/>
              <w:bottom w:val="nil"/>
            </w:tcBorders>
            <w:shd w:val="clear" w:color="auto" w:fill="auto"/>
            <w:noWrap/>
            <w:vAlign w:val="bottom"/>
          </w:tcPr>
          <w:p w14:paraId="496BEE21" w14:textId="5749953E" w:rsidR="00D6565F" w:rsidRPr="00C81B78" w:rsidRDefault="00D6565F" w:rsidP="00D6565F">
            <w:pPr>
              <w:rPr>
                <w:rFonts w:ascii="Calibri" w:hAnsi="Calibri" w:cs="Calibri"/>
                <w:color w:val="000000"/>
              </w:rPr>
            </w:pPr>
            <w:r>
              <w:rPr>
                <w:rFonts w:ascii="Calibri" w:hAnsi="Calibri" w:cs="Calibri"/>
                <w:color w:val="000000"/>
              </w:rPr>
              <w:t>0.41</w:t>
            </w:r>
          </w:p>
        </w:tc>
      </w:tr>
      <w:tr w:rsidR="00D6565F" w:rsidRPr="009B46ED" w14:paraId="0CF1E72D" w14:textId="77777777" w:rsidTr="00334753">
        <w:trPr>
          <w:trHeight w:val="300"/>
          <w:jc w:val="center"/>
        </w:trPr>
        <w:tc>
          <w:tcPr>
            <w:tcW w:w="2547" w:type="dxa"/>
            <w:tcBorders>
              <w:top w:val="nil"/>
              <w:bottom w:val="nil"/>
            </w:tcBorders>
            <w:shd w:val="clear" w:color="auto" w:fill="auto"/>
            <w:noWrap/>
            <w:vAlign w:val="center"/>
            <w:hideMark/>
          </w:tcPr>
          <w:p w14:paraId="7DD9D56C" w14:textId="77777777" w:rsidR="00D6565F" w:rsidRPr="009B46ED" w:rsidRDefault="00D6565F" w:rsidP="00D6565F">
            <w:pPr>
              <w:rPr>
                <w:rFonts w:eastAsia="Times New Roman" w:cs="Calibri"/>
                <w:b/>
                <w:color w:val="000000"/>
                <w:lang w:eastAsia="fr-FR"/>
              </w:rPr>
            </w:pPr>
            <w:proofErr w:type="spellStart"/>
            <w:r>
              <w:rPr>
                <w:rFonts w:eastAsia="Times New Roman" w:cs="Calibri"/>
                <w:b/>
                <w:color w:val="000000"/>
                <w:lang w:eastAsia="fr-FR"/>
              </w:rPr>
              <w:t>Catheter</w:t>
            </w:r>
            <w:proofErr w:type="spellEnd"/>
            <w:r>
              <w:rPr>
                <w:rFonts w:eastAsia="Times New Roman" w:cs="Calibri"/>
                <w:b/>
                <w:color w:val="000000"/>
                <w:lang w:eastAsia="fr-FR"/>
              </w:rPr>
              <w:t xml:space="preserve"> </w:t>
            </w:r>
            <w:proofErr w:type="spellStart"/>
            <w:r>
              <w:rPr>
                <w:rFonts w:eastAsia="Times New Roman" w:cs="Calibri"/>
                <w:b/>
                <w:color w:val="000000"/>
                <w:lang w:eastAsia="fr-FR"/>
              </w:rPr>
              <w:t>related</w:t>
            </w:r>
            <w:proofErr w:type="spellEnd"/>
            <w:r>
              <w:rPr>
                <w:rFonts w:eastAsia="Times New Roman" w:cs="Calibri"/>
                <w:b/>
                <w:color w:val="000000"/>
                <w:lang w:eastAsia="fr-FR"/>
              </w:rPr>
              <w:t xml:space="preserve"> infection</w:t>
            </w:r>
            <w:r w:rsidRPr="009B46ED">
              <w:rPr>
                <w:rFonts w:eastAsia="Times New Roman" w:cs="Calibri"/>
                <w:b/>
                <w:color w:val="000000"/>
                <w:lang w:eastAsia="fr-FR"/>
              </w:rPr>
              <w:t xml:space="preserve"> </w:t>
            </w:r>
          </w:p>
        </w:tc>
        <w:tc>
          <w:tcPr>
            <w:tcW w:w="2556" w:type="dxa"/>
            <w:tcBorders>
              <w:top w:val="nil"/>
              <w:left w:val="nil"/>
              <w:bottom w:val="nil"/>
              <w:right w:val="nil"/>
            </w:tcBorders>
            <w:shd w:val="clear" w:color="000000" w:fill="FFFFFF"/>
            <w:noWrap/>
            <w:vAlign w:val="bottom"/>
          </w:tcPr>
          <w:p w14:paraId="28DD8ABE" w14:textId="13154421" w:rsidR="00D6565F" w:rsidRPr="009B46ED" w:rsidRDefault="00D6565F" w:rsidP="00D6565F">
            <w:pPr>
              <w:rPr>
                <w:rFonts w:eastAsia="Times New Roman" w:cs="Calibri"/>
                <w:b/>
                <w:color w:val="000000"/>
                <w:lang w:eastAsia="fr-FR"/>
              </w:rPr>
            </w:pPr>
            <w:r>
              <w:rPr>
                <w:rFonts w:ascii="Calibri" w:hAnsi="Calibri" w:cs="Calibri"/>
                <w:color w:val="000000"/>
              </w:rPr>
              <w:t>31 (3.02%)</w:t>
            </w:r>
          </w:p>
        </w:tc>
        <w:tc>
          <w:tcPr>
            <w:tcW w:w="1701" w:type="dxa"/>
            <w:tcBorders>
              <w:top w:val="nil"/>
              <w:left w:val="nil"/>
              <w:bottom w:val="nil"/>
              <w:right w:val="nil"/>
            </w:tcBorders>
            <w:shd w:val="clear" w:color="000000" w:fill="FFFFFF"/>
            <w:noWrap/>
            <w:vAlign w:val="bottom"/>
          </w:tcPr>
          <w:p w14:paraId="56207443" w14:textId="31E35186" w:rsidR="00D6565F" w:rsidRPr="009B46ED" w:rsidRDefault="00D6565F" w:rsidP="00D6565F">
            <w:pPr>
              <w:rPr>
                <w:rFonts w:eastAsia="Times New Roman" w:cs="Calibri"/>
                <w:b/>
                <w:color w:val="000000"/>
                <w:lang w:eastAsia="fr-FR"/>
              </w:rPr>
            </w:pPr>
            <w:r>
              <w:rPr>
                <w:rFonts w:ascii="Calibri" w:hAnsi="Calibri" w:cs="Calibri"/>
                <w:color w:val="000000"/>
              </w:rPr>
              <w:t>22 (2.63%)</w:t>
            </w:r>
          </w:p>
        </w:tc>
        <w:tc>
          <w:tcPr>
            <w:tcW w:w="1701" w:type="dxa"/>
            <w:tcBorders>
              <w:top w:val="nil"/>
              <w:left w:val="nil"/>
              <w:bottom w:val="nil"/>
              <w:right w:val="nil"/>
            </w:tcBorders>
            <w:shd w:val="clear" w:color="000000" w:fill="FFFFFF"/>
            <w:noWrap/>
            <w:vAlign w:val="bottom"/>
          </w:tcPr>
          <w:p w14:paraId="361914FE" w14:textId="78BB499C" w:rsidR="00D6565F" w:rsidRPr="009B46ED" w:rsidRDefault="00D6565F" w:rsidP="00D6565F">
            <w:pPr>
              <w:rPr>
                <w:rFonts w:eastAsia="Times New Roman" w:cs="Calibri"/>
                <w:b/>
                <w:color w:val="000000"/>
                <w:lang w:eastAsia="fr-FR"/>
              </w:rPr>
            </w:pPr>
            <w:r>
              <w:rPr>
                <w:rFonts w:ascii="Calibri" w:hAnsi="Calibri" w:cs="Calibri"/>
                <w:color w:val="000000"/>
              </w:rPr>
              <w:t>9 (4.76%)</w:t>
            </w:r>
          </w:p>
        </w:tc>
        <w:tc>
          <w:tcPr>
            <w:tcW w:w="1701" w:type="dxa"/>
            <w:tcBorders>
              <w:top w:val="nil"/>
              <w:left w:val="nil"/>
              <w:bottom w:val="nil"/>
              <w:right w:val="nil"/>
            </w:tcBorders>
            <w:shd w:val="clear" w:color="000000" w:fill="FFFFFF"/>
            <w:noWrap/>
            <w:vAlign w:val="bottom"/>
          </w:tcPr>
          <w:p w14:paraId="7B472844" w14:textId="4403CDE6" w:rsidR="00D6565F" w:rsidRPr="009B46ED" w:rsidRDefault="00D6565F" w:rsidP="00D6565F">
            <w:pPr>
              <w:rPr>
                <w:rFonts w:eastAsia="Times New Roman" w:cs="Calibri"/>
                <w:b/>
                <w:color w:val="000000"/>
                <w:lang w:eastAsia="fr-FR"/>
              </w:rPr>
            </w:pPr>
            <w:r>
              <w:rPr>
                <w:rFonts w:ascii="Calibri" w:hAnsi="Calibri" w:cs="Calibri"/>
                <w:color w:val="000000"/>
              </w:rPr>
              <w:t>1.85 [0.84;4.09]</w:t>
            </w:r>
          </w:p>
        </w:tc>
        <w:tc>
          <w:tcPr>
            <w:tcW w:w="913" w:type="dxa"/>
            <w:tcBorders>
              <w:top w:val="nil"/>
              <w:bottom w:val="nil"/>
            </w:tcBorders>
            <w:shd w:val="clear" w:color="auto" w:fill="auto"/>
            <w:noWrap/>
            <w:vAlign w:val="bottom"/>
          </w:tcPr>
          <w:p w14:paraId="73E0AA4B" w14:textId="1F3F34B3" w:rsidR="00D6565F" w:rsidRPr="008F59E2" w:rsidRDefault="00D6565F" w:rsidP="00D6565F">
            <w:pPr>
              <w:rPr>
                <w:rFonts w:eastAsia="Times New Roman" w:cs="Calibri"/>
                <w:color w:val="000000"/>
                <w:lang w:eastAsia="fr-FR"/>
              </w:rPr>
            </w:pPr>
            <w:r w:rsidRPr="008F59E2">
              <w:rPr>
                <w:rFonts w:eastAsia="Times New Roman" w:cs="Calibri"/>
                <w:color w:val="000000"/>
                <w:lang w:eastAsia="fr-FR"/>
              </w:rPr>
              <w:t>0.12</w:t>
            </w:r>
          </w:p>
        </w:tc>
      </w:tr>
      <w:tr w:rsidR="00D6565F" w:rsidRPr="009B46ED" w14:paraId="3AA8D41D" w14:textId="77777777" w:rsidTr="00334753">
        <w:trPr>
          <w:trHeight w:val="300"/>
          <w:jc w:val="center"/>
        </w:trPr>
        <w:tc>
          <w:tcPr>
            <w:tcW w:w="2547" w:type="dxa"/>
            <w:tcBorders>
              <w:top w:val="nil"/>
              <w:bottom w:val="single" w:sz="4" w:space="0" w:color="auto"/>
            </w:tcBorders>
            <w:shd w:val="clear" w:color="auto" w:fill="auto"/>
            <w:noWrap/>
            <w:vAlign w:val="center"/>
          </w:tcPr>
          <w:p w14:paraId="373E5A6D" w14:textId="77777777" w:rsidR="00D6565F" w:rsidRDefault="00D6565F" w:rsidP="00D6565F">
            <w:pPr>
              <w:rPr>
                <w:rFonts w:eastAsia="Times New Roman" w:cs="Calibri"/>
                <w:b/>
                <w:color w:val="000000"/>
                <w:lang w:eastAsia="fr-FR"/>
              </w:rPr>
            </w:pPr>
            <w:proofErr w:type="spellStart"/>
            <w:r>
              <w:rPr>
                <w:rFonts w:eastAsia="Times New Roman" w:cs="Calibri"/>
                <w:b/>
                <w:color w:val="000000"/>
                <w:lang w:eastAsia="fr-FR"/>
              </w:rPr>
              <w:t>Pneumonia</w:t>
            </w:r>
            <w:proofErr w:type="spellEnd"/>
          </w:p>
        </w:tc>
        <w:tc>
          <w:tcPr>
            <w:tcW w:w="2556" w:type="dxa"/>
            <w:tcBorders>
              <w:top w:val="nil"/>
              <w:left w:val="nil"/>
              <w:bottom w:val="single" w:sz="4" w:space="0" w:color="auto"/>
              <w:right w:val="nil"/>
            </w:tcBorders>
            <w:shd w:val="clear" w:color="000000" w:fill="FFFFFF"/>
            <w:noWrap/>
            <w:vAlign w:val="bottom"/>
          </w:tcPr>
          <w:p w14:paraId="6E1FE076" w14:textId="02F095E8" w:rsidR="00D6565F" w:rsidRPr="009B46ED" w:rsidRDefault="00D6565F" w:rsidP="00D6565F">
            <w:pPr>
              <w:rPr>
                <w:rFonts w:eastAsia="Times New Roman" w:cs="Calibri"/>
                <w:color w:val="000000"/>
                <w:lang w:eastAsia="fr-FR"/>
              </w:rPr>
            </w:pPr>
            <w:r>
              <w:rPr>
                <w:rFonts w:ascii="Calibri" w:hAnsi="Calibri" w:cs="Calibri"/>
                <w:color w:val="000000"/>
              </w:rPr>
              <w:t>390 (37.64%)</w:t>
            </w:r>
          </w:p>
        </w:tc>
        <w:tc>
          <w:tcPr>
            <w:tcW w:w="1701" w:type="dxa"/>
            <w:tcBorders>
              <w:top w:val="nil"/>
              <w:left w:val="nil"/>
              <w:bottom w:val="single" w:sz="4" w:space="0" w:color="auto"/>
              <w:right w:val="nil"/>
            </w:tcBorders>
            <w:shd w:val="clear" w:color="000000" w:fill="FFFFFF"/>
            <w:noWrap/>
            <w:vAlign w:val="bottom"/>
          </w:tcPr>
          <w:p w14:paraId="57F2F90A" w14:textId="62B3A053" w:rsidR="00D6565F" w:rsidRPr="009B46ED" w:rsidRDefault="00D6565F" w:rsidP="00D6565F">
            <w:pPr>
              <w:rPr>
                <w:rFonts w:eastAsia="Times New Roman" w:cs="Calibri"/>
                <w:color w:val="000000"/>
                <w:lang w:eastAsia="fr-FR"/>
              </w:rPr>
            </w:pPr>
            <w:r>
              <w:rPr>
                <w:rFonts w:ascii="Calibri" w:hAnsi="Calibri" w:cs="Calibri"/>
                <w:color w:val="000000"/>
              </w:rPr>
              <w:t>294 (34.83%)</w:t>
            </w:r>
          </w:p>
        </w:tc>
        <w:tc>
          <w:tcPr>
            <w:tcW w:w="1701" w:type="dxa"/>
            <w:tcBorders>
              <w:top w:val="nil"/>
              <w:left w:val="nil"/>
              <w:bottom w:val="single" w:sz="4" w:space="0" w:color="auto"/>
              <w:right w:val="nil"/>
            </w:tcBorders>
            <w:shd w:val="clear" w:color="000000" w:fill="FFFFFF"/>
            <w:noWrap/>
            <w:vAlign w:val="bottom"/>
          </w:tcPr>
          <w:p w14:paraId="1F48DD4F" w14:textId="201A6F17" w:rsidR="00D6565F" w:rsidRPr="009B46ED" w:rsidRDefault="00D6565F" w:rsidP="00D6565F">
            <w:pPr>
              <w:rPr>
                <w:rFonts w:eastAsia="Times New Roman" w:cs="Calibri"/>
                <w:color w:val="000000"/>
                <w:lang w:eastAsia="fr-FR"/>
              </w:rPr>
            </w:pPr>
            <w:r>
              <w:rPr>
                <w:rFonts w:ascii="Calibri" w:hAnsi="Calibri" w:cs="Calibri"/>
                <w:color w:val="000000"/>
              </w:rPr>
              <w:t>96 (50.00%)</w:t>
            </w:r>
          </w:p>
        </w:tc>
        <w:tc>
          <w:tcPr>
            <w:tcW w:w="1701" w:type="dxa"/>
            <w:tcBorders>
              <w:top w:val="nil"/>
              <w:left w:val="nil"/>
              <w:bottom w:val="single" w:sz="4" w:space="0" w:color="auto"/>
              <w:right w:val="nil"/>
            </w:tcBorders>
            <w:shd w:val="clear" w:color="000000" w:fill="FFFFFF"/>
            <w:noWrap/>
            <w:vAlign w:val="bottom"/>
          </w:tcPr>
          <w:p w14:paraId="495EF006" w14:textId="31249528" w:rsidR="00D6565F" w:rsidRPr="009B46ED" w:rsidRDefault="00D6565F" w:rsidP="00D6565F">
            <w:pPr>
              <w:rPr>
                <w:rFonts w:eastAsia="Times New Roman" w:cs="Calibri"/>
                <w:b/>
                <w:color w:val="000000"/>
                <w:lang w:eastAsia="fr-FR"/>
              </w:rPr>
            </w:pPr>
            <w:r>
              <w:rPr>
                <w:rFonts w:ascii="Calibri" w:hAnsi="Calibri" w:cs="Calibri"/>
                <w:color w:val="000000"/>
              </w:rPr>
              <w:t>1.87 [1.36;2.57]</w:t>
            </w:r>
          </w:p>
        </w:tc>
        <w:tc>
          <w:tcPr>
            <w:tcW w:w="913" w:type="dxa"/>
            <w:tcBorders>
              <w:top w:val="nil"/>
              <w:bottom w:val="single" w:sz="4" w:space="0" w:color="auto"/>
            </w:tcBorders>
            <w:shd w:val="clear" w:color="auto" w:fill="auto"/>
            <w:noWrap/>
            <w:vAlign w:val="bottom"/>
          </w:tcPr>
          <w:p w14:paraId="5A2AE53A" w14:textId="15EB3E33" w:rsidR="00D6565F" w:rsidRPr="008F59E2" w:rsidRDefault="00D6565F" w:rsidP="00D6565F">
            <w:pPr>
              <w:rPr>
                <w:rFonts w:eastAsia="Times New Roman" w:cs="Calibri"/>
                <w:b/>
                <w:color w:val="000000"/>
                <w:lang w:eastAsia="fr-FR"/>
              </w:rPr>
            </w:pPr>
            <w:r w:rsidRPr="008F59E2">
              <w:rPr>
                <w:rFonts w:eastAsia="Times New Roman" w:cs="Calibri"/>
                <w:b/>
                <w:color w:val="000000"/>
                <w:lang w:eastAsia="fr-FR"/>
              </w:rPr>
              <w:t>&lt;0.0001</w:t>
            </w:r>
          </w:p>
        </w:tc>
      </w:tr>
    </w:tbl>
    <w:p w14:paraId="7DCA4AFB" w14:textId="62D83C2E" w:rsidR="00B83217" w:rsidRDefault="00B83217">
      <w:pPr>
        <w:rPr>
          <w:lang w:val="en-US"/>
        </w:rPr>
      </w:pPr>
    </w:p>
    <w:p w14:paraId="1C89956B" w14:textId="77777777" w:rsidR="00B83217" w:rsidRDefault="00B83217">
      <w:pPr>
        <w:rPr>
          <w:lang w:val="en-US"/>
        </w:rPr>
      </w:pPr>
      <w:r>
        <w:rPr>
          <w:lang w:val="en-US"/>
        </w:rPr>
        <w:br w:type="page"/>
      </w:r>
    </w:p>
    <w:p w14:paraId="509E455F" w14:textId="2B7C7781" w:rsidR="0031539A" w:rsidRDefault="0031539A">
      <w:pPr>
        <w:rPr>
          <w:lang w:val="en-US"/>
        </w:rPr>
      </w:pPr>
    </w:p>
    <w:p w14:paraId="6263664E" w14:textId="2C7E6486" w:rsidR="0031539A" w:rsidRDefault="00B83217">
      <w:pPr>
        <w:rPr>
          <w:u w:val="single"/>
          <w:lang w:val="en-US"/>
        </w:rPr>
      </w:pPr>
      <w:r>
        <w:rPr>
          <w:u w:val="single"/>
          <w:lang w:val="en-US"/>
        </w:rPr>
        <w:t>Supplementary table 14</w:t>
      </w:r>
      <w:r w:rsidRPr="0031539A">
        <w:rPr>
          <w:u w:val="single"/>
          <w:lang w:val="en-US"/>
        </w:rPr>
        <w:t>: Infectious complications</w:t>
      </w:r>
      <w:r>
        <w:rPr>
          <w:u w:val="single"/>
          <w:lang w:val="en-US"/>
        </w:rPr>
        <w:t>: multiples imputations</w:t>
      </w:r>
    </w:p>
    <w:p w14:paraId="14A9E482" w14:textId="6101510D" w:rsidR="00B83217" w:rsidRPr="00E6447A" w:rsidRDefault="00B83217">
      <w:pPr>
        <w:rPr>
          <w:lang w:val="en-US"/>
        </w:rPr>
      </w:pPr>
      <w:r w:rsidRPr="00B83217">
        <w:rPr>
          <w:noProof/>
          <w:lang w:eastAsia="fr-FR"/>
        </w:rPr>
        <w:drawing>
          <wp:anchor distT="0" distB="0" distL="114300" distR="114300" simplePos="0" relativeHeight="251658240" behindDoc="0" locked="0" layoutInCell="1" allowOverlap="1" wp14:anchorId="35130C69" wp14:editId="22E60A6D">
            <wp:simplePos x="0" y="0"/>
            <wp:positionH relativeFrom="margin">
              <wp:align>left</wp:align>
            </wp:positionH>
            <wp:positionV relativeFrom="paragraph">
              <wp:posOffset>2282190</wp:posOffset>
            </wp:positionV>
            <wp:extent cx="8284845" cy="3767455"/>
            <wp:effectExtent l="0" t="8255"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8284845" cy="37674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83217" w:rsidRPr="00E6447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452863" w16cex:dateUtc="2024-01-23T08:28:00Z"/>
  <w16cex:commentExtensible w16cex:durableId="2C583AD5" w16cex:dateUtc="2024-01-23T08:29:00Z"/>
  <w16cex:commentExtensible w16cex:durableId="0E272EC1" w16cex:dateUtc="2024-01-23T08:29:00Z"/>
  <w16cex:commentExtensible w16cex:durableId="488FCC74" w16cex:dateUtc="2024-01-23T09:14:00Z"/>
  <w16cex:commentExtensible w16cex:durableId="0DC6B1F1" w16cex:dateUtc="2024-01-23T09:05:00Z"/>
  <w16cex:commentExtensible w16cex:durableId="55C5E42E" w16cex:dateUtc="2024-01-23T09:19:00Z"/>
  <w16cex:commentExtensible w16cex:durableId="549411BE" w16cex:dateUtc="2024-01-23T09:54:00Z"/>
  <w16cex:commentExtensible w16cex:durableId="07738DB6" w16cex:dateUtc="2024-01-23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9206BF" w16cid:durableId="73452863"/>
  <w16cid:commentId w16cid:paraId="47FA0E1B" w16cid:durableId="2C583AD5"/>
  <w16cid:commentId w16cid:paraId="001E59A7" w16cid:durableId="0E272EC1"/>
  <w16cid:commentId w16cid:paraId="259596C1" w16cid:durableId="488FCC74"/>
  <w16cid:commentId w16cid:paraId="1D76591E" w16cid:durableId="0DC6B1F1"/>
  <w16cid:commentId w16cid:paraId="39168559" w16cid:durableId="55C5E42E"/>
  <w16cid:commentId w16cid:paraId="4BC94012" w16cid:durableId="549411BE"/>
  <w16cid:commentId w16cid:paraId="6E43276D" w16cid:durableId="07738D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p73">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236"/>
    <w:multiLevelType w:val="hybridMultilevel"/>
    <w:tmpl w:val="95704FE8"/>
    <w:lvl w:ilvl="0" w:tplc="EC503A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2D45A7"/>
    <w:multiLevelType w:val="hybridMultilevel"/>
    <w:tmpl w:val="25EC3FF6"/>
    <w:lvl w:ilvl="0" w:tplc="DAD601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896480"/>
    <w:multiLevelType w:val="hybridMultilevel"/>
    <w:tmpl w:val="FBA4633E"/>
    <w:lvl w:ilvl="0" w:tplc="67BAC3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C0"/>
    <w:rsid w:val="00003DCC"/>
    <w:rsid w:val="00013731"/>
    <w:rsid w:val="00026D99"/>
    <w:rsid w:val="00057100"/>
    <w:rsid w:val="00087277"/>
    <w:rsid w:val="0009503D"/>
    <w:rsid w:val="000C070D"/>
    <w:rsid w:val="000C6F60"/>
    <w:rsid w:val="000F1D88"/>
    <w:rsid w:val="00116B68"/>
    <w:rsid w:val="00136FDD"/>
    <w:rsid w:val="00156EE3"/>
    <w:rsid w:val="001843E6"/>
    <w:rsid w:val="0019388D"/>
    <w:rsid w:val="001C55E7"/>
    <w:rsid w:val="001D0E57"/>
    <w:rsid w:val="00204207"/>
    <w:rsid w:val="00226B25"/>
    <w:rsid w:val="0023047F"/>
    <w:rsid w:val="002750C6"/>
    <w:rsid w:val="0029634D"/>
    <w:rsid w:val="00296B73"/>
    <w:rsid w:val="00297964"/>
    <w:rsid w:val="002A7A28"/>
    <w:rsid w:val="002E1CB6"/>
    <w:rsid w:val="0030248E"/>
    <w:rsid w:val="0031539A"/>
    <w:rsid w:val="00333B9C"/>
    <w:rsid w:val="00334753"/>
    <w:rsid w:val="00356FB1"/>
    <w:rsid w:val="003977F5"/>
    <w:rsid w:val="003C1D5C"/>
    <w:rsid w:val="003C678A"/>
    <w:rsid w:val="003E19FF"/>
    <w:rsid w:val="003E5A82"/>
    <w:rsid w:val="003E7925"/>
    <w:rsid w:val="003F31C3"/>
    <w:rsid w:val="00400A25"/>
    <w:rsid w:val="00404FF4"/>
    <w:rsid w:val="00405F2E"/>
    <w:rsid w:val="00417336"/>
    <w:rsid w:val="00441F1D"/>
    <w:rsid w:val="00454DBB"/>
    <w:rsid w:val="004562E4"/>
    <w:rsid w:val="00460EA7"/>
    <w:rsid w:val="004616F4"/>
    <w:rsid w:val="00465E4D"/>
    <w:rsid w:val="0049627F"/>
    <w:rsid w:val="00496590"/>
    <w:rsid w:val="004A1211"/>
    <w:rsid w:val="004C09F8"/>
    <w:rsid w:val="004C59E5"/>
    <w:rsid w:val="004C7EDE"/>
    <w:rsid w:val="004F3964"/>
    <w:rsid w:val="00503888"/>
    <w:rsid w:val="005179B2"/>
    <w:rsid w:val="00580920"/>
    <w:rsid w:val="00595D8B"/>
    <w:rsid w:val="00596347"/>
    <w:rsid w:val="005B6F37"/>
    <w:rsid w:val="005C5652"/>
    <w:rsid w:val="00604A6D"/>
    <w:rsid w:val="00624973"/>
    <w:rsid w:val="0062729B"/>
    <w:rsid w:val="00633CE1"/>
    <w:rsid w:val="00671932"/>
    <w:rsid w:val="006A6982"/>
    <w:rsid w:val="006A7818"/>
    <w:rsid w:val="006D295E"/>
    <w:rsid w:val="006E7535"/>
    <w:rsid w:val="007212DC"/>
    <w:rsid w:val="0072507C"/>
    <w:rsid w:val="00743BE6"/>
    <w:rsid w:val="00744859"/>
    <w:rsid w:val="0075663D"/>
    <w:rsid w:val="00757B2A"/>
    <w:rsid w:val="0076591B"/>
    <w:rsid w:val="00773CF5"/>
    <w:rsid w:val="007B5A87"/>
    <w:rsid w:val="007F411A"/>
    <w:rsid w:val="008258E1"/>
    <w:rsid w:val="008460BD"/>
    <w:rsid w:val="008630CC"/>
    <w:rsid w:val="00890A63"/>
    <w:rsid w:val="0089558F"/>
    <w:rsid w:val="008A32C4"/>
    <w:rsid w:val="008C24AF"/>
    <w:rsid w:val="008E087C"/>
    <w:rsid w:val="008F3030"/>
    <w:rsid w:val="008F336A"/>
    <w:rsid w:val="008F59E2"/>
    <w:rsid w:val="009304DA"/>
    <w:rsid w:val="00991F8A"/>
    <w:rsid w:val="009B65B1"/>
    <w:rsid w:val="009D654D"/>
    <w:rsid w:val="00A04AC1"/>
    <w:rsid w:val="00A164F1"/>
    <w:rsid w:val="00A216B3"/>
    <w:rsid w:val="00A53E65"/>
    <w:rsid w:val="00A845A8"/>
    <w:rsid w:val="00A858BB"/>
    <w:rsid w:val="00A93316"/>
    <w:rsid w:val="00A97E60"/>
    <w:rsid w:val="00AA05F0"/>
    <w:rsid w:val="00AA3BE2"/>
    <w:rsid w:val="00AA73FA"/>
    <w:rsid w:val="00AD17C6"/>
    <w:rsid w:val="00AE265D"/>
    <w:rsid w:val="00B023C0"/>
    <w:rsid w:val="00B0570E"/>
    <w:rsid w:val="00B368B8"/>
    <w:rsid w:val="00B70631"/>
    <w:rsid w:val="00B768E9"/>
    <w:rsid w:val="00B80BEA"/>
    <w:rsid w:val="00B80FA1"/>
    <w:rsid w:val="00B83217"/>
    <w:rsid w:val="00B843E1"/>
    <w:rsid w:val="00BA4B87"/>
    <w:rsid w:val="00BB256C"/>
    <w:rsid w:val="00C03BAD"/>
    <w:rsid w:val="00C04EDE"/>
    <w:rsid w:val="00C205D8"/>
    <w:rsid w:val="00C41C19"/>
    <w:rsid w:val="00C61BBF"/>
    <w:rsid w:val="00C72B82"/>
    <w:rsid w:val="00C82C16"/>
    <w:rsid w:val="00C87EC0"/>
    <w:rsid w:val="00D06956"/>
    <w:rsid w:val="00D2356E"/>
    <w:rsid w:val="00D44A4A"/>
    <w:rsid w:val="00D60130"/>
    <w:rsid w:val="00D6565F"/>
    <w:rsid w:val="00DA0454"/>
    <w:rsid w:val="00DA2091"/>
    <w:rsid w:val="00DE7A3A"/>
    <w:rsid w:val="00DF69F6"/>
    <w:rsid w:val="00E03ED6"/>
    <w:rsid w:val="00E210CF"/>
    <w:rsid w:val="00E519D1"/>
    <w:rsid w:val="00E6447A"/>
    <w:rsid w:val="00EA4835"/>
    <w:rsid w:val="00EB48EC"/>
    <w:rsid w:val="00EC1FB8"/>
    <w:rsid w:val="00EC20E8"/>
    <w:rsid w:val="00ED3593"/>
    <w:rsid w:val="00ED7AFD"/>
    <w:rsid w:val="00EF113D"/>
    <w:rsid w:val="00F121AE"/>
    <w:rsid w:val="00F621F3"/>
    <w:rsid w:val="00F8393E"/>
    <w:rsid w:val="00FA11CA"/>
    <w:rsid w:val="00FA11E0"/>
    <w:rsid w:val="00FF4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DFF9E"/>
  <w14:discardImageEditingData/>
  <w15:chartTrackingRefBased/>
  <w15:docId w15:val="{CF3C8C7B-D871-4C3E-839E-40CF09BC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0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0631"/>
    <w:pPr>
      <w:ind w:left="720"/>
      <w:contextualSpacing/>
    </w:pPr>
  </w:style>
  <w:style w:type="character" w:styleId="Marquedecommentaire">
    <w:name w:val="annotation reference"/>
    <w:basedOn w:val="Policepardfaut"/>
    <w:uiPriority w:val="99"/>
    <w:semiHidden/>
    <w:unhideWhenUsed/>
    <w:rsid w:val="00B368B8"/>
    <w:rPr>
      <w:sz w:val="16"/>
      <w:szCs w:val="16"/>
    </w:rPr>
  </w:style>
  <w:style w:type="paragraph" w:styleId="Commentaire">
    <w:name w:val="annotation text"/>
    <w:basedOn w:val="Normal"/>
    <w:link w:val="CommentaireCar"/>
    <w:uiPriority w:val="99"/>
    <w:semiHidden/>
    <w:unhideWhenUsed/>
    <w:rsid w:val="00B368B8"/>
    <w:pPr>
      <w:spacing w:line="240" w:lineRule="auto"/>
    </w:pPr>
    <w:rPr>
      <w:sz w:val="20"/>
      <w:szCs w:val="20"/>
    </w:rPr>
  </w:style>
  <w:style w:type="character" w:customStyle="1" w:styleId="CommentaireCar">
    <w:name w:val="Commentaire Car"/>
    <w:basedOn w:val="Policepardfaut"/>
    <w:link w:val="Commentaire"/>
    <w:uiPriority w:val="99"/>
    <w:semiHidden/>
    <w:rsid w:val="00B368B8"/>
    <w:rPr>
      <w:sz w:val="20"/>
      <w:szCs w:val="20"/>
    </w:rPr>
  </w:style>
  <w:style w:type="paragraph" w:styleId="Objetducommentaire">
    <w:name w:val="annotation subject"/>
    <w:basedOn w:val="Commentaire"/>
    <w:next w:val="Commentaire"/>
    <w:link w:val="ObjetducommentaireCar"/>
    <w:uiPriority w:val="99"/>
    <w:semiHidden/>
    <w:unhideWhenUsed/>
    <w:rsid w:val="00B368B8"/>
    <w:rPr>
      <w:b/>
      <w:bCs/>
    </w:rPr>
  </w:style>
  <w:style w:type="character" w:customStyle="1" w:styleId="ObjetducommentaireCar">
    <w:name w:val="Objet du commentaire Car"/>
    <w:basedOn w:val="CommentaireCar"/>
    <w:link w:val="Objetducommentaire"/>
    <w:uiPriority w:val="99"/>
    <w:semiHidden/>
    <w:rsid w:val="00B368B8"/>
    <w:rPr>
      <w:b/>
      <w:bCs/>
      <w:sz w:val="20"/>
      <w:szCs w:val="20"/>
    </w:rPr>
  </w:style>
  <w:style w:type="paragraph" w:styleId="Textedebulles">
    <w:name w:val="Balloon Text"/>
    <w:basedOn w:val="Normal"/>
    <w:link w:val="TextedebullesCar"/>
    <w:uiPriority w:val="99"/>
    <w:semiHidden/>
    <w:unhideWhenUsed/>
    <w:rsid w:val="00026D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6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02181">
      <w:bodyDiv w:val="1"/>
      <w:marLeft w:val="0"/>
      <w:marRight w:val="0"/>
      <w:marTop w:val="0"/>
      <w:marBottom w:val="0"/>
      <w:divBdr>
        <w:top w:val="none" w:sz="0" w:space="0" w:color="auto"/>
        <w:left w:val="none" w:sz="0" w:space="0" w:color="auto"/>
        <w:bottom w:val="none" w:sz="0" w:space="0" w:color="auto"/>
        <w:right w:val="none" w:sz="0" w:space="0" w:color="auto"/>
      </w:divBdr>
    </w:div>
    <w:div w:id="248008074">
      <w:bodyDiv w:val="1"/>
      <w:marLeft w:val="0"/>
      <w:marRight w:val="0"/>
      <w:marTop w:val="0"/>
      <w:marBottom w:val="0"/>
      <w:divBdr>
        <w:top w:val="none" w:sz="0" w:space="0" w:color="auto"/>
        <w:left w:val="none" w:sz="0" w:space="0" w:color="auto"/>
        <w:bottom w:val="none" w:sz="0" w:space="0" w:color="auto"/>
        <w:right w:val="none" w:sz="0" w:space="0" w:color="auto"/>
      </w:divBdr>
    </w:div>
    <w:div w:id="1016426523">
      <w:bodyDiv w:val="1"/>
      <w:marLeft w:val="0"/>
      <w:marRight w:val="0"/>
      <w:marTop w:val="0"/>
      <w:marBottom w:val="0"/>
      <w:divBdr>
        <w:top w:val="none" w:sz="0" w:space="0" w:color="auto"/>
        <w:left w:val="none" w:sz="0" w:space="0" w:color="auto"/>
        <w:bottom w:val="none" w:sz="0" w:space="0" w:color="auto"/>
        <w:right w:val="none" w:sz="0" w:space="0" w:color="auto"/>
      </w:divBdr>
    </w:div>
    <w:div w:id="1153646085">
      <w:bodyDiv w:val="1"/>
      <w:marLeft w:val="0"/>
      <w:marRight w:val="0"/>
      <w:marTop w:val="0"/>
      <w:marBottom w:val="0"/>
      <w:divBdr>
        <w:top w:val="none" w:sz="0" w:space="0" w:color="auto"/>
        <w:left w:val="none" w:sz="0" w:space="0" w:color="auto"/>
        <w:bottom w:val="none" w:sz="0" w:space="0" w:color="auto"/>
        <w:right w:val="none" w:sz="0" w:space="0" w:color="auto"/>
      </w:divBdr>
    </w:div>
    <w:div w:id="1222710379">
      <w:bodyDiv w:val="1"/>
      <w:marLeft w:val="0"/>
      <w:marRight w:val="0"/>
      <w:marTop w:val="0"/>
      <w:marBottom w:val="0"/>
      <w:divBdr>
        <w:top w:val="none" w:sz="0" w:space="0" w:color="auto"/>
        <w:left w:val="none" w:sz="0" w:space="0" w:color="auto"/>
        <w:bottom w:val="none" w:sz="0" w:space="0" w:color="auto"/>
        <w:right w:val="none" w:sz="0" w:space="0" w:color="auto"/>
      </w:divBdr>
    </w:div>
    <w:div w:id="1395932193">
      <w:bodyDiv w:val="1"/>
      <w:marLeft w:val="0"/>
      <w:marRight w:val="0"/>
      <w:marTop w:val="0"/>
      <w:marBottom w:val="0"/>
      <w:divBdr>
        <w:top w:val="none" w:sz="0" w:space="0" w:color="auto"/>
        <w:left w:val="none" w:sz="0" w:space="0" w:color="auto"/>
        <w:bottom w:val="none" w:sz="0" w:space="0" w:color="auto"/>
        <w:right w:val="none" w:sz="0" w:space="0" w:color="auto"/>
      </w:divBdr>
    </w:div>
    <w:div w:id="1449395524">
      <w:bodyDiv w:val="1"/>
      <w:marLeft w:val="0"/>
      <w:marRight w:val="0"/>
      <w:marTop w:val="0"/>
      <w:marBottom w:val="0"/>
      <w:divBdr>
        <w:top w:val="none" w:sz="0" w:space="0" w:color="auto"/>
        <w:left w:val="none" w:sz="0" w:space="0" w:color="auto"/>
        <w:bottom w:val="none" w:sz="0" w:space="0" w:color="auto"/>
        <w:right w:val="none" w:sz="0" w:space="0" w:color="auto"/>
      </w:divBdr>
    </w:div>
    <w:div w:id="1964114141">
      <w:bodyDiv w:val="1"/>
      <w:marLeft w:val="0"/>
      <w:marRight w:val="0"/>
      <w:marTop w:val="0"/>
      <w:marBottom w:val="0"/>
      <w:divBdr>
        <w:top w:val="none" w:sz="0" w:space="0" w:color="auto"/>
        <w:left w:val="none" w:sz="0" w:space="0" w:color="auto"/>
        <w:bottom w:val="none" w:sz="0" w:space="0" w:color="auto"/>
        <w:right w:val="none" w:sz="0" w:space="0" w:color="auto"/>
      </w:divBdr>
    </w:div>
    <w:div w:id="20341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9D6F-44B7-4605-BA5E-1486CDCD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23</Pages>
  <Words>9452</Words>
  <Characters>51991</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GHPSJ</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fphilippart</dc:creator>
  <cp:keywords/>
  <dc:description/>
  <cp:lastModifiedBy>fphilippart</cp:lastModifiedBy>
  <cp:revision>144</cp:revision>
  <cp:lastPrinted>2024-12-09T14:32:00Z</cp:lastPrinted>
  <dcterms:created xsi:type="dcterms:W3CDTF">2023-11-29T17:03:00Z</dcterms:created>
  <dcterms:modified xsi:type="dcterms:W3CDTF">2025-05-28T11:09:00Z</dcterms:modified>
</cp:coreProperties>
</file>