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7B900" w14:textId="77777777" w:rsidR="00985B3A" w:rsidRDefault="00985B3A" w:rsidP="00985B3A">
      <w:pPr>
        <w:spacing w:before="28" w:line="337" w:lineRule="exact"/>
        <w:textAlignment w:val="baseline"/>
        <w:rPr>
          <w:rFonts w:ascii="Arial Narrow" w:eastAsia="Arial Narrow" w:hAnsi="Arial Narrow"/>
          <w:b/>
          <w:color w:val="000000"/>
          <w:spacing w:val="14"/>
          <w:sz w:val="32"/>
        </w:rPr>
      </w:pPr>
      <w:r>
        <w:rPr>
          <w:rFonts w:ascii="Arial Narrow" w:eastAsia="Arial Narrow" w:hAnsi="Arial Narrow"/>
          <w:b/>
          <w:color w:val="000000"/>
          <w:spacing w:val="14"/>
          <w:sz w:val="32"/>
        </w:rPr>
        <w:t>Supplementary Material</w:t>
      </w:r>
    </w:p>
    <w:p w14:paraId="46C12B9D" w14:textId="77777777" w:rsidR="00985B3A" w:rsidRDefault="00985B3A" w:rsidP="00985B3A">
      <w:pPr>
        <w:spacing w:before="357" w:line="486" w:lineRule="exact"/>
        <w:jc w:val="both"/>
        <w:textAlignment w:val="baseline"/>
        <w:rPr>
          <w:rFonts w:eastAsia="Times New Roman"/>
          <w:b/>
          <w:color w:val="000000"/>
          <w:spacing w:val="-2"/>
        </w:rPr>
      </w:pPr>
      <w:r>
        <w:rPr>
          <w:rFonts w:eastAsia="Times New Roman"/>
          <w:b/>
          <w:color w:val="000000"/>
          <w:spacing w:val="-2"/>
        </w:rPr>
        <w:t xml:space="preserve">Supplementary Fig. 1: Temporal evolution of host immunological and clinical markers during DRV/r and DTG therapy. </w:t>
      </w:r>
      <w:r>
        <w:rPr>
          <w:rFonts w:eastAsia="Times New Roman"/>
          <w:color w:val="000000"/>
          <w:spacing w:val="-2"/>
        </w:rPr>
        <w:t>Longitudinal evolution of immune cell counts, soluble inflammatory markers, and clinical parameters over 96 weeks of ART with DRV/r (blue) or DTG (orange). For each marker, boxplots show the distribution at weeks 0, 24, 48, and 96, with individual samples overlaid as jittered points. Within each treatment group, two‐sided Wilcoxon rank‐sum tests comparing across time points were performed with FDR correction; significant differences are indicated by asterisks (* p.adj &lt; 0.05; ** p.adj &lt; 0.01). X‐ axis: Time Point (weeks); Y‐axes: marker level (units in parentheses). a) T-cell populations: CD4+ count, CD8+ count, CD4 nadir count, activated CD4+ (CD38+HLA-DR+), and activated CD8+ (CD38+HLA-DR+) (Counts/mL). b) Soluble inflammatory markers: C-reactive protein (CRP; mg/mL), interleukin-6 (IL-6; pg/mL), tumor necrosis factor-α (TNF-α; pg/mL), and soluble CD14 (sCD14; ng/mL). c) Clinical parameters: HIV viral load (copies/mL) and body mass index (BMI; kg/m</w:t>
      </w:r>
      <w:r>
        <w:rPr>
          <w:rFonts w:eastAsia="Times New Roman"/>
          <w:color w:val="000000"/>
          <w:spacing w:val="-2"/>
          <w:vertAlign w:val="superscript"/>
        </w:rPr>
        <w:t>2</w:t>
      </w:r>
      <w:r>
        <w:rPr>
          <w:rFonts w:eastAsia="Times New Roman"/>
          <w:color w:val="000000"/>
          <w:spacing w:val="-2"/>
        </w:rPr>
        <w:t>).</w:t>
      </w:r>
    </w:p>
    <w:p w14:paraId="7BB2EE30" w14:textId="77777777" w:rsidR="00985B3A" w:rsidRDefault="00985B3A" w:rsidP="00985B3A">
      <w:pPr>
        <w:spacing w:before="177" w:line="486" w:lineRule="exact"/>
        <w:jc w:val="both"/>
        <w:textAlignment w:val="baseline"/>
        <w:rPr>
          <w:rFonts w:eastAsia="Times New Roman"/>
          <w:b/>
          <w:color w:val="000000"/>
        </w:rPr>
      </w:pPr>
      <w:r>
        <w:rPr>
          <w:rFonts w:eastAsia="Times New Roman"/>
          <w:b/>
          <w:color w:val="000000"/>
        </w:rPr>
        <w:t xml:space="preserve">Supplementary Fig. 2: Temporal evolution and host–microbiome correlations of observed richness, Gini dominance and Pielou’s evenness. </w:t>
      </w:r>
      <w:r>
        <w:rPr>
          <w:rFonts w:eastAsia="Times New Roman"/>
          <w:color w:val="000000"/>
        </w:rPr>
        <w:t>a) Boxplots of three alpha-diversity indices—observed richness, Gini dominance and Pielou’s evenness—at weeks 0, 24, 48 and 96 for patients treated with DRV/r (blue) or DTG (orange). Individual samples are overlaid as semi-transparent jittered points. Within each treatment arm, two-sided Wilcoxon rank-sum tests comparing across time points were performed with FDR correction; significant differences are indicated by asterisks (* p.adj &lt; 0.05; ** p.adj &lt; 0.01). X-axis: Time Point (weeks); Y-axes: metric value. b) Four dot-plots of Spearman correlations between alpha-diversity metrics (Shannon diversity, observed richness, Gini dominance and Pielou’s evenness) and clinical/immunological markers (CD4, CD8, CD4 nadir, CD38+HLA-DR+ subsets, CRP, IL-6, TNF-α, sCD14, HIV viral load, BMI), stratified by treatment group (y-axis: DRV/r vs. DTG). Point fill indicates correlation direction and magnitude (green positive; pink negative), point size scales with |ρ|, and black outlines denote significant associations (FDR-adjusted q &lt; 0.05 and |ρ| ≥ 0.2). X-axis: markers; Y-axis: treatment.</w:t>
      </w:r>
    </w:p>
    <w:p w14:paraId="1A68A492" w14:textId="77777777" w:rsidR="00985B3A" w:rsidRDefault="00985B3A" w:rsidP="00985B3A">
      <w:pPr>
        <w:sectPr w:rsidR="00985B3A" w:rsidSect="00985B3A">
          <w:pgSz w:w="12240" w:h="15840"/>
          <w:pgMar w:top="1440" w:right="1415" w:bottom="1424" w:left="1425" w:header="720" w:footer="720" w:gutter="0"/>
          <w:cols w:space="720"/>
        </w:sectPr>
      </w:pPr>
    </w:p>
    <w:p w14:paraId="3B7E35B4" w14:textId="77777777" w:rsidR="00985B3A" w:rsidRDefault="00985B3A" w:rsidP="00985B3A">
      <w:pPr>
        <w:spacing w:before="24" w:line="486" w:lineRule="exact"/>
        <w:jc w:val="both"/>
        <w:textAlignment w:val="baseline"/>
        <w:rPr>
          <w:rFonts w:eastAsia="Times New Roman"/>
          <w:b/>
          <w:color w:val="000000"/>
          <w:spacing w:val="-2"/>
        </w:rPr>
      </w:pPr>
      <w:r>
        <w:rPr>
          <w:rFonts w:eastAsia="Times New Roman"/>
          <w:b/>
          <w:color w:val="000000"/>
          <w:spacing w:val="-2"/>
        </w:rPr>
        <w:lastRenderedPageBreak/>
        <w:t>Supplementary Fig. 3: Gut microbiome composition and NMDS</w:t>
      </w:r>
      <w:r>
        <w:rPr>
          <w:rFonts w:ascii="Garamond" w:eastAsia="Garamond" w:hAnsi="Garamond"/>
          <w:b/>
          <w:color w:val="000000"/>
          <w:spacing w:val="-2"/>
          <w:sz w:val="24"/>
        </w:rPr>
        <w:t>-</w:t>
      </w:r>
      <w:r>
        <w:rPr>
          <w:rFonts w:eastAsia="Times New Roman"/>
          <w:b/>
          <w:color w:val="000000"/>
          <w:spacing w:val="-2"/>
        </w:rPr>
        <w:t>based beta</w:t>
      </w:r>
      <w:r>
        <w:rPr>
          <w:rFonts w:ascii="Garamond" w:eastAsia="Garamond" w:hAnsi="Garamond"/>
          <w:b/>
          <w:color w:val="000000"/>
          <w:spacing w:val="-2"/>
          <w:sz w:val="24"/>
        </w:rPr>
        <w:t>-</w:t>
      </w:r>
      <w:r>
        <w:rPr>
          <w:rFonts w:eastAsia="Times New Roman"/>
          <w:b/>
          <w:color w:val="000000"/>
          <w:spacing w:val="-2"/>
        </w:rPr>
        <w:t xml:space="preserve">diversity associations. </w:t>
      </w:r>
      <w:r>
        <w:rPr>
          <w:rFonts w:eastAsia="Times New Roman"/>
          <w:color w:val="000000"/>
          <w:spacing w:val="-2"/>
        </w:rPr>
        <w:t xml:space="preserve">a) Stacked barplot of the relative abundance of the top 25 genera across all samples, ordered by their NMDS1 coordinate (from left to right). Each bar represents one sample and is colored by genus; above the barplot are four annotation tracks showing (from top to bottom) ART regimen (DRV/r in blue, DTG in orange), transmission risk group, sampling time point (weeks), and the sample’s Euclidean distance to its treatment– timepoint centroid in NMDS space (grayscale gradient). b) Global Spearman correlations between NMDS centroid distance and a panel of host clinical/immunological markers (CD4, CD8, CD4 nadir, CD38+/DR+ subsets, CRP, IL-6, TNF-α, sCD14, HIV viral load, BMI). Point fill indicates the sign and magnitude of the correlation coefficient (green = positive; pink = negative), point size scales with |ρ|, and black outlines denote significant associations (FDR-adjusted q &lt; 0.05 and |ρ| </w:t>
      </w:r>
      <w:r>
        <w:rPr>
          <w:rFonts w:ascii="Garamond" w:eastAsia="Garamond" w:hAnsi="Garamond"/>
          <w:color w:val="000000"/>
          <w:spacing w:val="-2"/>
          <w:sz w:val="32"/>
        </w:rPr>
        <w:t xml:space="preserve">? </w:t>
      </w:r>
      <w:r>
        <w:rPr>
          <w:rFonts w:eastAsia="Times New Roman"/>
          <w:color w:val="000000"/>
          <w:spacing w:val="-2"/>
        </w:rPr>
        <w:t>0.2). X-axis: markers; Y-axis: correlation (centroid distance). c) Representative scatter plots of NMDS centroid distance versus (i) TNF-α (log2-transformed), (ii) HIV viral load and (iii) body mass index (BMI). Samples are colored by treatment group (DRV/r in blue; DTG in orange), with an overlaid linear regression line and 95 % confidence interval. Spearman correlation coefficients (ρ) and p-values are annotated on each panel.</w:t>
      </w:r>
    </w:p>
    <w:p w14:paraId="73DF0ADC" w14:textId="77777777" w:rsidR="00985B3A" w:rsidRDefault="00985B3A" w:rsidP="00985B3A">
      <w:pPr>
        <w:spacing w:before="173" w:line="486" w:lineRule="exact"/>
        <w:jc w:val="both"/>
        <w:textAlignment w:val="baseline"/>
        <w:rPr>
          <w:rFonts w:eastAsia="Times New Roman"/>
          <w:b/>
          <w:color w:val="000000"/>
          <w:spacing w:val="-3"/>
        </w:rPr>
      </w:pPr>
      <w:r>
        <w:rPr>
          <w:rFonts w:eastAsia="Times New Roman"/>
          <w:b/>
          <w:color w:val="000000"/>
          <w:spacing w:val="-3"/>
        </w:rPr>
        <w:t>Supplementary Fig. 4: Species</w:t>
      </w:r>
      <w:r>
        <w:rPr>
          <w:rFonts w:ascii="Garamond" w:eastAsia="Garamond" w:hAnsi="Garamond"/>
          <w:b/>
          <w:color w:val="000000"/>
          <w:spacing w:val="-3"/>
          <w:sz w:val="24"/>
        </w:rPr>
        <w:t>-</w:t>
      </w:r>
      <w:r>
        <w:rPr>
          <w:rFonts w:eastAsia="Times New Roman"/>
          <w:b/>
          <w:color w:val="000000"/>
          <w:spacing w:val="-3"/>
        </w:rPr>
        <w:t xml:space="preserve">level differential abundance under DTG versus DRV/r and host immune correlations. </w:t>
      </w:r>
      <w:r>
        <w:rPr>
          <w:rFonts w:eastAsia="Times New Roman"/>
          <w:color w:val="000000"/>
          <w:spacing w:val="-3"/>
        </w:rPr>
        <w:t>a) Volcano plot of species</w:t>
      </w:r>
      <w:r>
        <w:rPr>
          <w:rFonts w:ascii="Garamond" w:eastAsia="Garamond" w:hAnsi="Garamond"/>
          <w:color w:val="000000"/>
          <w:spacing w:val="-3"/>
          <w:sz w:val="32"/>
        </w:rPr>
        <w:t>-</w:t>
      </w:r>
      <w:r>
        <w:rPr>
          <w:rFonts w:eastAsia="Times New Roman"/>
          <w:color w:val="000000"/>
          <w:spacing w:val="-3"/>
        </w:rPr>
        <w:t>level differential abundance between DTG and DRV/r treatments at 24, 48 and 96 weeks, generated with ANCOMBC2 (model: treatment × time_point + gender + age + aids_event + risk_group + HIV_VL; prevalence cutoff 15%). The x</w:t>
      </w:r>
      <w:r>
        <w:rPr>
          <w:rFonts w:ascii="Garamond" w:eastAsia="Garamond" w:hAnsi="Garamond"/>
          <w:color w:val="000000"/>
          <w:spacing w:val="-3"/>
          <w:sz w:val="32"/>
        </w:rPr>
        <w:t>-</w:t>
      </w:r>
      <w:r>
        <w:rPr>
          <w:rFonts w:eastAsia="Times New Roman"/>
          <w:color w:val="000000"/>
          <w:spacing w:val="-3"/>
        </w:rPr>
        <w:t>axis shows log2 fold</w:t>
      </w:r>
      <w:r>
        <w:rPr>
          <w:rFonts w:ascii="Garamond" w:eastAsia="Garamond" w:hAnsi="Garamond"/>
          <w:color w:val="000000"/>
          <w:spacing w:val="-3"/>
          <w:sz w:val="32"/>
        </w:rPr>
        <w:t>-</w:t>
      </w:r>
      <w:r>
        <w:rPr>
          <w:rFonts w:eastAsia="Times New Roman"/>
          <w:color w:val="000000"/>
          <w:spacing w:val="-3"/>
        </w:rPr>
        <w:t>changes (DTG/DRV–r) on log10</w:t>
      </w:r>
      <w:r>
        <w:rPr>
          <w:rFonts w:ascii="Garamond" w:eastAsia="Garamond" w:hAnsi="Garamond"/>
          <w:color w:val="000000"/>
          <w:spacing w:val="-3"/>
          <w:sz w:val="32"/>
        </w:rPr>
        <w:t>-</w:t>
      </w:r>
      <w:r>
        <w:rPr>
          <w:rFonts w:eastAsia="Times New Roman"/>
          <w:color w:val="000000"/>
          <w:spacing w:val="-3"/>
        </w:rPr>
        <w:t>transformed relative abundances; the y</w:t>
      </w:r>
      <w:r>
        <w:rPr>
          <w:rFonts w:ascii="Garamond" w:eastAsia="Garamond" w:hAnsi="Garamond"/>
          <w:color w:val="000000"/>
          <w:spacing w:val="-3"/>
          <w:sz w:val="32"/>
        </w:rPr>
        <w:t>-</w:t>
      </w:r>
      <w:r>
        <w:rPr>
          <w:rFonts w:eastAsia="Times New Roman"/>
          <w:color w:val="000000"/>
          <w:spacing w:val="-3"/>
        </w:rPr>
        <w:t>axis shows –log10 FDR</w:t>
      </w:r>
      <w:r>
        <w:rPr>
          <w:rFonts w:ascii="Garamond" w:eastAsia="Garamond" w:hAnsi="Garamond"/>
          <w:color w:val="000000"/>
          <w:spacing w:val="-3"/>
          <w:sz w:val="32"/>
        </w:rPr>
        <w:t>-</w:t>
      </w:r>
      <w:r>
        <w:rPr>
          <w:rFonts w:eastAsia="Times New Roman"/>
          <w:color w:val="000000"/>
          <w:spacing w:val="-3"/>
        </w:rPr>
        <w:t>adjusted p</w:t>
      </w:r>
      <w:r>
        <w:rPr>
          <w:rFonts w:ascii="Garamond" w:eastAsia="Garamond" w:hAnsi="Garamond"/>
          <w:color w:val="000000"/>
          <w:spacing w:val="-3"/>
          <w:sz w:val="32"/>
        </w:rPr>
        <w:t>-</w:t>
      </w:r>
      <w:r>
        <w:rPr>
          <w:rFonts w:eastAsia="Times New Roman"/>
          <w:color w:val="000000"/>
          <w:spacing w:val="-3"/>
        </w:rPr>
        <w:t xml:space="preserve">values. Points are colored by time point. Taxa that did not meet all criteria (|log2FC| &lt; 0.5, q </w:t>
      </w:r>
      <w:r>
        <w:rPr>
          <w:rFonts w:ascii="Garamond" w:eastAsia="Garamond" w:hAnsi="Garamond"/>
          <w:color w:val="000000"/>
          <w:spacing w:val="-3"/>
          <w:sz w:val="32"/>
        </w:rPr>
        <w:t xml:space="preserve">? </w:t>
      </w:r>
      <w:r>
        <w:rPr>
          <w:rFonts w:eastAsia="Times New Roman"/>
          <w:color w:val="000000"/>
          <w:spacing w:val="-3"/>
        </w:rPr>
        <w:t xml:space="preserve">0.05, prevalence ≤ 0.2 or failed the ANCOMBC2 sensitivity analysis) are shown in light grey; candidate genera (|log2FC| </w:t>
      </w:r>
      <w:r>
        <w:rPr>
          <w:rFonts w:ascii="Garamond" w:eastAsia="Garamond" w:hAnsi="Garamond"/>
          <w:color w:val="000000"/>
          <w:spacing w:val="-3"/>
          <w:sz w:val="32"/>
        </w:rPr>
        <w:t xml:space="preserve">? </w:t>
      </w:r>
      <w:r>
        <w:rPr>
          <w:rFonts w:eastAsia="Times New Roman"/>
          <w:color w:val="000000"/>
          <w:spacing w:val="-3"/>
        </w:rPr>
        <w:t>0.5, q &lt; 0.05, prevalence &gt; 0.2 and passed = TRUE) are highlighted in color. Vertical reference lines at ±0.5 and a horizontal line at –log10(q = 0.05) indicate significance thresholds. b) Horizontal lolliplot of candidate species showing the maximum absolute log2 fold</w:t>
      </w:r>
      <w:r>
        <w:rPr>
          <w:rFonts w:ascii="Garamond" w:eastAsia="Garamond" w:hAnsi="Garamond"/>
          <w:color w:val="000000"/>
          <w:spacing w:val="-3"/>
          <w:sz w:val="32"/>
        </w:rPr>
        <w:t>-</w:t>
      </w:r>
      <w:r>
        <w:rPr>
          <w:rFonts w:eastAsia="Times New Roman"/>
          <w:color w:val="000000"/>
          <w:spacing w:val="-3"/>
        </w:rPr>
        <w:t>change across all time points. Bars are ordered by increasing |log2FC| and colored by direction of change (“Up in DTG” if lfc &gt; 0; “Down in DTG” if lfc &lt; 0). Prevalence (proportion of samples in which the genus was detected) is annotated at the end of each</w:t>
      </w:r>
    </w:p>
    <w:p w14:paraId="4EB09D45" w14:textId="77777777" w:rsidR="00985B3A" w:rsidRDefault="00985B3A" w:rsidP="00985B3A">
      <w:pPr>
        <w:sectPr w:rsidR="00985B3A" w:rsidSect="00985B3A">
          <w:pgSz w:w="12240" w:h="15840"/>
          <w:pgMar w:top="1200" w:right="1408" w:bottom="1404" w:left="1432" w:header="720" w:footer="720" w:gutter="0"/>
          <w:cols w:space="720"/>
        </w:sectPr>
      </w:pPr>
    </w:p>
    <w:p w14:paraId="688E49F0" w14:textId="77777777" w:rsidR="00985B3A" w:rsidRDefault="00985B3A" w:rsidP="00985B3A">
      <w:pPr>
        <w:spacing w:before="50" w:line="487" w:lineRule="exact"/>
        <w:jc w:val="both"/>
        <w:textAlignment w:val="baseline"/>
        <w:rPr>
          <w:rFonts w:eastAsia="Times New Roman"/>
          <w:color w:val="000000"/>
        </w:rPr>
      </w:pPr>
      <w:r>
        <w:rPr>
          <w:rFonts w:eastAsia="Times New Roman"/>
          <w:color w:val="000000"/>
        </w:rPr>
        <w:lastRenderedPageBreak/>
        <w:t xml:space="preserve">bar. A reference line at |log2FC| = 0.5 marks the cutoff for candidate selection. c) Temporal trajectories of relative abundance changes (log2 fold change) for candidate species over 0, 24, 48, and 96 weeks of DTG versus DRV/r treatment. Each colored line represents a species satisfying the candidate criteria (|log2FC| </w:t>
      </w:r>
      <w:r>
        <w:rPr>
          <w:rFonts w:ascii="Garamond" w:eastAsia="Garamond" w:hAnsi="Garamond"/>
          <w:color w:val="000000"/>
          <w:sz w:val="33"/>
        </w:rPr>
        <w:t xml:space="preserve">? </w:t>
      </w:r>
      <w:r>
        <w:rPr>
          <w:rFonts w:eastAsia="Times New Roman"/>
          <w:color w:val="000000"/>
        </w:rPr>
        <w:t>0.5, q &lt; 0.05, prevalence &gt; 0.2, and passed = TRUE), connecting its log2FC values at each sampling time point. Asterisks mark the time points at which a species meets the candidacy threshold. d) Dot</w:t>
      </w:r>
      <w:r>
        <w:rPr>
          <w:rFonts w:ascii="Garamond" w:eastAsia="Garamond" w:hAnsi="Garamond"/>
          <w:color w:val="000000"/>
          <w:sz w:val="33"/>
        </w:rPr>
        <w:t>-</w:t>
      </w:r>
      <w:r>
        <w:rPr>
          <w:rFonts w:eastAsia="Times New Roman"/>
          <w:color w:val="000000"/>
        </w:rPr>
        <w:t>plot of Spearman correlations between candidate differentially abundant genera and host immunological markers (CD4, CD8, CD4 nadir, CD38+HLA-DR+ subsets) and soluble cytokines (CRP, IL-6, TNF-α, sCD14). Each point represents one genus–marker pair, with fill color indicating correlation direction and magnitude (green = positive; pink = negative) and point size scaling with |ρ|. Black outlines denote significant associations (FDR</w:t>
      </w:r>
      <w:r>
        <w:rPr>
          <w:rFonts w:ascii="Garamond" w:eastAsia="Garamond" w:hAnsi="Garamond"/>
          <w:color w:val="000000"/>
          <w:sz w:val="33"/>
        </w:rPr>
        <w:t>-</w:t>
      </w:r>
      <w:r>
        <w:rPr>
          <w:rFonts w:eastAsia="Times New Roman"/>
          <w:color w:val="000000"/>
        </w:rPr>
        <w:t xml:space="preserve">adjusted q &lt; 0.05 and |ρ| </w:t>
      </w:r>
      <w:r>
        <w:rPr>
          <w:rFonts w:ascii="Garamond" w:eastAsia="Garamond" w:hAnsi="Garamond"/>
          <w:color w:val="000000"/>
          <w:sz w:val="33"/>
        </w:rPr>
        <w:t xml:space="preserve">? </w:t>
      </w:r>
      <w:r>
        <w:rPr>
          <w:rFonts w:eastAsia="Times New Roman"/>
          <w:color w:val="000000"/>
        </w:rPr>
        <w:t>0.1). X</w:t>
      </w:r>
      <w:r>
        <w:rPr>
          <w:rFonts w:ascii="Garamond" w:eastAsia="Garamond" w:hAnsi="Garamond"/>
          <w:color w:val="000000"/>
          <w:sz w:val="33"/>
        </w:rPr>
        <w:t>-</w:t>
      </w:r>
      <w:r>
        <w:rPr>
          <w:rFonts w:eastAsia="Times New Roman"/>
          <w:color w:val="000000"/>
        </w:rPr>
        <w:t>axis: genus; Y</w:t>
      </w:r>
      <w:r>
        <w:rPr>
          <w:rFonts w:ascii="Garamond" w:eastAsia="Garamond" w:hAnsi="Garamond"/>
          <w:color w:val="000000"/>
          <w:sz w:val="33"/>
        </w:rPr>
        <w:t>-</w:t>
      </w:r>
      <w:r>
        <w:rPr>
          <w:rFonts w:eastAsia="Times New Roman"/>
          <w:color w:val="000000"/>
        </w:rPr>
        <w:t>axis: marker.</w:t>
      </w:r>
    </w:p>
    <w:p w14:paraId="35B76F47" w14:textId="77777777" w:rsidR="00985B3A" w:rsidRDefault="00985B3A" w:rsidP="00985B3A">
      <w:pPr>
        <w:spacing w:before="123" w:line="486" w:lineRule="exact"/>
        <w:jc w:val="both"/>
        <w:textAlignment w:val="baseline"/>
        <w:rPr>
          <w:rFonts w:eastAsia="Times New Roman"/>
          <w:b/>
          <w:color w:val="000000"/>
          <w:spacing w:val="-2"/>
        </w:rPr>
      </w:pPr>
      <w:r>
        <w:rPr>
          <w:rFonts w:eastAsia="Times New Roman"/>
          <w:b/>
          <w:color w:val="000000"/>
          <w:spacing w:val="-2"/>
        </w:rPr>
        <w:t xml:space="preserve">Supplementary Fig. 5: Temporal dynamics of genus-level co-occurrence networks and their topological associations at early ART time points. </w:t>
      </w:r>
      <w:r>
        <w:rPr>
          <w:rFonts w:eastAsia="Times New Roman"/>
          <w:color w:val="000000"/>
          <w:spacing w:val="-2"/>
        </w:rPr>
        <w:t>a) Side-by-side SPRING</w:t>
      </w:r>
      <w:r>
        <w:rPr>
          <w:rFonts w:ascii="Garamond" w:eastAsia="Garamond" w:hAnsi="Garamond"/>
          <w:color w:val="000000"/>
          <w:spacing w:val="-2"/>
          <w:sz w:val="33"/>
        </w:rPr>
        <w:t>-</w:t>
      </w:r>
      <w:r>
        <w:rPr>
          <w:rFonts w:eastAsia="Times New Roman"/>
          <w:color w:val="000000"/>
          <w:spacing w:val="-2"/>
        </w:rPr>
        <w:t>derived genus</w:t>
      </w:r>
      <w:r>
        <w:rPr>
          <w:rFonts w:ascii="Garamond" w:eastAsia="Garamond" w:hAnsi="Garamond"/>
          <w:color w:val="000000"/>
          <w:spacing w:val="-2"/>
          <w:sz w:val="33"/>
        </w:rPr>
        <w:t>-</w:t>
      </w:r>
      <w:r>
        <w:rPr>
          <w:rFonts w:eastAsia="Times New Roman"/>
          <w:color w:val="000000"/>
          <w:spacing w:val="-2"/>
        </w:rPr>
        <w:t>level networks for patients treated with DTG (left) versus DRV/r (right) at weeks 0, 24 and 48. Nodes represent genera (colored by phylum), and node size is proportional to CLR</w:t>
      </w:r>
      <w:r>
        <w:rPr>
          <w:rFonts w:ascii="Garamond" w:eastAsia="Garamond" w:hAnsi="Garamond"/>
          <w:color w:val="000000"/>
          <w:spacing w:val="-2"/>
          <w:sz w:val="33"/>
        </w:rPr>
        <w:t>-</w:t>
      </w:r>
      <w:r>
        <w:rPr>
          <w:rFonts w:eastAsia="Times New Roman"/>
          <w:color w:val="000000"/>
          <w:spacing w:val="-2"/>
        </w:rPr>
        <w:t xml:space="preserve">transformed relative abundance. Only the 200 most prevalent genera (prevalence </w:t>
      </w:r>
      <w:r>
        <w:rPr>
          <w:rFonts w:ascii="Garamond" w:eastAsia="Garamond" w:hAnsi="Garamond"/>
          <w:color w:val="000000"/>
          <w:spacing w:val="-2"/>
          <w:sz w:val="33"/>
        </w:rPr>
        <w:t xml:space="preserve">? </w:t>
      </w:r>
      <w:r>
        <w:rPr>
          <w:rFonts w:eastAsia="Times New Roman"/>
          <w:color w:val="000000"/>
          <w:spacing w:val="-2"/>
        </w:rPr>
        <w:t>15 %) are shown, with edges weighted by signed association strength. Layouts are held constant between panels for direct visual comparison; isolated singletons present in both networks have been removed. b) Heatmap of the differential Graphlet Correlation Matrix (ΔGCM = GCM_DTG – GCM_DRV/r) computed on the largest connected component at weeks 0, 24 and 48. Each cell displays the change in Spearman correlation (Δρ) between a pair of non-redundant graphlet orbit counts; red shades indicate orbit pairs more positively correlated in DTG, blue shades indicate stronger correlations in DRV/r. Numerical labels give Δρ, and asterisks denote FDR-adjusted significance of the difference (* q &lt; 0.05; ** q &lt; 0.01; *** q &lt; 0.001). Bounding boxes group orbits by their topological role (degree, chain, cycle, terminal). See Supplementary Table 1 for a detailed description of the graphlet orbits.</w:t>
      </w:r>
    </w:p>
    <w:p w14:paraId="1432E6B6" w14:textId="77777777" w:rsidR="00AC0449" w:rsidRDefault="00AC0449"/>
    <w:sectPr w:rsidR="00AC0449" w:rsidSect="00985B3A">
      <w:pgSz w:w="12240" w:h="15840"/>
      <w:pgMar w:top="1200" w:right="1408" w:bottom="2864" w:left="1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pitch w:val="variable"/>
    <w:sig w:usb0="00000001" w:usb1="08080000" w:usb2="00000010" w:usb3="00000000" w:csb0="00100000"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B3A"/>
    <w:rsid w:val="00156A6D"/>
    <w:rsid w:val="003F11BA"/>
    <w:rsid w:val="00732981"/>
    <w:rsid w:val="00985B3A"/>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5789D"/>
  <w15:chartTrackingRefBased/>
  <w15:docId w15:val="{CDB3E8B2-F750-4B7C-B140-030C92E2C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B3A"/>
    <w:pPr>
      <w:spacing w:after="0" w:line="240" w:lineRule="auto"/>
    </w:pPr>
    <w:rPr>
      <w:rFonts w:ascii="Times New Roman" w:eastAsia="PMingLiU" w:hAnsi="Times New Roman" w:cs="Times New Roman"/>
      <w:kern w:val="0"/>
      <w:sz w:val="22"/>
      <w:szCs w:val="22"/>
      <w14:ligatures w14:val="none"/>
    </w:rPr>
  </w:style>
  <w:style w:type="paragraph" w:styleId="Heading1">
    <w:name w:val="heading 1"/>
    <w:basedOn w:val="Normal"/>
    <w:next w:val="Normal"/>
    <w:link w:val="Heading1Char"/>
    <w:uiPriority w:val="9"/>
    <w:qFormat/>
    <w:rsid w:val="00985B3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85B3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85B3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85B3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85B3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85B3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85B3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85B3A"/>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85B3A"/>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5B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5B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5B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5B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5B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5B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5B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5B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5B3A"/>
    <w:rPr>
      <w:rFonts w:eastAsiaTheme="majorEastAsia" w:cstheme="majorBidi"/>
      <w:color w:val="272727" w:themeColor="text1" w:themeTint="D8"/>
    </w:rPr>
  </w:style>
  <w:style w:type="paragraph" w:styleId="Title">
    <w:name w:val="Title"/>
    <w:basedOn w:val="Normal"/>
    <w:next w:val="Normal"/>
    <w:link w:val="TitleChar"/>
    <w:uiPriority w:val="10"/>
    <w:qFormat/>
    <w:rsid w:val="00985B3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85B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5B3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85B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5B3A"/>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85B3A"/>
    <w:rPr>
      <w:i/>
      <w:iCs/>
      <w:color w:val="404040" w:themeColor="text1" w:themeTint="BF"/>
    </w:rPr>
  </w:style>
  <w:style w:type="paragraph" w:styleId="ListParagraph">
    <w:name w:val="List Paragraph"/>
    <w:basedOn w:val="Normal"/>
    <w:uiPriority w:val="34"/>
    <w:qFormat/>
    <w:rsid w:val="00985B3A"/>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985B3A"/>
    <w:rPr>
      <w:i/>
      <w:iCs/>
      <w:color w:val="0F4761" w:themeColor="accent1" w:themeShade="BF"/>
    </w:rPr>
  </w:style>
  <w:style w:type="paragraph" w:styleId="IntenseQuote">
    <w:name w:val="Intense Quote"/>
    <w:basedOn w:val="Normal"/>
    <w:next w:val="Normal"/>
    <w:link w:val="IntenseQuoteChar"/>
    <w:uiPriority w:val="30"/>
    <w:qFormat/>
    <w:rsid w:val="00985B3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85B3A"/>
    <w:rPr>
      <w:i/>
      <w:iCs/>
      <w:color w:val="0F4761" w:themeColor="accent1" w:themeShade="BF"/>
    </w:rPr>
  </w:style>
  <w:style w:type="character" w:styleId="IntenseReference">
    <w:name w:val="Intense Reference"/>
    <w:basedOn w:val="DefaultParagraphFont"/>
    <w:uiPriority w:val="32"/>
    <w:qFormat/>
    <w:rsid w:val="00985B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1095</Words>
  <Characters>6244</Characters>
  <Application>Microsoft Office Word</Application>
  <DocSecurity>0</DocSecurity>
  <Lines>52</Lines>
  <Paragraphs>14</Paragraphs>
  <ScaleCrop>false</ScaleCrop>
  <Company>Springer Nature</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2025-07-21T05:22:00Z</dcterms:created>
  <dcterms:modified xsi:type="dcterms:W3CDTF">2025-07-21T05:23:00Z</dcterms:modified>
</cp:coreProperties>
</file>