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E6F" w:rsidRDefault="00B34E6F" w:rsidP="00B34E6F">
      <w:pPr>
        <w:pStyle w:val="berschrift2"/>
        <w:spacing w:before="360"/>
        <w:rPr>
          <w:shd w:val="clear" w:color="auto" w:fill="FFFFFF"/>
          <w:lang w:val="en-US"/>
        </w:rPr>
      </w:pPr>
      <w:r w:rsidRPr="000D542C">
        <w:rPr>
          <w:shd w:val="clear" w:color="auto" w:fill="FFFFFF"/>
          <w:lang w:val="en-US"/>
        </w:rPr>
        <w:t>Supplement</w:t>
      </w:r>
    </w:p>
    <w:p w:rsidR="00B34E6F" w:rsidRPr="00321AA6" w:rsidRDefault="00B34E6F" w:rsidP="00B34E6F">
      <w:pPr>
        <w:pStyle w:val="berschrift3"/>
        <w:numPr>
          <w:ilvl w:val="0"/>
          <w:numId w:val="1"/>
        </w:numPr>
      </w:pPr>
      <w:r>
        <w:t>Supplementary methods</w:t>
      </w:r>
    </w:p>
    <w:p w:rsidR="00B34E6F" w:rsidRDefault="00B34E6F" w:rsidP="00B34E6F">
      <w:pPr>
        <w:pStyle w:val="berschrift3"/>
        <w:numPr>
          <w:ilvl w:val="0"/>
          <w:numId w:val="2"/>
        </w:numPr>
      </w:pPr>
      <w:r>
        <w:t xml:space="preserve">Outer </w:t>
      </w:r>
      <w:r w:rsidRPr="00AD3C85">
        <w:t>membrane</w:t>
      </w:r>
      <w:r>
        <w:t xml:space="preserve"> extraction </w:t>
      </w:r>
    </w:p>
    <w:p w:rsidR="00B34E6F" w:rsidRPr="00A46203" w:rsidRDefault="00B34E6F" w:rsidP="00B34E6F">
      <w:r>
        <w:t xml:space="preserve">Outer membrane extraction for validation of protein expression was performed based on </w:t>
      </w:r>
      <w:r>
        <w:fldChar w:fldCharType="begin" w:fldLock="1"/>
      </w:r>
      <w:r>
        <w:instrText>ADDIN CSL_CITATION {"citationItems":[{"id":"ITEM-1","itemData":{"DOI":"0095-1137/86/090330-03$02.00/0","ISSN":"61831638","PMID":"36803694","abstract":"A rapid microprocedure for isolating detergent (sodium N-lauroyl sarcosinate)-insoluble major outer membrane proteins from Haemophilus species produced results qualitatively identical to those obtained with a commonly used preparative isolation procedure. Proteins isolated by both procedures were compared by sodium dodecyl sulfate-polyacrylamide gel electrophoresis after staining with Coomassie brilliant blue R-250. The time for outer membrane protein isolation was substantially reduced with the rapid procedure, allowing a larger number of membrane preparations to be obtained rapidly for routine analysis. Membrane","author":[{"dropping-particle":"","family":"Carlone","given":"George M.","non-dropping-particle":"","parse-names":false,"suffix":""},{"dropping-particle":"","family":"Thomas","given":"Myrtle L.","non-dropping-particle":"","parse-names":false,"suffix":""},{"dropping-particle":"","family":"Rumschlag","given":"Hella S.","non-dropping-particle":"","parse-names":false,"suffix":""},{"dropping-particle":"","family":"Sottnek","given":"Frances O.","non-dropping-particle":"","parse-names":false,"suffix":""}],"container-title":"Journal of Clinical Microbiology","id":"ITEM-1","issue":"3","issued":{"date-parts":[["1986"]]},"page":"330-332","title":"Rapid Microprocedure for Isolating Detergent-Insoluble Outer Membrane Proteins from Haemophilus Species","type":"article-journal","volume":"24"},"uris":["http://www.mendeley.com/documents/?uuid=e4b823a0-ba14-474b-8254-29da204ff048"]}],"mendeley":{"formattedCitation":"&lt;sup&gt;57&lt;/sup&gt;","plainTextFormattedCitation":"57","previouslyFormattedCitation":"&lt;sup&gt;57&lt;/sup&gt;"},"properties":{"noteIndex":0},"schema":"https://github.com/citation-style-language/schema/raw/master/csl-citation.json"}</w:instrText>
      </w:r>
      <w:r>
        <w:fldChar w:fldCharType="separate"/>
      </w:r>
      <w:r w:rsidRPr="00794A35">
        <w:rPr>
          <w:noProof/>
          <w:vertAlign w:val="superscript"/>
        </w:rPr>
        <w:t>57</w:t>
      </w:r>
      <w:r>
        <w:fldChar w:fldCharType="end"/>
      </w:r>
      <w:r>
        <w:t xml:space="preserve"> with </w:t>
      </w:r>
      <w:r w:rsidRPr="00335D5E">
        <w:t>slight modifications. In brief, cultures (50 mL) were incubated overnight. The following day, an amount of cells corresponding to 50 mL of an optical density at 600 nm (OD</w:t>
      </w:r>
      <w:r w:rsidRPr="00335D5E">
        <w:rPr>
          <w:vertAlign w:val="subscript"/>
        </w:rPr>
        <w:t>600</w:t>
      </w:r>
      <w:r w:rsidRPr="00335D5E">
        <w:t xml:space="preserve">) equaling 1 were harvested (10 min. 5,000 </w:t>
      </w:r>
      <w:r w:rsidRPr="00335D5E">
        <w:rPr>
          <w:i/>
        </w:rPr>
        <w:t>x</w:t>
      </w:r>
      <w:r w:rsidRPr="00335D5E">
        <w:t xml:space="preserve"> g). Pellets were resuspended in 1 mL cold lysis buffer (10 µg/ml DNase I, 100 µg/ml lysozyme, 1 mM MgCl2 in 10 mM HEPES pH 7.5). Mechanical cell disruption was ensured by using a cell homogenizer (Precellys 24 Touch; Bertin Technologies SAS, Montigny-le-Bretonneux, France) for 2x 40 sec with cooling in-between. Cell debris was pelleted (2 min, 10,000 </w:t>
      </w:r>
      <w:r w:rsidRPr="00335D5E">
        <w:rPr>
          <w:i/>
        </w:rPr>
        <w:t>x</w:t>
      </w:r>
      <w:r w:rsidRPr="00335D5E">
        <w:t> g) and supernatant transferred into a fresh tube to pellet membranes (30 min, 16,000  </w:t>
      </w:r>
      <w:r w:rsidRPr="00335D5E">
        <w:rPr>
          <w:i/>
        </w:rPr>
        <w:t>x</w:t>
      </w:r>
      <w:r w:rsidRPr="00335D5E">
        <w:t xml:space="preserve"> g, 4°C). Pellets were resuspended in 200 µL 0.1 M HEPES pH 7.5. An equal volume of 2% </w:t>
      </w:r>
      <w:r w:rsidRPr="00335D5E">
        <w:rPr>
          <w:i/>
        </w:rPr>
        <w:t>N</w:t>
      </w:r>
      <w:r w:rsidRPr="00335D5E">
        <w:t>-lauroyl sarcosine in 10 mM HEPES and samples were incubated (30 min, 300 rpm, 22°C) to solubilize the inner membranes. Afterwards, outer membranes were pelleted (30 min, 16,000  </w:t>
      </w:r>
      <w:r w:rsidRPr="00335D5E">
        <w:rPr>
          <w:i/>
        </w:rPr>
        <w:t>x</w:t>
      </w:r>
      <w:r w:rsidRPr="00335D5E">
        <w:t> g, 4°C). Pellets were washed with 0.5 ml 10 mM HEPES pH 7.5 and centrifugation was repeated for 10 min. The pellets were then resuspended in 40 µL 10 mM HEPES pH 7.5, 10 µL sodium dodecyl sulfate–polyacrylamide gel electrophoresis (SDS-PAGE) sample buffer was added, and samples were stored at -20°C until further use.</w:t>
      </w:r>
      <w:r>
        <w:t xml:space="preserve"> </w:t>
      </w:r>
    </w:p>
    <w:p w:rsidR="00B34E6F" w:rsidRDefault="00B34E6F" w:rsidP="00B34E6F">
      <w:pPr>
        <w:pStyle w:val="berschrift3"/>
        <w:numPr>
          <w:ilvl w:val="0"/>
          <w:numId w:val="2"/>
        </w:numPr>
      </w:pPr>
      <w:r>
        <w:t>SDS-PAGE</w:t>
      </w:r>
    </w:p>
    <w:p w:rsidR="00B34E6F" w:rsidRDefault="00B34E6F" w:rsidP="00B34E6F">
      <w:r>
        <w:t>Samples were prepared by heating at 50°C for 10 min to not disrupt the TAA trimers. Then, the gel (Novex 4-20% Tris-glycine gel; Thermo Fisher Scientific,</w:t>
      </w:r>
      <w:r w:rsidRPr="0034312D">
        <w:rPr>
          <w:rFonts w:eastAsiaTheme="majorEastAsia" w:cs="Arial"/>
          <w:szCs w:val="24"/>
        </w:rPr>
        <w:t xml:space="preserve"> </w:t>
      </w:r>
      <w:r w:rsidRPr="008B7D1F">
        <w:rPr>
          <w:rFonts w:eastAsiaTheme="majorEastAsia" w:cs="Arial"/>
          <w:szCs w:val="24"/>
        </w:rPr>
        <w:t>Waltham, MA, USA</w:t>
      </w:r>
      <w:r>
        <w:t>) was loaded with 15 µL of each sample and 2.5 µL of the size standard (Pageruler Prestained Protein Ladder; Thermo Fisher Scientific). Electrophoresis was performed for 1 h at 25 mAmp per gel. A colloid comassie brilliant blue stain was used for visualization of protein bands.</w:t>
      </w:r>
    </w:p>
    <w:p w:rsidR="00B34E6F" w:rsidRDefault="00B34E6F" w:rsidP="00B34E6F">
      <w:pPr>
        <w:pStyle w:val="berschrift3"/>
        <w:numPr>
          <w:ilvl w:val="0"/>
          <w:numId w:val="2"/>
        </w:numPr>
      </w:pPr>
      <w:r>
        <w:t xml:space="preserve">Macrocolony formation </w:t>
      </w:r>
    </w:p>
    <w:p w:rsidR="00B34E6F" w:rsidRPr="00C809C8" w:rsidRDefault="00B34E6F" w:rsidP="00B34E6F">
      <w:r>
        <w:t xml:space="preserve">Assessing biofilm phenotype was performed by observeing macrocolony formation of long-term agar consisting of LB-Lennox (Carl Roth, Germany) and Span agar </w:t>
      </w:r>
      <w:r w:rsidRPr="001C66D1">
        <w:t>(H. Carroux, Germany)</w:t>
      </w:r>
      <w:r>
        <w:t xml:space="preserve"> A sterile Congo red-Coomassie-Brilliant-Blue G250 solution (50 mg/L Congo red, 25 mg/L Coomassie-Brilliant-Blue G250 solved in 20 mL 87.5% ethanol) was added. Bacterial cultures were inoculated with a single colony grown on LB-agar and incubated overnight at 37 °C shaking (180 rpm). From each culture 5 µL were spotted onto a freshly prepared agar plate. Plates were sealed with </w:t>
      </w:r>
      <w:r w:rsidRPr="00B1137A">
        <w:t>PARAFILM®</w:t>
      </w:r>
      <w:r>
        <w:t xml:space="preserve"> and incubated at 28 °C for five days. </w:t>
      </w:r>
    </w:p>
    <w:p w:rsidR="00B34E6F" w:rsidRPr="00321AA6" w:rsidRDefault="00B34E6F" w:rsidP="00B34E6F">
      <w:pPr>
        <w:pStyle w:val="berschrift3"/>
        <w:numPr>
          <w:ilvl w:val="0"/>
          <w:numId w:val="1"/>
        </w:numPr>
      </w:pPr>
      <w:r>
        <w:lastRenderedPageBreak/>
        <w:t xml:space="preserve">Supplementary tables </w:t>
      </w:r>
    </w:p>
    <w:p w:rsidR="00B34E6F" w:rsidRPr="00E812D3" w:rsidRDefault="00B34E6F" w:rsidP="00B34E6F">
      <w:pPr>
        <w:pStyle w:val="Beschriftung"/>
        <w:rPr>
          <w:lang w:val="en-US"/>
        </w:rPr>
      </w:pPr>
      <w:r w:rsidRPr="00E812D3">
        <w:rPr>
          <w:lang w:val="en-US"/>
        </w:rPr>
        <w:t xml:space="preserve">Supplementary table </w:t>
      </w:r>
      <w:r>
        <w:fldChar w:fldCharType="begin"/>
      </w:r>
      <w:r w:rsidRPr="00E812D3">
        <w:rPr>
          <w:lang w:val="en-US"/>
        </w:rPr>
        <w:instrText xml:space="preserve"> SEQ Supplementary_table \* ARABIC </w:instrText>
      </w:r>
      <w:r>
        <w:fldChar w:fldCharType="separate"/>
      </w:r>
      <w:r w:rsidRPr="00E812D3">
        <w:rPr>
          <w:noProof/>
          <w:lang w:val="en-US"/>
        </w:rPr>
        <w:t>1</w:t>
      </w:r>
      <w:r>
        <w:fldChar w:fldCharType="end"/>
      </w:r>
      <w:r w:rsidRPr="00E812D3">
        <w:rPr>
          <w:lang w:val="en-US"/>
        </w:rPr>
        <w:t xml:space="preserve">: </w:t>
      </w:r>
      <w:r w:rsidRPr="00E812D3">
        <w:rPr>
          <w:b/>
          <w:lang w:val="en-US"/>
        </w:rPr>
        <w:t>List of primers used in this study</w:t>
      </w:r>
      <w:r w:rsidR="00437016">
        <w:rPr>
          <w:lang w:val="en-US"/>
        </w:rPr>
        <w:t>.</w:t>
      </w:r>
      <w:r w:rsidRPr="00E812D3">
        <w:rPr>
          <w:lang w:val="en-US"/>
        </w:rPr>
        <w:t xml:space="preserve"> The orimer name, sequence and the application are given.</w:t>
      </w:r>
    </w:p>
    <w:tbl>
      <w:tblPr>
        <w:tblStyle w:val="EinfacheTabelle2"/>
        <w:tblW w:w="5000" w:type="pct"/>
        <w:tblLayout w:type="fixed"/>
        <w:tblLook w:val="04A0" w:firstRow="1" w:lastRow="0" w:firstColumn="1" w:lastColumn="0" w:noHBand="0" w:noVBand="1"/>
      </w:tblPr>
      <w:tblGrid>
        <w:gridCol w:w="1701"/>
        <w:gridCol w:w="3544"/>
        <w:gridCol w:w="3827"/>
      </w:tblGrid>
      <w:tr w:rsidR="00B34E6F" w:rsidRPr="00526350" w:rsidTr="00006295">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color w:val="000000"/>
                <w:sz w:val="20"/>
                <w:szCs w:val="20"/>
                <w:lang w:val="de-DE" w:eastAsia="de-DE"/>
              </w:rPr>
            </w:pPr>
            <w:r>
              <w:rPr>
                <w:rFonts w:eastAsia="Times New Roman" w:cs="Arial"/>
                <w:color w:val="000000"/>
                <w:sz w:val="20"/>
                <w:szCs w:val="20"/>
                <w:lang w:val="de-DE" w:eastAsia="de-DE"/>
              </w:rPr>
              <w:t>N</w:t>
            </w:r>
            <w:r w:rsidRPr="00526350">
              <w:rPr>
                <w:rFonts w:eastAsia="Times New Roman" w:cs="Arial"/>
                <w:color w:val="000000"/>
                <w:sz w:val="20"/>
                <w:szCs w:val="20"/>
                <w:lang w:val="de-DE" w:eastAsia="de-DE"/>
              </w:rPr>
              <w:t>ame</w:t>
            </w:r>
          </w:p>
        </w:tc>
        <w:tc>
          <w:tcPr>
            <w:tcW w:w="1953" w:type="pct"/>
            <w:noWrap/>
            <w:vAlign w:val="center"/>
            <w:hideMark/>
          </w:tcPr>
          <w:p w:rsidR="00B34E6F" w:rsidRPr="00526350" w:rsidRDefault="00B34E6F" w:rsidP="00006295">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de-DE" w:eastAsia="de-DE"/>
              </w:rPr>
            </w:pPr>
            <w:r>
              <w:rPr>
                <w:rFonts w:eastAsia="Times New Roman" w:cs="Arial"/>
                <w:color w:val="000000"/>
                <w:sz w:val="20"/>
                <w:szCs w:val="20"/>
                <w:lang w:val="de-DE" w:eastAsia="de-DE"/>
              </w:rPr>
              <w:t>S</w:t>
            </w:r>
            <w:r w:rsidRPr="00526350">
              <w:rPr>
                <w:rFonts w:eastAsia="Times New Roman" w:cs="Arial"/>
                <w:color w:val="000000"/>
                <w:sz w:val="20"/>
                <w:szCs w:val="20"/>
                <w:lang w:val="de-DE" w:eastAsia="de-DE"/>
              </w:rPr>
              <w:t>equence</w:t>
            </w:r>
            <w:r>
              <w:rPr>
                <w:rFonts w:eastAsia="Times New Roman" w:cs="Arial"/>
                <w:color w:val="000000"/>
                <w:sz w:val="20"/>
                <w:szCs w:val="20"/>
                <w:lang w:val="de-DE" w:eastAsia="de-DE"/>
              </w:rPr>
              <w:t xml:space="preserve"> </w:t>
            </w:r>
            <w:r w:rsidRPr="00526350">
              <w:rPr>
                <w:rFonts w:eastAsia="Times New Roman" w:cs="Arial"/>
                <w:b w:val="0"/>
                <w:color w:val="000000"/>
                <w:sz w:val="20"/>
                <w:szCs w:val="20"/>
                <w:lang w:val="de-DE" w:eastAsia="de-DE"/>
              </w:rPr>
              <w:t xml:space="preserve">(5‘ </w:t>
            </w:r>
            <w:r w:rsidRPr="00526350">
              <w:rPr>
                <w:rFonts w:eastAsia="Times New Roman" w:cs="Arial"/>
                <w:b w:val="0"/>
                <w:bCs w:val="0"/>
                <w:color w:val="000000"/>
                <w:sz w:val="20"/>
                <w:szCs w:val="20"/>
                <w:lang w:val="de-DE" w:eastAsia="de-DE"/>
              </w:rPr>
              <w:sym w:font="Wingdings" w:char="F0E0"/>
            </w:r>
            <w:r w:rsidRPr="00526350">
              <w:rPr>
                <w:rFonts w:eastAsia="Times New Roman" w:cs="Arial"/>
                <w:b w:val="0"/>
                <w:bCs w:val="0"/>
                <w:color w:val="000000"/>
                <w:sz w:val="20"/>
                <w:szCs w:val="20"/>
                <w:lang w:val="de-DE" w:eastAsia="de-DE"/>
              </w:rPr>
              <w:t xml:space="preserve"> 3‘)</w:t>
            </w:r>
          </w:p>
        </w:tc>
        <w:tc>
          <w:tcPr>
            <w:tcW w:w="2109" w:type="pct"/>
            <w:noWrap/>
            <w:vAlign w:val="center"/>
            <w:hideMark/>
          </w:tcPr>
          <w:p w:rsidR="00B34E6F" w:rsidRPr="00526350" w:rsidRDefault="00B34E6F" w:rsidP="00006295">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val="de-DE" w:eastAsia="de-DE"/>
              </w:rPr>
            </w:pPr>
            <w:r>
              <w:rPr>
                <w:rFonts w:eastAsia="Times New Roman" w:cs="Arial"/>
                <w:color w:val="000000"/>
                <w:sz w:val="20"/>
                <w:szCs w:val="20"/>
                <w:lang w:val="de-DE" w:eastAsia="de-DE"/>
              </w:rPr>
              <w:t>A</w:t>
            </w:r>
            <w:r w:rsidRPr="00526350">
              <w:rPr>
                <w:rFonts w:eastAsia="Times New Roman" w:cs="Arial"/>
                <w:color w:val="000000"/>
                <w:sz w:val="20"/>
                <w:szCs w:val="20"/>
                <w:lang w:val="de-DE" w:eastAsia="de-DE"/>
              </w:rPr>
              <w:t>pplication</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EibD/A_F</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en-GB" w:eastAsia="de-DE"/>
              </w:rPr>
              <w:t>TAACGAGGGCAAAAAATGAAATACCTGCTGCCGACC</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Amplification of </w:t>
            </w:r>
            <w:r w:rsidRPr="00F16729">
              <w:rPr>
                <w:rFonts w:eastAsia="Times New Roman" w:cs="Arial"/>
                <w:i/>
                <w:color w:val="000000"/>
                <w:sz w:val="18"/>
                <w:szCs w:val="18"/>
                <w:lang w:eastAsia="de-DE"/>
              </w:rPr>
              <w:t>eibD</w:t>
            </w:r>
            <w:r w:rsidRPr="00526350">
              <w:rPr>
                <w:rFonts w:eastAsia="Times New Roman" w:cs="Arial"/>
                <w:color w:val="000000"/>
                <w:sz w:val="18"/>
                <w:szCs w:val="18"/>
                <w:lang w:eastAsia="de-DE"/>
              </w:rPr>
              <w:t xml:space="preserve"> and </w:t>
            </w:r>
            <w:r w:rsidRPr="00F16729">
              <w:rPr>
                <w:rFonts w:eastAsia="Times New Roman" w:cs="Arial"/>
                <w:i/>
                <w:color w:val="000000"/>
                <w:sz w:val="18"/>
                <w:szCs w:val="18"/>
                <w:lang w:eastAsia="de-DE"/>
              </w:rPr>
              <w:t>eibA</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EibD/A_R</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en-GB" w:eastAsia="de-DE"/>
              </w:rPr>
              <w:t>CACAGGTCAAGCTTATTAAAACTCGAAGTTCACACCAACGT</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Amplification of </w:t>
            </w:r>
            <w:r w:rsidRPr="00F16729">
              <w:rPr>
                <w:rFonts w:eastAsia="Times New Roman" w:cs="Arial"/>
                <w:i/>
                <w:color w:val="000000"/>
                <w:sz w:val="18"/>
                <w:szCs w:val="18"/>
                <w:lang w:eastAsia="de-DE"/>
              </w:rPr>
              <w:t>eibD</w:t>
            </w:r>
            <w:r w:rsidRPr="00526350">
              <w:rPr>
                <w:rFonts w:eastAsia="Times New Roman" w:cs="Arial"/>
                <w:color w:val="000000"/>
                <w:sz w:val="18"/>
                <w:szCs w:val="18"/>
                <w:lang w:eastAsia="de-DE"/>
              </w:rPr>
              <w:t xml:space="preserve"> and </w:t>
            </w:r>
            <w:r w:rsidRPr="00F16729">
              <w:rPr>
                <w:rFonts w:eastAsia="Times New Roman" w:cs="Arial"/>
                <w:i/>
                <w:color w:val="000000"/>
                <w:sz w:val="18"/>
                <w:szCs w:val="18"/>
                <w:lang w:eastAsia="de-DE"/>
              </w:rPr>
              <w:t>eibA</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EibG_F</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en-GB" w:eastAsia="de-DE"/>
              </w:rPr>
              <w:t>TAACGAGGGCAAAAAATGAGTAAAAAGTTTACAATGACACTTC</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de-DE" w:eastAsia="de-DE"/>
              </w:rPr>
            </w:pPr>
            <w:r w:rsidRPr="00526350">
              <w:rPr>
                <w:rFonts w:eastAsia="Times New Roman" w:cs="Arial"/>
                <w:color w:val="000000"/>
                <w:sz w:val="18"/>
                <w:szCs w:val="18"/>
                <w:lang w:val="de-DE" w:eastAsia="de-DE"/>
              </w:rPr>
              <w:t xml:space="preserve">Amplification of </w:t>
            </w:r>
            <w:r w:rsidRPr="00F16729">
              <w:rPr>
                <w:rFonts w:eastAsia="Times New Roman" w:cs="Arial"/>
                <w:i/>
                <w:color w:val="000000"/>
                <w:sz w:val="18"/>
                <w:szCs w:val="18"/>
                <w:lang w:val="de-DE" w:eastAsia="de-DE"/>
              </w:rPr>
              <w:t>eibG</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EibG_R</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en-GB" w:eastAsia="de-DE"/>
              </w:rPr>
              <w:t>CACAGGTCAAGCTTATTAAAACTCGAAGTTAACGCCCAT</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de-DE" w:eastAsia="de-DE"/>
              </w:rPr>
            </w:pPr>
            <w:r w:rsidRPr="00526350">
              <w:rPr>
                <w:rFonts w:eastAsia="Times New Roman" w:cs="Arial"/>
                <w:color w:val="000000"/>
                <w:sz w:val="18"/>
                <w:szCs w:val="18"/>
                <w:lang w:val="de-DE" w:eastAsia="de-DE"/>
              </w:rPr>
              <w:t xml:space="preserve">Amplification of </w:t>
            </w:r>
            <w:r w:rsidRPr="00F16729">
              <w:rPr>
                <w:rFonts w:eastAsia="Times New Roman" w:cs="Arial"/>
                <w:i/>
                <w:color w:val="000000"/>
                <w:sz w:val="18"/>
                <w:szCs w:val="18"/>
                <w:lang w:val="de-DE" w:eastAsia="de-DE"/>
              </w:rPr>
              <w:t>eibG</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YadA_F</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eastAsia="de-DE"/>
              </w:rPr>
              <w:t>TAACGAGGGCAAAAAATGATGACTAAAGATTTTAAGATCAGTGTC</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de-DE" w:eastAsia="de-DE"/>
              </w:rPr>
            </w:pPr>
            <w:r w:rsidRPr="00526350">
              <w:rPr>
                <w:rFonts w:eastAsia="Times New Roman" w:cs="Arial"/>
                <w:color w:val="000000"/>
                <w:sz w:val="18"/>
                <w:szCs w:val="18"/>
                <w:lang w:val="de-DE" w:eastAsia="de-DE"/>
              </w:rPr>
              <w:t xml:space="preserve">Amplification of </w:t>
            </w:r>
            <w:r w:rsidRPr="00F16729">
              <w:rPr>
                <w:rFonts w:eastAsia="Times New Roman" w:cs="Arial"/>
                <w:i/>
                <w:color w:val="000000"/>
                <w:sz w:val="18"/>
                <w:szCs w:val="18"/>
                <w:lang w:val="de-DE" w:eastAsia="de-DE"/>
              </w:rPr>
              <w:t>yadA</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F31F8E" w:rsidRDefault="00B34E6F" w:rsidP="00006295">
            <w:pPr>
              <w:spacing w:line="240" w:lineRule="auto"/>
              <w:jc w:val="left"/>
              <w:rPr>
                <w:rFonts w:eastAsia="Times New Roman" w:cs="Arial"/>
                <w:b w:val="0"/>
                <w:color w:val="000000"/>
                <w:sz w:val="18"/>
                <w:szCs w:val="18"/>
                <w:lang w:val="de-DE" w:eastAsia="de-DE"/>
              </w:rPr>
            </w:pPr>
            <w:r w:rsidRPr="00F31F8E">
              <w:rPr>
                <w:rFonts w:eastAsia="Times New Roman" w:cs="Arial"/>
                <w:b w:val="0"/>
                <w:color w:val="000000"/>
                <w:sz w:val="18"/>
                <w:szCs w:val="18"/>
                <w:lang w:val="de-DE" w:eastAsia="de-DE"/>
              </w:rPr>
              <w:t>YadA_R</w:t>
            </w:r>
          </w:p>
        </w:tc>
        <w:tc>
          <w:tcPr>
            <w:tcW w:w="1953" w:type="pct"/>
            <w:noWrap/>
            <w:vAlign w:val="center"/>
            <w:hideMark/>
          </w:tcPr>
          <w:p w:rsidR="00B34E6F" w:rsidRPr="00F31F8E" w:rsidRDefault="00F31F8E"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F31F8E">
              <w:rPr>
                <w:rFonts w:eastAsia="Times New Roman" w:cs="Arial"/>
                <w:color w:val="000000"/>
                <w:sz w:val="17"/>
                <w:szCs w:val="17"/>
                <w:lang w:val="de-DE" w:eastAsia="de-DE"/>
              </w:rPr>
              <w:t>GTGGCTCCAAGCGCTCTATTACCACTCGATATTAAATGATGCAT</w:t>
            </w:r>
          </w:p>
        </w:tc>
        <w:tc>
          <w:tcPr>
            <w:tcW w:w="2109" w:type="pct"/>
            <w:noWrap/>
            <w:vAlign w:val="center"/>
            <w:hideMark/>
          </w:tcPr>
          <w:p w:rsidR="00B34E6F" w:rsidRPr="00F31F8E"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de-DE" w:eastAsia="de-DE"/>
              </w:rPr>
            </w:pPr>
            <w:r w:rsidRPr="00F31F8E">
              <w:rPr>
                <w:rFonts w:eastAsia="Times New Roman" w:cs="Arial"/>
                <w:color w:val="000000"/>
                <w:sz w:val="18"/>
                <w:szCs w:val="18"/>
                <w:lang w:val="de-DE" w:eastAsia="de-DE"/>
              </w:rPr>
              <w:t xml:space="preserve">Amplification of </w:t>
            </w:r>
            <w:r w:rsidRPr="00F31F8E">
              <w:rPr>
                <w:rFonts w:eastAsia="Times New Roman" w:cs="Arial"/>
                <w:i/>
                <w:color w:val="000000"/>
                <w:sz w:val="18"/>
                <w:szCs w:val="18"/>
                <w:lang w:val="de-DE" w:eastAsia="de-DE"/>
              </w:rPr>
              <w:t>yadA</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IBAseq_F</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GGTACTATGCTAGCCCCT</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de-DE" w:eastAsia="de-DE"/>
              </w:rPr>
            </w:pPr>
            <w:r w:rsidRPr="00526350">
              <w:rPr>
                <w:rFonts w:eastAsia="Times New Roman" w:cs="Arial"/>
                <w:color w:val="000000"/>
                <w:sz w:val="18"/>
                <w:szCs w:val="18"/>
                <w:lang w:val="de-DE" w:eastAsia="de-DE"/>
              </w:rPr>
              <w:t>Sequencing</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IBAseq_R</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CGTTTACCGCTACTGCG</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de-DE" w:eastAsia="de-DE"/>
              </w:rPr>
            </w:pPr>
            <w:r w:rsidRPr="00526350">
              <w:rPr>
                <w:rFonts w:eastAsia="Times New Roman" w:cs="Arial"/>
                <w:color w:val="000000"/>
                <w:sz w:val="18"/>
                <w:szCs w:val="18"/>
                <w:lang w:val="de-DE" w:eastAsia="de-DE"/>
              </w:rPr>
              <w:t>Sequencing</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EibGmutR</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en-GB" w:eastAsia="de-DE"/>
              </w:rPr>
              <w:t>AGCTAAAACACCTGAGCTGATC</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Revers primer for domain deletions and exchanges (amplification of </w:t>
            </w:r>
            <w:r w:rsidRPr="00F16729">
              <w:rPr>
                <w:rFonts w:eastAsia="Times New Roman" w:cs="Arial"/>
                <w:i/>
                <w:color w:val="000000"/>
                <w:sz w:val="18"/>
                <w:szCs w:val="18"/>
                <w:lang w:eastAsia="de-DE"/>
              </w:rPr>
              <w:t>eibG</w:t>
            </w:r>
            <w:r w:rsidRPr="00526350">
              <w:rPr>
                <w:rFonts w:eastAsia="Times New Roman" w:cs="Arial"/>
                <w:color w:val="000000"/>
                <w:sz w:val="18"/>
                <w:szCs w:val="18"/>
                <w:lang w:eastAsia="de-DE"/>
              </w:rPr>
              <w:t>-plasmid)</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EibG∆NtermF</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Courier New" w:cs="Arial"/>
                <w:color w:val="000000"/>
                <w:sz w:val="17"/>
                <w:szCs w:val="17"/>
                <w:lang w:eastAsia="de-DE"/>
              </w:rPr>
              <w:t>CTCAGGTGTTTTAGCTGTTCAGGCTAGTGCGGCG</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Deletion of N-terminal domain</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EibGBBf</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eastAsia="de-DE"/>
              </w:rPr>
              <w:t>GGTCTTTTCCAGCCGTACAG</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Exchange up to and including the LHCC domain;  </w:t>
            </w:r>
            <w:r w:rsidRPr="00F16729">
              <w:rPr>
                <w:rFonts w:eastAsia="Times New Roman" w:cs="Arial"/>
                <w:i/>
                <w:color w:val="000000"/>
                <w:sz w:val="18"/>
                <w:szCs w:val="18"/>
                <w:lang w:eastAsia="de-DE"/>
              </w:rPr>
              <w:t>eibG</w:t>
            </w:r>
            <w:r w:rsidRPr="00526350">
              <w:rPr>
                <w:rFonts w:eastAsia="Times New Roman" w:cs="Arial"/>
                <w:color w:val="000000"/>
                <w:sz w:val="18"/>
                <w:szCs w:val="18"/>
                <w:lang w:eastAsia="de-DE"/>
              </w:rPr>
              <w:t xml:space="preserve"> template</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EibG∆HeadF</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eastAsia="de-DE"/>
              </w:rPr>
              <w:t>CTCAGGTGTTTTAGCTCGTCAGGTTGACCGTGTAAAA</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Deletion up to and including the neck domain</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EibG∆RHccF</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eastAsia="de-DE"/>
              </w:rPr>
              <w:t>CTCAGGTGTTTTAGCTCGTCAGGTTGACCGTGTAAAA</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Deletion up to and including the saddle domain</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EibG-EibDNtermR</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eastAsia="de-DE"/>
              </w:rPr>
              <w:t>CGCCGCACTAGCCTGAACTTCGACGCTGAAACCTGTAATTTC</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Exchange of N-terminal domain;  </w:t>
            </w:r>
            <w:r w:rsidRPr="00F16729">
              <w:rPr>
                <w:rFonts w:eastAsia="Times New Roman" w:cs="Arial"/>
                <w:i/>
                <w:color w:val="000000"/>
                <w:sz w:val="18"/>
                <w:szCs w:val="18"/>
                <w:lang w:eastAsia="de-DE"/>
              </w:rPr>
              <w:t>eibD</w:t>
            </w:r>
            <w:r w:rsidRPr="00526350">
              <w:rPr>
                <w:rFonts w:eastAsia="Times New Roman" w:cs="Arial"/>
                <w:color w:val="000000"/>
                <w:sz w:val="18"/>
                <w:szCs w:val="18"/>
                <w:lang w:eastAsia="de-DE"/>
              </w:rPr>
              <w:t xml:space="preserve"> template</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EibG-EibDNtermF</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en-GB" w:eastAsia="de-DE"/>
              </w:rPr>
              <w:t>AGCTCAGGTGTTTTAGCTCAGAATGGTACATATTCAGTGTTG</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Forward primer for exchange of domains; </w:t>
            </w:r>
            <w:r w:rsidRPr="00F16729">
              <w:rPr>
                <w:rFonts w:eastAsia="Times New Roman" w:cs="Arial"/>
                <w:i/>
                <w:color w:val="000000"/>
                <w:sz w:val="18"/>
                <w:szCs w:val="18"/>
                <w:lang w:eastAsia="de-DE"/>
              </w:rPr>
              <w:t>eibD</w:t>
            </w:r>
            <w:r w:rsidRPr="00526350">
              <w:rPr>
                <w:rFonts w:eastAsia="Times New Roman" w:cs="Arial"/>
                <w:color w:val="000000"/>
                <w:sz w:val="18"/>
                <w:szCs w:val="18"/>
                <w:lang w:eastAsia="de-DE"/>
              </w:rPr>
              <w:t xml:space="preserve"> template</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EibG-EibDstalkR</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en-GB" w:eastAsia="de-DE"/>
              </w:rPr>
              <w:t>GTACGGCTGGAAAAGACCTGTCAGGGCCGCAGACTG</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Exchange up to and including the LHCC domain;  </w:t>
            </w:r>
            <w:r w:rsidRPr="00F16729">
              <w:rPr>
                <w:rFonts w:eastAsia="Times New Roman" w:cs="Arial"/>
                <w:i/>
                <w:color w:val="000000"/>
                <w:sz w:val="18"/>
                <w:szCs w:val="18"/>
                <w:lang w:eastAsia="de-DE"/>
              </w:rPr>
              <w:t>eibD</w:t>
            </w:r>
            <w:r w:rsidRPr="00526350">
              <w:rPr>
                <w:rFonts w:eastAsia="Times New Roman" w:cs="Arial"/>
                <w:color w:val="000000"/>
                <w:sz w:val="18"/>
                <w:szCs w:val="18"/>
                <w:lang w:eastAsia="de-DE"/>
              </w:rPr>
              <w:t xml:space="preserve"> template</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EibGRHccF</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eastAsia="de-DE"/>
              </w:rPr>
              <w:t>CGTCAGGTTGACCGTGTAAAA</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Exchange up to and including the neck domain;  </w:t>
            </w:r>
            <w:r w:rsidRPr="00F16729">
              <w:rPr>
                <w:rFonts w:eastAsia="Times New Roman" w:cs="Arial"/>
                <w:i/>
                <w:color w:val="000000"/>
                <w:sz w:val="18"/>
                <w:szCs w:val="18"/>
                <w:lang w:eastAsia="de-DE"/>
              </w:rPr>
              <w:t>eibG</w:t>
            </w:r>
            <w:r w:rsidRPr="00526350">
              <w:rPr>
                <w:rFonts w:eastAsia="Times New Roman" w:cs="Arial"/>
                <w:color w:val="000000"/>
                <w:sz w:val="18"/>
                <w:szCs w:val="18"/>
                <w:lang w:eastAsia="de-DE"/>
              </w:rPr>
              <w:t xml:space="preserve"> template</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EibG-EibDneckR</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eastAsia="de-DE"/>
              </w:rPr>
              <w:t>TACACGGTCAACCTGACGAACAGTTGCCGCATCACTGTT</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Exchange up to and including the neck domain;  </w:t>
            </w:r>
            <w:r w:rsidRPr="00F16729">
              <w:rPr>
                <w:rFonts w:eastAsia="Times New Roman" w:cs="Arial"/>
                <w:i/>
                <w:color w:val="000000"/>
                <w:sz w:val="18"/>
                <w:szCs w:val="18"/>
                <w:lang w:eastAsia="de-DE"/>
              </w:rPr>
              <w:t>eibD</w:t>
            </w:r>
            <w:r w:rsidRPr="00526350">
              <w:rPr>
                <w:rFonts w:eastAsia="Times New Roman" w:cs="Arial"/>
                <w:color w:val="000000"/>
                <w:sz w:val="18"/>
                <w:szCs w:val="18"/>
                <w:lang w:eastAsia="de-DE"/>
              </w:rPr>
              <w:t xml:space="preserve"> template</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eastAsia="de-DE"/>
              </w:rPr>
              <w:t>EibGLPBRf</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en-GB" w:eastAsia="de-DE"/>
              </w:rPr>
              <w:t>GTTCAGGCTAGTGCGGCG</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Exchange of N-terminal domain; </w:t>
            </w:r>
            <w:r w:rsidRPr="00F16729">
              <w:rPr>
                <w:rFonts w:eastAsia="Times New Roman" w:cs="Arial"/>
                <w:i/>
                <w:color w:val="000000"/>
                <w:sz w:val="18"/>
                <w:szCs w:val="18"/>
                <w:lang w:eastAsia="de-DE"/>
              </w:rPr>
              <w:t>eibG</w:t>
            </w:r>
            <w:r w:rsidRPr="00526350">
              <w:rPr>
                <w:rFonts w:eastAsia="Times New Roman" w:cs="Arial"/>
                <w:color w:val="000000"/>
                <w:sz w:val="18"/>
                <w:szCs w:val="18"/>
                <w:lang w:eastAsia="de-DE"/>
              </w:rPr>
              <w:t xml:space="preserve"> template</w:t>
            </w:r>
          </w:p>
        </w:tc>
      </w:tr>
      <w:tr w:rsidR="00B34E6F" w:rsidRPr="00526350" w:rsidTr="00006295">
        <w:trPr>
          <w:trHeight w:val="31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en-GB" w:eastAsia="de-DE"/>
              </w:rPr>
              <w:t>EibG∆LPBRf</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eastAsia="de-DE"/>
              </w:rPr>
              <w:t>GAAATATTAAAACAATCGCGTCAGGTTGACCGTGTAAAA</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de-DE" w:eastAsia="de-DE"/>
              </w:rPr>
            </w:pPr>
            <w:r w:rsidRPr="00526350">
              <w:rPr>
                <w:rFonts w:eastAsia="Times New Roman" w:cs="Arial"/>
                <w:color w:val="000000"/>
                <w:sz w:val="18"/>
                <w:szCs w:val="18"/>
                <w:lang w:val="de-DE" w:eastAsia="de-DE"/>
              </w:rPr>
              <w:t>Deletion of LPBR domain</w:t>
            </w:r>
          </w:p>
        </w:tc>
      </w:tr>
      <w:tr w:rsidR="00B34E6F" w:rsidRPr="00526350"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EibGNtermR</w:t>
            </w:r>
          </w:p>
        </w:tc>
        <w:tc>
          <w:tcPr>
            <w:tcW w:w="1953" w:type="pct"/>
            <w:noWrap/>
            <w:vAlign w:val="center"/>
            <w:hideMark/>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eastAsia="de-DE"/>
              </w:rPr>
              <w:t>CGATTGTTTTAATATTTCAGGATTAATAAT</w:t>
            </w:r>
          </w:p>
        </w:tc>
        <w:tc>
          <w:tcPr>
            <w:tcW w:w="2109" w:type="pct"/>
            <w:noWrap/>
            <w:vAlign w:val="center"/>
            <w:hideMark/>
          </w:tcPr>
          <w:p w:rsidR="00B34E6F" w:rsidRPr="00526350"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val="de-DE" w:eastAsia="de-DE"/>
              </w:rPr>
            </w:pPr>
            <w:r w:rsidRPr="00526350">
              <w:rPr>
                <w:rFonts w:eastAsia="Times New Roman" w:cs="Arial"/>
                <w:color w:val="000000"/>
                <w:sz w:val="18"/>
                <w:szCs w:val="18"/>
                <w:lang w:val="de-DE" w:eastAsia="de-DE"/>
              </w:rPr>
              <w:t>Deletion of LPBR domain</w:t>
            </w:r>
          </w:p>
        </w:tc>
      </w:tr>
      <w:tr w:rsidR="00B34E6F" w:rsidRPr="00526350"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hideMark/>
          </w:tcPr>
          <w:p w:rsidR="00B34E6F" w:rsidRPr="00526350" w:rsidRDefault="00B34E6F" w:rsidP="00006295">
            <w:pPr>
              <w:spacing w:line="240" w:lineRule="auto"/>
              <w:jc w:val="left"/>
              <w:rPr>
                <w:rFonts w:eastAsia="Times New Roman" w:cs="Arial"/>
                <w:b w:val="0"/>
                <w:color w:val="000000"/>
                <w:sz w:val="18"/>
                <w:szCs w:val="18"/>
                <w:lang w:val="de-DE" w:eastAsia="de-DE"/>
              </w:rPr>
            </w:pPr>
            <w:r w:rsidRPr="00526350">
              <w:rPr>
                <w:rFonts w:eastAsia="Times New Roman" w:cs="Arial"/>
                <w:b w:val="0"/>
                <w:color w:val="000000"/>
                <w:sz w:val="18"/>
                <w:szCs w:val="18"/>
                <w:lang w:val="de-DE" w:eastAsia="de-DE"/>
              </w:rPr>
              <w:t xml:space="preserve">EibG∆Pass </w:t>
            </w:r>
          </w:p>
        </w:tc>
        <w:tc>
          <w:tcPr>
            <w:tcW w:w="1953" w:type="pct"/>
            <w:noWrap/>
            <w:vAlign w:val="center"/>
            <w:hideMark/>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CTCAGGTGTTTTAGCTCACGAAGAGATGAAGCGTGC</w:t>
            </w:r>
          </w:p>
        </w:tc>
        <w:tc>
          <w:tcPr>
            <w:tcW w:w="2109" w:type="pct"/>
            <w:noWrap/>
            <w:vAlign w:val="center"/>
            <w:hideMark/>
          </w:tcPr>
          <w:p w:rsidR="00B34E6F" w:rsidRPr="00526350"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Deletion of the passenger domain</w:t>
            </w:r>
          </w:p>
        </w:tc>
      </w:tr>
      <w:tr w:rsidR="00B34E6F" w:rsidRPr="00F16729"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tcPr>
          <w:p w:rsidR="00B34E6F" w:rsidRPr="00526350" w:rsidRDefault="00B34E6F" w:rsidP="00006295">
            <w:pPr>
              <w:spacing w:line="240" w:lineRule="auto"/>
              <w:jc w:val="left"/>
              <w:rPr>
                <w:rFonts w:eastAsia="Times New Roman" w:cs="Arial"/>
                <w:b w:val="0"/>
                <w:color w:val="000000"/>
                <w:sz w:val="18"/>
                <w:szCs w:val="18"/>
                <w:lang w:val="de-DE" w:eastAsia="de-DE"/>
              </w:rPr>
            </w:pPr>
            <w:r w:rsidRPr="007E0196">
              <w:rPr>
                <w:rFonts w:eastAsia="Times New Roman" w:cs="Arial"/>
                <w:b w:val="0"/>
                <w:color w:val="000000"/>
                <w:sz w:val="18"/>
                <w:szCs w:val="18"/>
                <w:lang w:val="de-DE" w:eastAsia="de-DE"/>
              </w:rPr>
              <w:t>pBAD-EibDf2</w:t>
            </w:r>
          </w:p>
        </w:tc>
        <w:tc>
          <w:tcPr>
            <w:tcW w:w="1953" w:type="pct"/>
            <w:noWrap/>
            <w:vAlign w:val="center"/>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CAGGAGGAATTAACCATGAAATACCTGCTGCCGACCG</w:t>
            </w:r>
          </w:p>
        </w:tc>
        <w:tc>
          <w:tcPr>
            <w:tcW w:w="2109" w:type="pct"/>
            <w:noWrap/>
            <w:vAlign w:val="center"/>
          </w:tcPr>
          <w:p w:rsidR="00B34E6F" w:rsidRPr="00F16729"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Amplification of </w:t>
            </w:r>
            <w:r w:rsidRPr="00F16729">
              <w:rPr>
                <w:rFonts w:eastAsia="Times New Roman" w:cs="Arial"/>
                <w:i/>
                <w:color w:val="000000"/>
                <w:sz w:val="18"/>
                <w:szCs w:val="18"/>
                <w:lang w:eastAsia="de-DE"/>
              </w:rPr>
              <w:t>eibD</w:t>
            </w:r>
            <w:r w:rsidRPr="00526350">
              <w:rPr>
                <w:rFonts w:eastAsia="Times New Roman" w:cs="Arial"/>
                <w:color w:val="000000"/>
                <w:sz w:val="18"/>
                <w:szCs w:val="18"/>
                <w:lang w:eastAsia="de-DE"/>
              </w:rPr>
              <w:t xml:space="preserve"> </w:t>
            </w:r>
            <w:r>
              <w:rPr>
                <w:rFonts w:eastAsia="Times New Roman" w:cs="Arial"/>
                <w:color w:val="000000"/>
                <w:sz w:val="18"/>
                <w:szCs w:val="18"/>
                <w:lang w:eastAsia="de-DE"/>
              </w:rPr>
              <w:t>for cloning into pBAD</w:t>
            </w:r>
          </w:p>
        </w:tc>
      </w:tr>
      <w:tr w:rsidR="00B34E6F" w:rsidRPr="00F16729"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tcPr>
          <w:p w:rsidR="00B34E6F" w:rsidRPr="007E0196" w:rsidRDefault="00B34E6F" w:rsidP="00006295">
            <w:pPr>
              <w:spacing w:line="240" w:lineRule="auto"/>
              <w:jc w:val="left"/>
              <w:rPr>
                <w:rFonts w:eastAsia="Times New Roman" w:cs="Arial"/>
                <w:b w:val="0"/>
                <w:color w:val="000000"/>
                <w:sz w:val="18"/>
                <w:szCs w:val="18"/>
                <w:lang w:val="de-DE" w:eastAsia="de-DE"/>
              </w:rPr>
            </w:pPr>
            <w:r w:rsidRPr="007E0196">
              <w:rPr>
                <w:rFonts w:eastAsia="Times New Roman" w:cs="Arial"/>
                <w:b w:val="0"/>
                <w:color w:val="000000"/>
                <w:sz w:val="18"/>
                <w:szCs w:val="18"/>
                <w:lang w:val="de-DE" w:eastAsia="de-DE"/>
              </w:rPr>
              <w:t>pBAD-EibDr2</w:t>
            </w:r>
          </w:p>
        </w:tc>
        <w:tc>
          <w:tcPr>
            <w:tcW w:w="1953" w:type="pct"/>
            <w:noWrap/>
            <w:vAlign w:val="center"/>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GCCAAAACAGCCAAGCTTTTAAAACTCGAAGTTCACACCAACG</w:t>
            </w:r>
          </w:p>
        </w:tc>
        <w:tc>
          <w:tcPr>
            <w:tcW w:w="2109" w:type="pct"/>
            <w:noWrap/>
            <w:vAlign w:val="center"/>
          </w:tcPr>
          <w:p w:rsidR="00B34E6F" w:rsidRPr="00F16729"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sidRPr="00526350">
              <w:rPr>
                <w:rFonts w:eastAsia="Times New Roman" w:cs="Arial"/>
                <w:color w:val="000000"/>
                <w:sz w:val="18"/>
                <w:szCs w:val="18"/>
                <w:lang w:eastAsia="de-DE"/>
              </w:rPr>
              <w:t xml:space="preserve">Amplification of </w:t>
            </w:r>
            <w:r w:rsidRPr="00F16729">
              <w:rPr>
                <w:rFonts w:eastAsia="Times New Roman" w:cs="Arial"/>
                <w:i/>
                <w:color w:val="000000"/>
                <w:sz w:val="18"/>
                <w:szCs w:val="18"/>
                <w:lang w:eastAsia="de-DE"/>
              </w:rPr>
              <w:t>eibD</w:t>
            </w:r>
            <w:r w:rsidRPr="00526350">
              <w:rPr>
                <w:rFonts w:eastAsia="Times New Roman" w:cs="Arial"/>
                <w:color w:val="000000"/>
                <w:sz w:val="18"/>
                <w:szCs w:val="18"/>
                <w:lang w:eastAsia="de-DE"/>
              </w:rPr>
              <w:t xml:space="preserve"> </w:t>
            </w:r>
            <w:r>
              <w:rPr>
                <w:rFonts w:eastAsia="Times New Roman" w:cs="Arial"/>
                <w:color w:val="000000"/>
                <w:sz w:val="18"/>
                <w:szCs w:val="18"/>
                <w:lang w:eastAsia="de-DE"/>
              </w:rPr>
              <w:t>for cloning into pBAD</w:t>
            </w:r>
          </w:p>
        </w:tc>
      </w:tr>
      <w:tr w:rsidR="00B34E6F" w:rsidRPr="00F16729"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tcPr>
          <w:p w:rsidR="00B34E6F" w:rsidRPr="007E0196" w:rsidRDefault="00B34E6F" w:rsidP="00006295">
            <w:pPr>
              <w:spacing w:line="240" w:lineRule="auto"/>
              <w:jc w:val="left"/>
              <w:rPr>
                <w:rFonts w:eastAsia="Times New Roman" w:cs="Arial"/>
                <w:b w:val="0"/>
                <w:color w:val="000000"/>
                <w:sz w:val="18"/>
                <w:szCs w:val="18"/>
                <w:lang w:val="de-DE" w:eastAsia="de-DE"/>
              </w:rPr>
            </w:pPr>
            <w:r w:rsidRPr="007E0196">
              <w:rPr>
                <w:rFonts w:eastAsia="Times New Roman" w:cs="Arial"/>
                <w:b w:val="0"/>
                <w:color w:val="000000"/>
                <w:sz w:val="18"/>
                <w:szCs w:val="18"/>
                <w:lang w:val="de-DE" w:eastAsia="de-DE"/>
              </w:rPr>
              <w:t>pBAD-EibGf</w:t>
            </w:r>
          </w:p>
        </w:tc>
        <w:tc>
          <w:tcPr>
            <w:tcW w:w="1953" w:type="pct"/>
            <w:noWrap/>
            <w:vAlign w:val="center"/>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CAGGAGGAATTAACCATGAGTAAAAAGTTTACAATGACACTT</w:t>
            </w:r>
          </w:p>
        </w:tc>
        <w:tc>
          <w:tcPr>
            <w:tcW w:w="2109" w:type="pct"/>
            <w:noWrap/>
            <w:vAlign w:val="center"/>
          </w:tcPr>
          <w:p w:rsidR="00B34E6F" w:rsidRPr="00F16729"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Pr>
                <w:rFonts w:eastAsia="Times New Roman" w:cs="Arial"/>
                <w:color w:val="000000"/>
                <w:sz w:val="18"/>
                <w:szCs w:val="18"/>
                <w:lang w:eastAsia="de-DE"/>
              </w:rPr>
              <w:t xml:space="preserve">Amplification of </w:t>
            </w:r>
            <w:r w:rsidRPr="00F16729">
              <w:rPr>
                <w:rFonts w:eastAsia="Times New Roman" w:cs="Arial"/>
                <w:i/>
                <w:color w:val="000000"/>
                <w:sz w:val="18"/>
                <w:szCs w:val="18"/>
                <w:lang w:eastAsia="de-DE"/>
              </w:rPr>
              <w:t>eibG</w:t>
            </w:r>
            <w:r w:rsidRPr="00526350">
              <w:rPr>
                <w:rFonts w:eastAsia="Times New Roman" w:cs="Arial"/>
                <w:color w:val="000000"/>
                <w:sz w:val="18"/>
                <w:szCs w:val="18"/>
                <w:lang w:eastAsia="de-DE"/>
              </w:rPr>
              <w:t xml:space="preserve"> </w:t>
            </w:r>
            <w:r>
              <w:rPr>
                <w:rFonts w:eastAsia="Times New Roman" w:cs="Arial"/>
                <w:color w:val="000000"/>
                <w:sz w:val="18"/>
                <w:szCs w:val="18"/>
                <w:lang w:eastAsia="de-DE"/>
              </w:rPr>
              <w:t>for cloning into pBAD</w:t>
            </w:r>
          </w:p>
        </w:tc>
      </w:tr>
      <w:tr w:rsidR="00B34E6F" w:rsidRPr="00F16729"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tcPr>
          <w:p w:rsidR="00B34E6F" w:rsidRPr="007E0196" w:rsidRDefault="00B34E6F" w:rsidP="00006295">
            <w:pPr>
              <w:spacing w:line="240" w:lineRule="auto"/>
              <w:jc w:val="left"/>
              <w:rPr>
                <w:rFonts w:eastAsia="Times New Roman" w:cs="Arial"/>
                <w:b w:val="0"/>
                <w:color w:val="000000"/>
                <w:sz w:val="18"/>
                <w:szCs w:val="18"/>
                <w:lang w:val="de-DE" w:eastAsia="de-DE"/>
              </w:rPr>
            </w:pPr>
            <w:r w:rsidRPr="007E0196">
              <w:rPr>
                <w:rFonts w:eastAsia="Times New Roman" w:cs="Arial"/>
                <w:b w:val="0"/>
                <w:color w:val="000000"/>
                <w:sz w:val="18"/>
                <w:szCs w:val="18"/>
                <w:lang w:val="de-DE" w:eastAsia="de-DE"/>
              </w:rPr>
              <w:t>pBAD-EibGr</w:t>
            </w:r>
          </w:p>
        </w:tc>
        <w:tc>
          <w:tcPr>
            <w:tcW w:w="1953" w:type="pct"/>
            <w:noWrap/>
            <w:vAlign w:val="center"/>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GCCAAAACAGCCAAGCTTTTAAAACTCGAAGTTAACGCCCAT</w:t>
            </w:r>
          </w:p>
        </w:tc>
        <w:tc>
          <w:tcPr>
            <w:tcW w:w="2109" w:type="pct"/>
            <w:noWrap/>
            <w:vAlign w:val="center"/>
          </w:tcPr>
          <w:p w:rsidR="00B34E6F" w:rsidRPr="00F16729"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Pr>
                <w:rFonts w:eastAsia="Times New Roman" w:cs="Arial"/>
                <w:color w:val="000000"/>
                <w:sz w:val="18"/>
                <w:szCs w:val="18"/>
                <w:lang w:eastAsia="de-DE"/>
              </w:rPr>
              <w:t xml:space="preserve">Amplification of </w:t>
            </w:r>
            <w:r w:rsidRPr="00F16729">
              <w:rPr>
                <w:rFonts w:eastAsia="Times New Roman" w:cs="Arial"/>
                <w:i/>
                <w:color w:val="000000"/>
                <w:sz w:val="18"/>
                <w:szCs w:val="18"/>
                <w:lang w:eastAsia="de-DE"/>
              </w:rPr>
              <w:t>eibG</w:t>
            </w:r>
            <w:r w:rsidRPr="00526350">
              <w:rPr>
                <w:rFonts w:eastAsia="Times New Roman" w:cs="Arial"/>
                <w:color w:val="000000"/>
                <w:sz w:val="18"/>
                <w:szCs w:val="18"/>
                <w:lang w:eastAsia="de-DE"/>
              </w:rPr>
              <w:t xml:space="preserve"> </w:t>
            </w:r>
            <w:r>
              <w:rPr>
                <w:rFonts w:eastAsia="Times New Roman" w:cs="Arial"/>
                <w:color w:val="000000"/>
                <w:sz w:val="18"/>
                <w:szCs w:val="18"/>
                <w:lang w:eastAsia="de-DE"/>
              </w:rPr>
              <w:t>for cloning into pBAD</w:t>
            </w:r>
          </w:p>
        </w:tc>
      </w:tr>
      <w:tr w:rsidR="00B34E6F" w:rsidRPr="00F16729"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tcPr>
          <w:p w:rsidR="00B34E6F" w:rsidRPr="007E0196" w:rsidRDefault="00B34E6F" w:rsidP="00006295">
            <w:pPr>
              <w:spacing w:line="240" w:lineRule="auto"/>
              <w:jc w:val="left"/>
              <w:rPr>
                <w:rFonts w:eastAsia="Times New Roman" w:cs="Arial"/>
                <w:b w:val="0"/>
                <w:color w:val="000000"/>
                <w:sz w:val="18"/>
                <w:szCs w:val="18"/>
                <w:lang w:val="de-DE" w:eastAsia="de-DE"/>
              </w:rPr>
            </w:pPr>
            <w:r w:rsidRPr="007E0196">
              <w:rPr>
                <w:rFonts w:eastAsia="Times New Roman" w:cs="Arial"/>
                <w:b w:val="0"/>
                <w:color w:val="000000"/>
                <w:sz w:val="18"/>
                <w:szCs w:val="18"/>
                <w:lang w:val="de-DE" w:eastAsia="de-DE"/>
              </w:rPr>
              <w:t>pBADRecF</w:t>
            </w:r>
          </w:p>
        </w:tc>
        <w:tc>
          <w:tcPr>
            <w:tcW w:w="1953" w:type="pct"/>
            <w:noWrap/>
            <w:vAlign w:val="center"/>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AAGCTTGGCTGTTTTGGCGGA</w:t>
            </w:r>
          </w:p>
        </w:tc>
        <w:tc>
          <w:tcPr>
            <w:tcW w:w="2109" w:type="pct"/>
            <w:noWrap/>
            <w:vAlign w:val="center"/>
          </w:tcPr>
          <w:p w:rsidR="00B34E6F" w:rsidRPr="00F16729"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sidRPr="00F16729">
              <w:rPr>
                <w:rFonts w:eastAsia="Times New Roman" w:cs="Arial"/>
                <w:color w:val="000000"/>
                <w:sz w:val="18"/>
                <w:szCs w:val="18"/>
                <w:lang w:eastAsia="de-DE"/>
              </w:rPr>
              <w:t xml:space="preserve">Amplification of pBAD for cloning </w:t>
            </w:r>
            <w:r w:rsidRPr="00F16729">
              <w:rPr>
                <w:rFonts w:eastAsia="Times New Roman" w:cs="Arial"/>
                <w:i/>
                <w:color w:val="000000"/>
                <w:sz w:val="18"/>
                <w:szCs w:val="18"/>
                <w:lang w:eastAsia="de-DE"/>
              </w:rPr>
              <w:t>eib</w:t>
            </w:r>
            <w:r w:rsidRPr="00F16729">
              <w:rPr>
                <w:rFonts w:eastAsia="Times New Roman" w:cs="Arial"/>
                <w:color w:val="000000"/>
                <w:sz w:val="18"/>
                <w:szCs w:val="18"/>
                <w:lang w:eastAsia="de-DE"/>
              </w:rPr>
              <w:t>s</w:t>
            </w:r>
          </w:p>
        </w:tc>
      </w:tr>
      <w:tr w:rsidR="00B34E6F" w:rsidRPr="00F16729"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vAlign w:val="center"/>
          </w:tcPr>
          <w:p w:rsidR="00B34E6F" w:rsidRPr="007E0196" w:rsidRDefault="00B34E6F" w:rsidP="00006295">
            <w:pPr>
              <w:spacing w:line="240" w:lineRule="auto"/>
              <w:jc w:val="left"/>
              <w:rPr>
                <w:rFonts w:eastAsia="Times New Roman" w:cs="Arial"/>
                <w:b w:val="0"/>
                <w:color w:val="000000"/>
                <w:sz w:val="18"/>
                <w:szCs w:val="18"/>
                <w:lang w:val="de-DE" w:eastAsia="de-DE"/>
              </w:rPr>
            </w:pPr>
            <w:r w:rsidRPr="007E0196">
              <w:rPr>
                <w:rFonts w:eastAsia="Times New Roman" w:cs="Arial"/>
                <w:b w:val="0"/>
                <w:color w:val="000000"/>
                <w:sz w:val="18"/>
                <w:szCs w:val="18"/>
                <w:lang w:val="de-DE" w:eastAsia="de-DE"/>
              </w:rPr>
              <w:t>pBADRecR</w:t>
            </w:r>
          </w:p>
        </w:tc>
        <w:tc>
          <w:tcPr>
            <w:tcW w:w="1953" w:type="pct"/>
            <w:noWrap/>
            <w:vAlign w:val="center"/>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CATGGTTAATTCCTCCTGTTAGC</w:t>
            </w:r>
          </w:p>
        </w:tc>
        <w:tc>
          <w:tcPr>
            <w:tcW w:w="2109" w:type="pct"/>
            <w:noWrap/>
            <w:vAlign w:val="center"/>
          </w:tcPr>
          <w:p w:rsidR="00B34E6F" w:rsidRPr="00F16729"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sidRPr="00F16729">
              <w:rPr>
                <w:rFonts w:eastAsia="Times New Roman" w:cs="Arial"/>
                <w:color w:val="000000"/>
                <w:sz w:val="18"/>
                <w:szCs w:val="18"/>
                <w:lang w:eastAsia="de-DE"/>
              </w:rPr>
              <w:t xml:space="preserve">Amplification of pBAD for cloning </w:t>
            </w:r>
            <w:r w:rsidRPr="00F16729">
              <w:rPr>
                <w:rFonts w:eastAsia="Times New Roman" w:cs="Arial"/>
                <w:i/>
                <w:color w:val="000000"/>
                <w:sz w:val="18"/>
                <w:szCs w:val="18"/>
                <w:lang w:eastAsia="de-DE"/>
              </w:rPr>
              <w:t>eib</w:t>
            </w:r>
            <w:r w:rsidRPr="00F16729">
              <w:rPr>
                <w:rFonts w:eastAsia="Times New Roman" w:cs="Arial"/>
                <w:color w:val="000000"/>
                <w:sz w:val="18"/>
                <w:szCs w:val="18"/>
                <w:lang w:eastAsia="de-DE"/>
              </w:rPr>
              <w:t>s</w:t>
            </w:r>
          </w:p>
        </w:tc>
      </w:tr>
      <w:tr w:rsidR="00B34E6F" w:rsidRPr="00F16729"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tcPr>
          <w:p w:rsidR="00B34E6F" w:rsidRPr="007E0196" w:rsidRDefault="00B34E6F" w:rsidP="00006295">
            <w:pPr>
              <w:spacing w:line="240" w:lineRule="auto"/>
              <w:jc w:val="left"/>
              <w:rPr>
                <w:rFonts w:eastAsia="Times New Roman" w:cs="Arial"/>
                <w:b w:val="0"/>
                <w:color w:val="000000"/>
                <w:sz w:val="18"/>
                <w:szCs w:val="18"/>
                <w:lang w:val="de-DE" w:eastAsia="de-DE"/>
              </w:rPr>
            </w:pPr>
            <w:r w:rsidRPr="00D971A7">
              <w:rPr>
                <w:rFonts w:eastAsia="Times New Roman" w:cs="Arial"/>
                <w:b w:val="0"/>
                <w:color w:val="000000"/>
                <w:sz w:val="18"/>
                <w:szCs w:val="18"/>
                <w:lang w:val="de-DE" w:eastAsia="de-DE"/>
              </w:rPr>
              <w:t>SpyTag-EibGf</w:t>
            </w:r>
          </w:p>
        </w:tc>
        <w:tc>
          <w:tcPr>
            <w:tcW w:w="1953" w:type="pct"/>
            <w:noWrap/>
            <w:vAlign w:val="center"/>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ATGGTGGATGCATATAAACCGACCAAACAGGAGTTACCTCCTATCAAAG</w:t>
            </w:r>
          </w:p>
        </w:tc>
        <w:tc>
          <w:tcPr>
            <w:tcW w:w="2109" w:type="pct"/>
            <w:noWrap/>
            <w:vAlign w:val="center"/>
          </w:tcPr>
          <w:p w:rsidR="00B34E6F" w:rsidRPr="00F16729"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Pr>
                <w:rFonts w:eastAsia="Times New Roman" w:cs="Arial"/>
                <w:color w:val="000000"/>
                <w:sz w:val="18"/>
                <w:szCs w:val="18"/>
                <w:lang w:eastAsia="de-DE"/>
              </w:rPr>
              <w:t>Insertion of SpyTag</w:t>
            </w:r>
          </w:p>
        </w:tc>
      </w:tr>
      <w:tr w:rsidR="00B34E6F" w:rsidRPr="00F16729"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tcPr>
          <w:p w:rsidR="00B34E6F" w:rsidRPr="007E0196" w:rsidRDefault="00B34E6F" w:rsidP="00006295">
            <w:pPr>
              <w:spacing w:line="240" w:lineRule="auto"/>
              <w:jc w:val="left"/>
              <w:rPr>
                <w:rFonts w:eastAsia="Times New Roman" w:cs="Arial"/>
                <w:b w:val="0"/>
                <w:color w:val="000000"/>
                <w:sz w:val="18"/>
                <w:szCs w:val="18"/>
                <w:lang w:val="de-DE" w:eastAsia="de-DE"/>
              </w:rPr>
            </w:pPr>
            <w:r w:rsidRPr="00D971A7">
              <w:rPr>
                <w:rFonts w:eastAsia="Times New Roman" w:cs="Arial"/>
                <w:b w:val="0"/>
                <w:color w:val="000000"/>
                <w:sz w:val="18"/>
                <w:szCs w:val="18"/>
                <w:lang w:val="de-DE" w:eastAsia="de-DE"/>
              </w:rPr>
              <w:t>SpyTag-EibGr</w:t>
            </w:r>
          </w:p>
        </w:tc>
        <w:tc>
          <w:tcPr>
            <w:tcW w:w="1953" w:type="pct"/>
            <w:noWrap/>
            <w:vAlign w:val="center"/>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ATATGCATCCACCATAACAATATGGGCAGCTAAAACACCTGAGCTGATC</w:t>
            </w:r>
          </w:p>
        </w:tc>
        <w:tc>
          <w:tcPr>
            <w:tcW w:w="2109" w:type="pct"/>
            <w:noWrap/>
            <w:vAlign w:val="center"/>
          </w:tcPr>
          <w:p w:rsidR="00B34E6F" w:rsidRPr="00F16729"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Pr>
                <w:rFonts w:eastAsia="Times New Roman" w:cs="Arial"/>
                <w:color w:val="000000"/>
                <w:sz w:val="18"/>
                <w:szCs w:val="18"/>
                <w:lang w:eastAsia="de-DE"/>
              </w:rPr>
              <w:t>Insertion of SpyTag</w:t>
            </w:r>
          </w:p>
        </w:tc>
      </w:tr>
      <w:tr w:rsidR="00B34E6F" w:rsidRPr="00F16729" w:rsidTr="0000629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38" w:type="pct"/>
            <w:noWrap/>
          </w:tcPr>
          <w:p w:rsidR="00B34E6F" w:rsidRPr="007E0196" w:rsidRDefault="00B34E6F" w:rsidP="00006295">
            <w:pPr>
              <w:spacing w:line="240" w:lineRule="auto"/>
              <w:jc w:val="left"/>
              <w:rPr>
                <w:rFonts w:eastAsia="Times New Roman" w:cs="Arial"/>
                <w:b w:val="0"/>
                <w:color w:val="000000"/>
                <w:sz w:val="18"/>
                <w:szCs w:val="18"/>
                <w:lang w:val="de-DE" w:eastAsia="de-DE"/>
              </w:rPr>
            </w:pPr>
            <w:r w:rsidRPr="00D971A7">
              <w:rPr>
                <w:rFonts w:eastAsia="Times New Roman" w:cs="Arial"/>
                <w:b w:val="0"/>
                <w:color w:val="000000"/>
                <w:sz w:val="18"/>
                <w:szCs w:val="18"/>
                <w:lang w:val="de-DE" w:eastAsia="de-DE"/>
              </w:rPr>
              <w:t>SpyTag-EibDf</w:t>
            </w:r>
          </w:p>
        </w:tc>
        <w:tc>
          <w:tcPr>
            <w:tcW w:w="1953" w:type="pct"/>
            <w:noWrap/>
            <w:vAlign w:val="center"/>
          </w:tcPr>
          <w:p w:rsidR="00B34E6F" w:rsidRPr="00D971A7"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7"/>
                <w:szCs w:val="17"/>
                <w:lang w:val="de-DE" w:eastAsia="de-DE"/>
              </w:rPr>
            </w:pPr>
            <w:r w:rsidRPr="00D971A7">
              <w:rPr>
                <w:rFonts w:eastAsia="Times New Roman" w:cs="Arial"/>
                <w:color w:val="000000"/>
                <w:sz w:val="17"/>
                <w:szCs w:val="17"/>
                <w:lang w:val="de-DE" w:eastAsia="de-DE"/>
              </w:rPr>
              <w:t>ATGGTGGATGCATATAAACCGACCAAACAGAATGGTACATATTCAGTGTTG</w:t>
            </w:r>
          </w:p>
        </w:tc>
        <w:tc>
          <w:tcPr>
            <w:tcW w:w="2109" w:type="pct"/>
            <w:noWrap/>
            <w:vAlign w:val="center"/>
          </w:tcPr>
          <w:p w:rsidR="00B34E6F" w:rsidRPr="00F16729" w:rsidRDefault="00B34E6F" w:rsidP="00006295">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de-DE"/>
              </w:rPr>
            </w:pPr>
            <w:r>
              <w:rPr>
                <w:rFonts w:eastAsia="Times New Roman" w:cs="Arial"/>
                <w:color w:val="000000"/>
                <w:sz w:val="18"/>
                <w:szCs w:val="18"/>
                <w:lang w:eastAsia="de-DE"/>
              </w:rPr>
              <w:t>Insertion of SpyTag</w:t>
            </w:r>
          </w:p>
        </w:tc>
      </w:tr>
      <w:tr w:rsidR="00B34E6F" w:rsidRPr="00F16729" w:rsidTr="00006295">
        <w:trPr>
          <w:trHeight w:val="280"/>
        </w:trPr>
        <w:tc>
          <w:tcPr>
            <w:cnfStyle w:val="001000000000" w:firstRow="0" w:lastRow="0" w:firstColumn="1" w:lastColumn="0" w:oddVBand="0" w:evenVBand="0" w:oddHBand="0" w:evenHBand="0" w:firstRowFirstColumn="0" w:firstRowLastColumn="0" w:lastRowFirstColumn="0" w:lastRowLastColumn="0"/>
            <w:tcW w:w="938" w:type="pct"/>
            <w:noWrap/>
          </w:tcPr>
          <w:p w:rsidR="00B34E6F" w:rsidRPr="007E0196" w:rsidRDefault="00B34E6F" w:rsidP="00006295">
            <w:pPr>
              <w:spacing w:line="240" w:lineRule="auto"/>
              <w:jc w:val="left"/>
              <w:rPr>
                <w:rFonts w:eastAsia="Times New Roman" w:cs="Arial"/>
                <w:b w:val="0"/>
                <w:color w:val="000000"/>
                <w:sz w:val="18"/>
                <w:szCs w:val="18"/>
                <w:lang w:val="de-DE" w:eastAsia="de-DE"/>
              </w:rPr>
            </w:pPr>
            <w:r w:rsidRPr="00D971A7">
              <w:rPr>
                <w:rFonts w:eastAsia="Times New Roman" w:cs="Arial"/>
                <w:b w:val="0"/>
                <w:color w:val="000000"/>
                <w:sz w:val="18"/>
                <w:szCs w:val="18"/>
                <w:lang w:val="de-DE" w:eastAsia="de-DE"/>
              </w:rPr>
              <w:t>SpyTag-EibDr</w:t>
            </w:r>
          </w:p>
        </w:tc>
        <w:tc>
          <w:tcPr>
            <w:tcW w:w="1953" w:type="pct"/>
            <w:noWrap/>
            <w:vAlign w:val="center"/>
          </w:tcPr>
          <w:p w:rsidR="00B34E6F" w:rsidRPr="00D971A7"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7"/>
                <w:szCs w:val="17"/>
                <w:lang w:eastAsia="de-DE"/>
              </w:rPr>
            </w:pPr>
            <w:r w:rsidRPr="00D971A7">
              <w:rPr>
                <w:rFonts w:eastAsia="Times New Roman" w:cs="Arial"/>
                <w:color w:val="000000"/>
                <w:sz w:val="17"/>
                <w:szCs w:val="17"/>
                <w:lang w:eastAsia="de-DE"/>
              </w:rPr>
              <w:t>ATATGCATCCACCATAACAATATGGGCCGCACTCACTCCACCACT</w:t>
            </w:r>
          </w:p>
        </w:tc>
        <w:tc>
          <w:tcPr>
            <w:tcW w:w="2109" w:type="pct"/>
            <w:noWrap/>
            <w:vAlign w:val="center"/>
          </w:tcPr>
          <w:p w:rsidR="00B34E6F" w:rsidRPr="00F16729" w:rsidRDefault="00B34E6F" w:rsidP="0000629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de-DE"/>
              </w:rPr>
            </w:pPr>
            <w:r>
              <w:rPr>
                <w:rFonts w:eastAsia="Times New Roman" w:cs="Arial"/>
                <w:color w:val="000000"/>
                <w:sz w:val="18"/>
                <w:szCs w:val="18"/>
                <w:lang w:eastAsia="de-DE"/>
              </w:rPr>
              <w:t>Insertion of SpyTag</w:t>
            </w:r>
          </w:p>
        </w:tc>
      </w:tr>
    </w:tbl>
    <w:p w:rsidR="00B34E6F" w:rsidRPr="005B1368" w:rsidRDefault="00B34E6F" w:rsidP="00B34E6F">
      <w:pPr>
        <w:suppressLineNumbers/>
      </w:pPr>
    </w:p>
    <w:p w:rsidR="00B34E6F" w:rsidRDefault="00B34E6F" w:rsidP="00B34E6F">
      <w:pPr>
        <w:pStyle w:val="berschrift3"/>
        <w:numPr>
          <w:ilvl w:val="0"/>
          <w:numId w:val="1"/>
        </w:numPr>
      </w:pPr>
      <w:r>
        <w:t>Supplementary figures</w:t>
      </w:r>
    </w:p>
    <w:p w:rsidR="00B34E6F" w:rsidRDefault="00B34E6F" w:rsidP="00B34E6F">
      <w:pPr>
        <w:keepNext/>
      </w:pPr>
      <w:r>
        <w:rPr>
          <w:noProof/>
        </w:rPr>
        <w:drawing>
          <wp:inline distT="0" distB="0" distL="0" distR="0" wp14:anchorId="2D0D5497" wp14:editId="7372FBD8">
            <wp:extent cx="5614427" cy="1411227"/>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verexpression.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4427" cy="1411227"/>
                    </a:xfrm>
                    <a:prstGeom prst="rect">
                      <a:avLst/>
                    </a:prstGeom>
                  </pic:spPr>
                </pic:pic>
              </a:graphicData>
            </a:graphic>
          </wp:inline>
        </w:drawing>
      </w:r>
    </w:p>
    <w:p w:rsidR="00B34E6F" w:rsidRPr="00E812D3" w:rsidRDefault="00B34E6F" w:rsidP="00B34E6F">
      <w:pPr>
        <w:pStyle w:val="Beschriftung"/>
        <w:rPr>
          <w:lang w:val="en-US"/>
        </w:rPr>
      </w:pPr>
      <w:r w:rsidRPr="00E812D3">
        <w:rPr>
          <w:lang w:val="en-US"/>
        </w:rPr>
        <w:t xml:space="preserve">Supplementary figure </w:t>
      </w:r>
      <w:r w:rsidRPr="00E742B9">
        <w:fldChar w:fldCharType="begin"/>
      </w:r>
      <w:r w:rsidRPr="00E812D3">
        <w:rPr>
          <w:lang w:val="en-US"/>
        </w:rPr>
        <w:instrText xml:space="preserve"> SEQ Supplementary_figure \* ARABIC </w:instrText>
      </w:r>
      <w:r w:rsidRPr="00E742B9">
        <w:fldChar w:fldCharType="separate"/>
      </w:r>
      <w:r>
        <w:rPr>
          <w:noProof/>
          <w:lang w:val="en-US"/>
        </w:rPr>
        <w:t>1</w:t>
      </w:r>
      <w:r w:rsidRPr="00E742B9">
        <w:fldChar w:fldCharType="end"/>
      </w:r>
      <w:r w:rsidRPr="00E812D3">
        <w:rPr>
          <w:lang w:val="en-US"/>
        </w:rPr>
        <w:t xml:space="preserve">: </w:t>
      </w:r>
      <w:r w:rsidRPr="00E812D3">
        <w:rPr>
          <w:b/>
          <w:lang w:val="en-US"/>
        </w:rPr>
        <w:t xml:space="preserve">Bright field microcopy </w:t>
      </w:r>
      <w:r>
        <w:rPr>
          <w:b/>
          <w:lang w:val="en-US"/>
        </w:rPr>
        <w:t xml:space="preserve">and quantification </w:t>
      </w:r>
      <w:r w:rsidR="00437016">
        <w:rPr>
          <w:b/>
          <w:lang w:val="en-US"/>
        </w:rPr>
        <w:t>of clump formation.</w:t>
      </w:r>
      <w:r w:rsidRPr="00E812D3">
        <w:rPr>
          <w:lang w:val="en-US"/>
        </w:rPr>
        <w:t xml:space="preserve"> </w:t>
      </w:r>
      <w:r>
        <w:rPr>
          <w:lang w:val="en-US"/>
        </w:rPr>
        <w:t>(</w:t>
      </w:r>
      <w:r>
        <w:rPr>
          <w:b/>
          <w:lang w:val="en-US"/>
        </w:rPr>
        <w:t>a</w:t>
      </w:r>
      <w:r>
        <w:rPr>
          <w:lang w:val="en-US"/>
        </w:rPr>
        <w:t xml:space="preserve">) </w:t>
      </w:r>
      <w:r w:rsidRPr="00380B6B">
        <w:rPr>
          <w:lang w:val="en-US"/>
        </w:rPr>
        <w:t>Bacteria</w:t>
      </w:r>
      <w:r w:rsidRPr="00E812D3">
        <w:rPr>
          <w:lang w:val="en-US"/>
        </w:rPr>
        <w:t xml:space="preserve"> were cultivated in </w:t>
      </w:r>
      <w:r>
        <w:rPr>
          <w:lang w:val="en-US"/>
        </w:rPr>
        <w:t>ZYP</w:t>
      </w:r>
      <w:r w:rsidRPr="00E812D3">
        <w:rPr>
          <w:lang w:val="en-US"/>
        </w:rPr>
        <w:t xml:space="preserve"> medium</w:t>
      </w:r>
      <w:r>
        <w:rPr>
          <w:lang w:val="en-US"/>
        </w:rPr>
        <w:fldChar w:fldCharType="begin" w:fldLock="1"/>
      </w:r>
      <w:r>
        <w:rPr>
          <w:lang w:val="en-US"/>
        </w:rPr>
        <w:instrText>ADDIN CSL_CITATION {"citationItems":[{"id":"ITEM-1","itemData":{"DOI":"10.1016/j.pep.2005.01.016","ISSN":"10465928","PMID":"15915565","abstract":"Inducible expression systems in which T7 RNA polymerase transcribes coding sequences cloned under control of a T7lac promoter efficiently produce a wide variety of proteins in Escherichia coli. Investigation of factors that affect stability, growth, and induction of T7 expression strains in shaking vessels led to the recognition that sporadic, unintended induction of expression in complex media, previously reported by others, is almost certainly caused by small amounts of lactose. Glucose prevents induction by lactose by well-studied mechanisms. Amino acids also inhibit induction by lactose during log-phase growth, and high rates of aeration inhibit induction at low lactose concentrations. These observations, and metabolic balancing of pH, allowed development of reliable non-inducing and auto-inducing media in which batch cultures grow to high densities. Expression strains grown to saturation in non-inducing media retain plasmid and remain fully viable for weeks in the refrigerator, making it easy to prepare many freezer stocks in parallel and use working stocks for an extended period. Auto-induction allows efficient screening of many clones in parallel for expression and solubility, as cultures have only to be inoculated and grown to saturation, and yields of target protein are typically several-fold higher than obtained by conventional IPTG induction. Auto-inducing media have been developed for labeling proteins with selenomethionine, 15N or 13C, and for production of target proteins by arabinose induction of T7 RNA polymerase from the pBAD promoter in BL21-AI. Selenomethionine labeling was equally efficient in the commonly used methionine auxotroph B834(DE3) (found to be metE) or the prototroph BL21(DE3).","author":[{"dropping-particle":"","family":"Studier","given":"F. William","non-dropping-particle":"","parse-names":false,"suffix":""}],"container-title":"Protein expression and purification","id":"ITEM-1","issued":{"date-parts":[["2005"]]},"page":"207-234","title":"Protein production by auto-induction in high density shaking cultures","type":"article-journal","volume":"41"},"uris":["http://www.mendeley.com/documents/?uuid=d9c7518c-7b0d-4f94-9c00-53bfd4d17ada"]}],"mendeley":{"formattedCitation":"&lt;sup&gt;58&lt;/sup&gt;","plainTextFormattedCitation":"58","previouslyFormattedCitation":"&lt;sup&gt;58&lt;/sup&gt;"},"properties":{"noteIndex":0},"schema":"https://github.com/citation-style-language/schema/raw/master/csl-citation.json"}</w:instrText>
      </w:r>
      <w:r>
        <w:rPr>
          <w:lang w:val="en-US"/>
        </w:rPr>
        <w:fldChar w:fldCharType="separate"/>
      </w:r>
      <w:r w:rsidRPr="00794A35">
        <w:rPr>
          <w:noProof/>
          <w:vertAlign w:val="superscript"/>
          <w:lang w:val="en-US"/>
        </w:rPr>
        <w:t>58</w:t>
      </w:r>
      <w:r>
        <w:rPr>
          <w:lang w:val="en-US"/>
        </w:rPr>
        <w:fldChar w:fldCharType="end"/>
      </w:r>
      <w:r w:rsidRPr="00E812D3">
        <w:rPr>
          <w:lang w:val="en-US"/>
        </w:rPr>
        <w:t xml:space="preserve"> containing </w:t>
      </w:r>
      <w:r w:rsidRPr="00E812D3">
        <w:rPr>
          <w:smallCaps/>
          <w:lang w:val="en-US"/>
        </w:rPr>
        <w:t>l</w:t>
      </w:r>
      <w:r>
        <w:rPr>
          <w:lang w:val="en-US"/>
        </w:rPr>
        <w:noBreakHyphen/>
      </w:r>
      <w:r w:rsidRPr="00E812D3">
        <w:rPr>
          <w:lang w:val="en-US"/>
        </w:rPr>
        <w:t>arabinose for induction of EibD or EibG expression respectively and afterwards assed for auto-aggregation by bright field microcopy. The scale bar in the</w:t>
      </w:r>
      <w:r>
        <w:rPr>
          <w:lang w:val="en-US"/>
        </w:rPr>
        <w:t xml:space="preserve"> bottom right corner indicates 10</w:t>
      </w:r>
      <w:r w:rsidRPr="00E812D3">
        <w:rPr>
          <w:lang w:val="en-US"/>
        </w:rPr>
        <w:t xml:space="preserve"> µm. </w:t>
      </w:r>
      <w:r>
        <w:rPr>
          <w:lang w:val="en-US"/>
        </w:rPr>
        <w:t>(</w:t>
      </w:r>
      <w:r>
        <w:rPr>
          <w:b/>
          <w:lang w:val="en-US"/>
        </w:rPr>
        <w:t>b</w:t>
      </w:r>
      <w:r w:rsidRPr="00D971A7">
        <w:rPr>
          <w:lang w:val="en-US"/>
        </w:rPr>
        <w:t>+</w:t>
      </w:r>
      <w:r>
        <w:rPr>
          <w:b/>
          <w:lang w:val="en-US"/>
        </w:rPr>
        <w:t>c</w:t>
      </w:r>
      <w:r>
        <w:rPr>
          <w:lang w:val="en-US"/>
        </w:rPr>
        <w:t>) Twenty</w:t>
      </w:r>
      <w:r w:rsidRPr="00E812D3">
        <w:rPr>
          <w:lang w:val="en-US"/>
        </w:rPr>
        <w:t xml:space="preserve"> semi-randomly taken pictures were evaluated to obtain their </w:t>
      </w:r>
      <w:r>
        <w:rPr>
          <w:lang w:val="en-US"/>
        </w:rPr>
        <w:t>(</w:t>
      </w:r>
      <w:r w:rsidRPr="00D971A7">
        <w:rPr>
          <w:b/>
          <w:lang w:val="en-US"/>
        </w:rPr>
        <w:t>b</w:t>
      </w:r>
      <w:r>
        <w:rPr>
          <w:lang w:val="en-US"/>
        </w:rPr>
        <w:t xml:space="preserve">) </w:t>
      </w:r>
      <w:r w:rsidRPr="00E812D3">
        <w:rPr>
          <w:lang w:val="en-US"/>
        </w:rPr>
        <w:t>circularity and</w:t>
      </w:r>
      <w:r>
        <w:rPr>
          <w:lang w:val="en-US"/>
        </w:rPr>
        <w:t xml:space="preserve"> (</w:t>
      </w:r>
      <w:r>
        <w:rPr>
          <w:b/>
          <w:lang w:val="en-US"/>
        </w:rPr>
        <w:t>c</w:t>
      </w:r>
      <w:r>
        <w:rPr>
          <w:lang w:val="en-US"/>
        </w:rPr>
        <w:t>)</w:t>
      </w:r>
      <w:r w:rsidRPr="00E812D3">
        <w:rPr>
          <w:lang w:val="en-US"/>
        </w:rPr>
        <w:t xml:space="preserve"> size using Fiji (ImageJ) and the average was calculated.</w:t>
      </w:r>
      <w:r w:rsidRPr="00E812D3">
        <w:rPr>
          <w:lang w:val="en-US"/>
        </w:rPr>
        <w:br/>
      </w:r>
    </w:p>
    <w:p w:rsidR="00B34E6F" w:rsidRDefault="00B34E6F" w:rsidP="00B34E6F">
      <w:pPr>
        <w:keepNext/>
        <w:jc w:val="center"/>
      </w:pPr>
      <w:r>
        <w:rPr>
          <w:noProof/>
        </w:rPr>
        <w:drawing>
          <wp:inline distT="0" distB="0" distL="0" distR="0" wp14:anchorId="1D348941" wp14:editId="038238CA">
            <wp:extent cx="5181600" cy="522161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2831" cy="5222860"/>
                    </a:xfrm>
                    <a:prstGeom prst="rect">
                      <a:avLst/>
                    </a:prstGeom>
                    <a:noFill/>
                  </pic:spPr>
                </pic:pic>
              </a:graphicData>
            </a:graphic>
          </wp:inline>
        </w:drawing>
      </w:r>
    </w:p>
    <w:p w:rsidR="00B34E6F" w:rsidRPr="00E812D3" w:rsidRDefault="00B34E6F" w:rsidP="00B34E6F">
      <w:pPr>
        <w:pStyle w:val="Beschriftung"/>
        <w:rPr>
          <w:lang w:val="en-US"/>
        </w:rPr>
      </w:pPr>
      <w:r w:rsidRPr="00E812D3">
        <w:rPr>
          <w:lang w:val="en-US"/>
        </w:rPr>
        <w:t xml:space="preserve">Supplementary figure </w:t>
      </w:r>
      <w:r>
        <w:fldChar w:fldCharType="begin"/>
      </w:r>
      <w:r w:rsidRPr="00E812D3">
        <w:rPr>
          <w:lang w:val="en-US"/>
        </w:rPr>
        <w:instrText xml:space="preserve"> SEQ Supplementary_figure \* ARABIC </w:instrText>
      </w:r>
      <w:r>
        <w:fldChar w:fldCharType="separate"/>
      </w:r>
      <w:r>
        <w:rPr>
          <w:noProof/>
          <w:lang w:val="en-US"/>
        </w:rPr>
        <w:t>2</w:t>
      </w:r>
      <w:r>
        <w:fldChar w:fldCharType="end"/>
      </w:r>
      <w:r w:rsidRPr="00E812D3">
        <w:rPr>
          <w:lang w:val="en-US"/>
        </w:rPr>
        <w:t xml:space="preserve">: </w:t>
      </w:r>
      <w:r w:rsidRPr="00E812D3">
        <w:rPr>
          <w:b/>
          <w:lang w:val="en-US"/>
        </w:rPr>
        <w:t>Annotation of analyzed domains</w:t>
      </w:r>
      <w:r w:rsidR="00437016">
        <w:rPr>
          <w:b/>
          <w:lang w:val="en-US"/>
        </w:rPr>
        <w:t>.</w:t>
      </w:r>
      <w:r w:rsidRPr="00E812D3">
        <w:rPr>
          <w:lang w:val="en-US"/>
        </w:rPr>
        <w:t xml:space="preserve"> (</w:t>
      </w:r>
      <w:r>
        <w:rPr>
          <w:b/>
          <w:lang w:val="en-US"/>
        </w:rPr>
        <w:t>a</w:t>
      </w:r>
      <w:r w:rsidRPr="00E812D3">
        <w:rPr>
          <w:lang w:val="en-US"/>
        </w:rPr>
        <w:t xml:space="preserve">) </w:t>
      </w:r>
      <w:r w:rsidRPr="001002EC">
        <w:rPr>
          <w:lang w:val="en-US"/>
        </w:rPr>
        <w:t>Structures of t</w:t>
      </w:r>
      <w:r>
        <w:rPr>
          <w:lang w:val="en-US"/>
        </w:rPr>
        <w:t xml:space="preserve">he Eib NTDs: </w:t>
      </w:r>
      <w:r w:rsidRPr="00A44F74">
        <w:rPr>
          <w:lang w:val="en-US"/>
        </w:rPr>
        <w:t xml:space="preserve">A monomer of the NTDs is shown, with EibD in blue, EibG in green and EibA in orange. They share a similar triangular core architecture, but differ in the loops. The figures include the connector to the next domain/region at the C-terminus, which is different for the three proteins: EibA and EibD connect via a beta hairpin, which has a longer loop in EibD, whereas EibG connects through a short </w:t>
      </w:r>
      <w:r>
        <w:rPr>
          <w:rFonts w:cs="Arial"/>
          <w:lang w:val="en-US"/>
        </w:rPr>
        <w:t>α</w:t>
      </w:r>
      <w:r w:rsidRPr="00A44F74">
        <w:rPr>
          <w:lang w:val="en-US"/>
        </w:rPr>
        <w:t xml:space="preserve">-helix leading into a </w:t>
      </w:r>
      <w:r>
        <w:rPr>
          <w:rFonts w:cs="Arial"/>
          <w:lang w:val="en-US"/>
        </w:rPr>
        <w:t>β</w:t>
      </w:r>
      <w:r>
        <w:rPr>
          <w:lang w:val="en-US"/>
        </w:rPr>
        <w:noBreakHyphen/>
      </w:r>
      <w:r w:rsidRPr="00A44F74">
        <w:rPr>
          <w:lang w:val="en-US"/>
        </w:rPr>
        <w:t>hairpin stacking with</w:t>
      </w:r>
      <w:r>
        <w:rPr>
          <w:lang w:val="en-US"/>
        </w:rPr>
        <w:t xml:space="preserve"> the LPBR domain. A DALI search</w:t>
      </w:r>
      <w:r>
        <w:rPr>
          <w:lang w:val="en-US"/>
        </w:rPr>
        <w:fldChar w:fldCharType="begin" w:fldLock="1"/>
      </w:r>
      <w:r>
        <w:rPr>
          <w:lang w:val="en-US"/>
        </w:rPr>
        <w:instrText>ADDIN CSL_CITATION {"citationItems":[{"id":"ITEM-1","itemData":{"DOI":"10.1093/nar/gkac387","ISSN":"13624962","abstract":"Protein structure is key to understanding biological function. Structure comparison deciphers deep phylogenies, providing insight into functional conservation and functional shifts during evolution. Until recently, structural coverage of the protein universe was limited by the cost and labour involved in experimental structure determination. Recent breakthroughs in deep learning revolutionized structural bioinformatics by providing accurate structural models of numerous protein families for which no structural information existed. The Dali server for 3D protein structure comparison is widely used by crystallographers to relate new structures to pre-existing ones. Here, we report two most recent upgrades to the web server: (i) the foldomes of key organisms in the AlphaFold Database (version 1) are searchable by Dali, (ii) structural alignments are annotated with protein families. Using these new features, we discovered a novel functionally diverse subgroup within the WRKY/GCM1 clan. This was accomplished by linking the structurally characterized SWI/SNF and NAM families as well as the structural models of the CG-1 family and uncharacterized proteins to the structure of Gti1/Pac2, a previously known member of the WRKY/GCM1 clan. The Dali server is available at http://ekhidna2.biocenter.helsinki.fi/dali. This website is free and open to all users and there is no login requirement.","author":[{"dropping-particle":"","family":"Holm","given":"Liisa","non-dropping-particle":"","parse-names":false,"suffix":""}],"container-title":"Nucleic Acids Research","id":"ITEM-1","issue":"W1","issued":{"date-parts":[["2022"]]},"page":"W210-W215","publisher":"Oxford University Press","title":"Dali server: structural unification of protein families","type":"article-journal","volume":"50"},"uris":["http://www.mendeley.com/documents/?uuid=8685a116-ecaa-4d9a-ac75-a53dc530bba4"]}],"mendeley":{"formattedCitation":"&lt;sup&gt;59&lt;/sup&gt;","plainTextFormattedCitation":"59","previouslyFormattedCitation":"&lt;sup&gt;59&lt;/sup&gt;"},"properties":{"noteIndex":0},"schema":"https://github.com/citation-style-language/schema/raw/master/csl-citation.json"}</w:instrText>
      </w:r>
      <w:r>
        <w:rPr>
          <w:lang w:val="en-US"/>
        </w:rPr>
        <w:fldChar w:fldCharType="separate"/>
      </w:r>
      <w:r w:rsidRPr="00794A35">
        <w:rPr>
          <w:noProof/>
          <w:vertAlign w:val="superscript"/>
          <w:lang w:val="en-US"/>
        </w:rPr>
        <w:t>59</w:t>
      </w:r>
      <w:r>
        <w:rPr>
          <w:lang w:val="en-US"/>
        </w:rPr>
        <w:fldChar w:fldCharType="end"/>
      </w:r>
      <w:r>
        <w:rPr>
          <w:lang w:val="en-US"/>
        </w:rPr>
        <w:t xml:space="preserve"> </w:t>
      </w:r>
      <w:r w:rsidRPr="00A44F74">
        <w:rPr>
          <w:lang w:val="en-US"/>
        </w:rPr>
        <w:t>identified the plectin repeat domain (PRD) of periplakin (PDB ID: 4Q28) as having stuctural similarity with the Eib NTDs (Z score 3.9). Thi</w:t>
      </w:r>
      <w:r>
        <w:rPr>
          <w:lang w:val="en-US"/>
        </w:rPr>
        <w:t>s structure is shown in magenta</w:t>
      </w:r>
      <w:r w:rsidRPr="00E812D3">
        <w:rPr>
          <w:lang w:val="en-US"/>
        </w:rPr>
        <w:t>.</w:t>
      </w:r>
      <w:r>
        <w:rPr>
          <w:lang w:val="en-US"/>
        </w:rPr>
        <w:t xml:space="preserve"> (</w:t>
      </w:r>
      <w:r w:rsidRPr="00565E76">
        <w:rPr>
          <w:b/>
          <w:lang w:val="en-US"/>
        </w:rPr>
        <w:t>b</w:t>
      </w:r>
      <w:r>
        <w:rPr>
          <w:lang w:val="en-US"/>
        </w:rPr>
        <w:t>)</w:t>
      </w:r>
      <w:r w:rsidRPr="00E812D3">
        <w:rPr>
          <w:lang w:val="en-US"/>
        </w:rPr>
        <w:t xml:space="preserve"> </w:t>
      </w:r>
      <w:r w:rsidRPr="001002EC">
        <w:rPr>
          <w:lang w:val="en-US"/>
        </w:rPr>
        <w:t>Structures of t</w:t>
      </w:r>
      <w:r>
        <w:rPr>
          <w:lang w:val="en-US"/>
        </w:rPr>
        <w:t xml:space="preserve">he EibG WT and deletion mutants, according to Figure 2 </w:t>
      </w:r>
      <w:r w:rsidRPr="00E812D3">
        <w:rPr>
          <w:lang w:val="en-US"/>
        </w:rPr>
        <w:t>(</w:t>
      </w:r>
      <w:r>
        <w:rPr>
          <w:b/>
          <w:lang w:val="en-US"/>
        </w:rPr>
        <w:t>c</w:t>
      </w:r>
      <w:r w:rsidRPr="00E812D3">
        <w:rPr>
          <w:lang w:val="en-US"/>
        </w:rPr>
        <w:t xml:space="preserve">) The different structural and functional domains of the Eib proteins are highlighted in the </w:t>
      </w:r>
      <w:r>
        <w:rPr>
          <w:lang w:val="en-US"/>
        </w:rPr>
        <w:t>indicated</w:t>
      </w:r>
      <w:r w:rsidRPr="00E812D3">
        <w:rPr>
          <w:lang w:val="en-US"/>
        </w:rPr>
        <w:t xml:space="preserve"> color</w:t>
      </w:r>
      <w:r>
        <w:rPr>
          <w:lang w:val="en-US"/>
        </w:rPr>
        <w:t>.</w:t>
      </w:r>
      <w:r w:rsidRPr="00E812D3">
        <w:rPr>
          <w:lang w:val="en-US"/>
        </w:rPr>
        <w:t xml:space="preserve"> Alignment of the different Eib proteins EibA, EibD, and EibG was performed with Clustal Omega Multiple Sequence Alignment (MSA</w:t>
      </w:r>
      <w:r>
        <w:rPr>
          <w:lang w:val="en-US"/>
        </w:rPr>
        <w:t>).</w:t>
      </w:r>
    </w:p>
    <w:p w:rsidR="00B34E6F" w:rsidRDefault="00B34E6F" w:rsidP="00B34E6F">
      <w:pPr>
        <w:keepNext/>
        <w:spacing w:line="259" w:lineRule="auto"/>
        <w:jc w:val="left"/>
      </w:pPr>
      <w:bookmarkStart w:id="0" w:name="_GoBack"/>
      <w:r>
        <w:rPr>
          <w:noProof/>
        </w:rPr>
        <w:drawing>
          <wp:inline distT="0" distB="0" distL="0" distR="0" wp14:anchorId="35C95D5F" wp14:editId="090FE400">
            <wp:extent cx="5945112" cy="1530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754" cy="1530515"/>
                    </a:xfrm>
                    <a:prstGeom prst="rect">
                      <a:avLst/>
                    </a:prstGeom>
                    <a:noFill/>
                  </pic:spPr>
                </pic:pic>
              </a:graphicData>
            </a:graphic>
          </wp:inline>
        </w:drawing>
      </w:r>
      <w:bookmarkEnd w:id="0"/>
    </w:p>
    <w:p w:rsidR="00B34E6F" w:rsidRDefault="00B34E6F" w:rsidP="00B34E6F">
      <w:pPr>
        <w:pStyle w:val="Beschriftung"/>
        <w:rPr>
          <w:lang w:val="en-US"/>
        </w:rPr>
      </w:pPr>
      <w:r w:rsidRPr="00E812D3">
        <w:rPr>
          <w:lang w:val="en-US"/>
        </w:rPr>
        <w:t xml:space="preserve">Supplementary figure </w:t>
      </w:r>
      <w:r>
        <w:fldChar w:fldCharType="begin"/>
      </w:r>
      <w:r w:rsidRPr="00E812D3">
        <w:rPr>
          <w:lang w:val="en-US"/>
        </w:rPr>
        <w:instrText xml:space="preserve"> SEQ Supplementary_figure \* ARABIC </w:instrText>
      </w:r>
      <w:r>
        <w:fldChar w:fldCharType="separate"/>
      </w:r>
      <w:r>
        <w:rPr>
          <w:noProof/>
          <w:lang w:val="en-US"/>
        </w:rPr>
        <w:t>3</w:t>
      </w:r>
      <w:r>
        <w:fldChar w:fldCharType="end"/>
      </w:r>
      <w:r w:rsidRPr="00E812D3">
        <w:rPr>
          <w:lang w:val="en-US"/>
        </w:rPr>
        <w:t xml:space="preserve">: </w:t>
      </w:r>
      <w:r w:rsidRPr="00E812D3">
        <w:rPr>
          <w:b/>
          <w:lang w:val="en-US"/>
        </w:rPr>
        <w:t>SDS-PAGE of outer membrane preparations from cells expressing different Eib variants</w:t>
      </w:r>
      <w:r w:rsidR="00437016">
        <w:rPr>
          <w:b/>
          <w:lang w:val="en-US"/>
        </w:rPr>
        <w:t>.</w:t>
      </w:r>
      <w:r w:rsidRPr="00E812D3">
        <w:rPr>
          <w:lang w:val="en-US"/>
        </w:rPr>
        <w:t xml:space="preserve"> Strains transformed with indicated plasmids were cultivated in LB (for TOP10 cells with pIBA2 constructs) or in LB-based AIM (for BL21</w:t>
      </w:r>
      <w:r w:rsidRPr="00E812D3">
        <w:rPr>
          <w:rFonts w:cstheme="minorHAnsi"/>
          <w:lang w:val="en-US"/>
        </w:rPr>
        <w:t>∆</w:t>
      </w:r>
      <w:r w:rsidRPr="00E812D3">
        <w:rPr>
          <w:lang w:val="en-US"/>
        </w:rPr>
        <w:t>ABCF cells with pBAD constructs)  overnight and cells corresponding to 10 mL of OD</w:t>
      </w:r>
      <w:r w:rsidRPr="00E812D3">
        <w:rPr>
          <w:vertAlign w:val="subscript"/>
          <w:lang w:val="en-US"/>
        </w:rPr>
        <w:t>600nm</w:t>
      </w:r>
      <w:r w:rsidRPr="00E812D3">
        <w:rPr>
          <w:lang w:val="en-US"/>
        </w:rPr>
        <w:t>=1 were collected for outer membrane preparation. An SDS-Gel (4-20%) was loaded with 15 µL each. (</w:t>
      </w:r>
      <w:r w:rsidRPr="00A57C53">
        <w:rPr>
          <w:b/>
          <w:lang w:val="en-US"/>
        </w:rPr>
        <w:t>a</w:t>
      </w:r>
      <w:r>
        <w:rPr>
          <w:b/>
          <w:lang w:val="en-US"/>
        </w:rPr>
        <w:t>+c</w:t>
      </w:r>
      <w:r w:rsidRPr="00E812D3">
        <w:rPr>
          <w:lang w:val="en-US"/>
        </w:rPr>
        <w:t>) SDS-PAGE of all indicated pIBA2 Eib variant constructs. (</w:t>
      </w:r>
      <w:r>
        <w:rPr>
          <w:b/>
          <w:lang w:val="en-US"/>
        </w:rPr>
        <w:t>b</w:t>
      </w:r>
      <w:r w:rsidRPr="00E812D3">
        <w:rPr>
          <w:lang w:val="en-US"/>
        </w:rPr>
        <w:t xml:space="preserve">) Expression of selected Eib variant was induced by 0.2% </w:t>
      </w:r>
      <w:r w:rsidRPr="00E812D3">
        <w:rPr>
          <w:smallCaps/>
          <w:lang w:val="en-US"/>
        </w:rPr>
        <w:t>l</w:t>
      </w:r>
      <w:r w:rsidRPr="00E812D3">
        <w:rPr>
          <w:lang w:val="en-US"/>
        </w:rPr>
        <w:t>-arabinose in BL21</w:t>
      </w:r>
      <w:r w:rsidRPr="00E812D3">
        <w:rPr>
          <w:rFonts w:cstheme="minorHAnsi"/>
          <w:lang w:val="en-US"/>
        </w:rPr>
        <w:t>∆</w:t>
      </w:r>
      <w:r w:rsidRPr="00E812D3">
        <w:rPr>
          <w:lang w:val="en-US"/>
        </w:rPr>
        <w:t>ABCF using the pBAD backbone.</w:t>
      </w:r>
    </w:p>
    <w:p w:rsidR="00437016" w:rsidRPr="00437016" w:rsidRDefault="00437016" w:rsidP="00437016"/>
    <w:p w:rsidR="00B34E6F" w:rsidRDefault="00B34E6F" w:rsidP="00B34E6F">
      <w:pPr>
        <w:keepNext/>
      </w:pPr>
      <w:r>
        <w:rPr>
          <w:noProof/>
        </w:rPr>
        <w:drawing>
          <wp:inline distT="0" distB="0" distL="0" distR="0" wp14:anchorId="41AA8959" wp14:editId="466401C2">
            <wp:extent cx="5712643" cy="137160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um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3870" cy="1371895"/>
                    </a:xfrm>
                    <a:prstGeom prst="rect">
                      <a:avLst/>
                    </a:prstGeom>
                  </pic:spPr>
                </pic:pic>
              </a:graphicData>
            </a:graphic>
          </wp:inline>
        </w:drawing>
      </w:r>
    </w:p>
    <w:p w:rsidR="00B34E6F" w:rsidRDefault="00B34E6F" w:rsidP="00B34E6F">
      <w:pPr>
        <w:pStyle w:val="Beschriftung"/>
        <w:rPr>
          <w:lang w:val="en-US"/>
        </w:rPr>
      </w:pPr>
      <w:bookmarkStart w:id="1" w:name="_Ref197095046"/>
      <w:r w:rsidRPr="007D2C3C">
        <w:rPr>
          <w:lang w:val="en-US"/>
        </w:rPr>
        <w:t xml:space="preserve">Supplementary figure </w:t>
      </w:r>
      <w:r>
        <w:fldChar w:fldCharType="begin"/>
      </w:r>
      <w:r w:rsidRPr="007D2C3C">
        <w:rPr>
          <w:lang w:val="en-US"/>
        </w:rPr>
        <w:instrText xml:space="preserve"> SEQ Supplementary_figure \* ARABIC </w:instrText>
      </w:r>
      <w:r>
        <w:fldChar w:fldCharType="separate"/>
      </w:r>
      <w:r w:rsidRPr="007D2C3C">
        <w:rPr>
          <w:noProof/>
          <w:lang w:val="en-US"/>
        </w:rPr>
        <w:t>4</w:t>
      </w:r>
      <w:r>
        <w:fldChar w:fldCharType="end"/>
      </w:r>
      <w:bookmarkEnd w:id="1"/>
      <w:r w:rsidRPr="007D2C3C">
        <w:rPr>
          <w:lang w:val="en-US"/>
        </w:rPr>
        <w:t xml:space="preserve">: </w:t>
      </w:r>
      <w:r w:rsidRPr="007D2C3C">
        <w:rPr>
          <w:b/>
          <w:lang w:val="en-US"/>
        </w:rPr>
        <w:t>Z-stack images of clumps formed by cells express</w:t>
      </w:r>
      <w:r>
        <w:rPr>
          <w:b/>
          <w:lang w:val="en-US"/>
        </w:rPr>
        <w:t>ing EibD-SpyTag or EibG-SpyTag</w:t>
      </w:r>
      <w:r w:rsidR="00437016">
        <w:rPr>
          <w:b/>
          <w:lang w:val="en-US"/>
        </w:rPr>
        <w:t>.</w:t>
      </w:r>
      <w:r>
        <w:rPr>
          <w:b/>
          <w:lang w:val="en-US"/>
        </w:rPr>
        <w:t xml:space="preserve"> </w:t>
      </w:r>
      <w:r w:rsidRPr="007D2C3C">
        <w:rPr>
          <w:i/>
          <w:lang w:val="en-US"/>
        </w:rPr>
        <w:t>E. coli</w:t>
      </w:r>
      <w:r w:rsidRPr="007D2C3C">
        <w:rPr>
          <w:lang w:val="en-US"/>
        </w:rPr>
        <w:t xml:space="preserve"> cells expressing either EibD-SpyTag or EibG-SpyTag were incubated with purified SpyCatcher protein to detect surface-exposed SpyTag. Samples were prepared for confocal microscopy to analyze the spatial distribution of the fluorescent signal. Three representative Z-planes are shown for each condition, illustrating the localization of fluorescence within bacterial clumps.</w:t>
      </w:r>
      <w:r w:rsidRPr="00937114">
        <w:rPr>
          <w:lang w:val="en-US"/>
        </w:rPr>
        <w:t xml:space="preserve"> </w:t>
      </w:r>
      <w:r w:rsidRPr="00E812D3">
        <w:rPr>
          <w:lang w:val="en-US"/>
        </w:rPr>
        <w:t>The scale bar in the</w:t>
      </w:r>
      <w:r>
        <w:rPr>
          <w:lang w:val="en-US"/>
        </w:rPr>
        <w:t xml:space="preserve"> bottom right corner indicates 5</w:t>
      </w:r>
      <w:r w:rsidRPr="00E812D3">
        <w:rPr>
          <w:lang w:val="en-US"/>
        </w:rPr>
        <w:t xml:space="preserve"> µm.</w:t>
      </w:r>
    </w:p>
    <w:p w:rsidR="00437016" w:rsidRDefault="00437016" w:rsidP="00437016"/>
    <w:p w:rsidR="00437016" w:rsidRPr="00437016" w:rsidRDefault="00437016" w:rsidP="00437016"/>
    <w:p w:rsidR="00B34E6F" w:rsidRPr="007D2C3C" w:rsidRDefault="00B34E6F" w:rsidP="00437016">
      <w:pPr>
        <w:pStyle w:val="Beschriftung"/>
        <w:keepLines/>
        <w:widowControl w:val="0"/>
        <w:jc w:val="center"/>
        <w:rPr>
          <w:b/>
          <w:lang w:val="en-US"/>
        </w:rPr>
      </w:pPr>
      <w:r>
        <w:rPr>
          <w:noProof/>
          <w:lang w:val="en-US"/>
        </w:rPr>
        <w:drawing>
          <wp:inline distT="0" distB="0" distL="0" distR="0" wp14:anchorId="05A454EF" wp14:editId="0C5B060E">
            <wp:extent cx="5417820" cy="383308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Q controls.jpg"/>
                    <pic:cNvPicPr/>
                  </pic:nvPicPr>
                  <pic:blipFill>
                    <a:blip r:embed="rId11">
                      <a:extLst>
                        <a:ext uri="{28A0092B-C50C-407E-A947-70E740481C1C}">
                          <a14:useLocalDpi xmlns:a14="http://schemas.microsoft.com/office/drawing/2010/main" val="0"/>
                        </a:ext>
                      </a:extLst>
                    </a:blip>
                    <a:stretch>
                      <a:fillRect/>
                    </a:stretch>
                  </pic:blipFill>
                  <pic:spPr>
                    <a:xfrm>
                      <a:off x="0" y="0"/>
                      <a:ext cx="5418953" cy="3833886"/>
                    </a:xfrm>
                    <a:prstGeom prst="rect">
                      <a:avLst/>
                    </a:prstGeom>
                  </pic:spPr>
                </pic:pic>
              </a:graphicData>
            </a:graphic>
          </wp:inline>
        </w:drawing>
      </w:r>
    </w:p>
    <w:p w:rsidR="00B34E6F" w:rsidRDefault="00B34E6F" w:rsidP="00437016">
      <w:pPr>
        <w:pStyle w:val="Beschriftung"/>
        <w:keepLines/>
        <w:widowControl w:val="0"/>
        <w:rPr>
          <w:lang w:val="en-US"/>
        </w:rPr>
      </w:pPr>
      <w:bookmarkStart w:id="2" w:name="_Ref197326734"/>
      <w:r w:rsidRPr="002B27EF">
        <w:rPr>
          <w:lang w:val="en-US"/>
        </w:rPr>
        <w:t xml:space="preserve">Supplementary figure </w:t>
      </w:r>
      <w:r>
        <w:fldChar w:fldCharType="begin"/>
      </w:r>
      <w:r w:rsidRPr="002B27EF">
        <w:rPr>
          <w:lang w:val="en-US"/>
        </w:rPr>
        <w:instrText xml:space="preserve"> SEQ Supplementary_figure \* ARABIC </w:instrText>
      </w:r>
      <w:r>
        <w:fldChar w:fldCharType="separate"/>
      </w:r>
      <w:r w:rsidRPr="002B27EF">
        <w:rPr>
          <w:noProof/>
          <w:lang w:val="en-US"/>
        </w:rPr>
        <w:t>5</w:t>
      </w:r>
      <w:r>
        <w:fldChar w:fldCharType="end"/>
      </w:r>
      <w:bookmarkEnd w:id="2"/>
      <w:r w:rsidRPr="002B27EF">
        <w:rPr>
          <w:lang w:val="en-US"/>
        </w:rPr>
        <w:t xml:space="preserve">: </w:t>
      </w:r>
      <w:r>
        <w:rPr>
          <w:b/>
          <w:lang w:val="en-US"/>
        </w:rPr>
        <w:t>C</w:t>
      </w:r>
      <w:r w:rsidRPr="007D2C3C">
        <w:rPr>
          <w:b/>
          <w:lang w:val="en-US"/>
        </w:rPr>
        <w:t>ells express</w:t>
      </w:r>
      <w:r>
        <w:rPr>
          <w:b/>
          <w:lang w:val="en-US"/>
        </w:rPr>
        <w:t>ing EibD-SpyTag or EibG-SpyTag sta</w:t>
      </w:r>
      <w:r w:rsidR="00437016">
        <w:rPr>
          <w:b/>
          <w:lang w:val="en-US"/>
        </w:rPr>
        <w:t>ined with SpyCatcher-EQ variant.</w:t>
      </w:r>
      <w:r>
        <w:rPr>
          <w:b/>
          <w:lang w:val="en-US"/>
        </w:rPr>
        <w:t xml:space="preserve"> </w:t>
      </w:r>
      <w:r>
        <w:rPr>
          <w:lang w:val="en-US"/>
        </w:rPr>
        <w:t>Regardless of the Eib protein, the staining of individual cells, chains, or clumps with the SpyCatcher-EQ resulted in diffusive non-specific signals.</w:t>
      </w:r>
      <w:r w:rsidRPr="00937114">
        <w:rPr>
          <w:lang w:val="en-US"/>
        </w:rPr>
        <w:t xml:space="preserve"> </w:t>
      </w:r>
      <w:r w:rsidRPr="00E812D3">
        <w:rPr>
          <w:lang w:val="en-US"/>
        </w:rPr>
        <w:t>The scale bar in the</w:t>
      </w:r>
      <w:r>
        <w:rPr>
          <w:lang w:val="en-US"/>
        </w:rPr>
        <w:t xml:space="preserve"> bottom right corner indicates 5</w:t>
      </w:r>
      <w:r w:rsidRPr="00E812D3">
        <w:rPr>
          <w:lang w:val="en-US"/>
        </w:rPr>
        <w:t xml:space="preserve"> µm.</w:t>
      </w:r>
    </w:p>
    <w:p w:rsidR="00437016" w:rsidRPr="00437016" w:rsidRDefault="00437016" w:rsidP="00437016"/>
    <w:p w:rsidR="00B34E6F" w:rsidRPr="00D12417" w:rsidRDefault="00B34E6F" w:rsidP="00B34E6F">
      <w:pPr>
        <w:pStyle w:val="Beschriftung"/>
        <w:keepNext/>
        <w:jc w:val="center"/>
        <w:rPr>
          <w:lang w:val="en-US"/>
        </w:rPr>
      </w:pPr>
      <w:r w:rsidRPr="00D12417">
        <w:rPr>
          <w:noProof/>
          <w:lang w:val="en-US"/>
        </w:rPr>
        <w:drawing>
          <wp:inline distT="0" distB="0" distL="0" distR="0" wp14:anchorId="1B040787" wp14:editId="04A1819D">
            <wp:extent cx="5015457" cy="215501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ng-term colonies.tif"/>
                    <pic:cNvPicPr/>
                  </pic:nvPicPr>
                  <pic:blipFill>
                    <a:blip r:embed="rId12">
                      <a:extLst>
                        <a:ext uri="{28A0092B-C50C-407E-A947-70E740481C1C}">
                          <a14:useLocalDpi xmlns:a14="http://schemas.microsoft.com/office/drawing/2010/main" val="0"/>
                        </a:ext>
                      </a:extLst>
                    </a:blip>
                    <a:stretch>
                      <a:fillRect/>
                    </a:stretch>
                  </pic:blipFill>
                  <pic:spPr>
                    <a:xfrm>
                      <a:off x="0" y="0"/>
                      <a:ext cx="5015457" cy="2155010"/>
                    </a:xfrm>
                    <a:prstGeom prst="rect">
                      <a:avLst/>
                    </a:prstGeom>
                  </pic:spPr>
                </pic:pic>
              </a:graphicData>
            </a:graphic>
          </wp:inline>
        </w:drawing>
      </w:r>
    </w:p>
    <w:p w:rsidR="00EE799D" w:rsidRPr="00B34E6F" w:rsidRDefault="00B34E6F" w:rsidP="00B34E6F">
      <w:pPr>
        <w:spacing w:line="240" w:lineRule="auto"/>
        <w:rPr>
          <w:sz w:val="16"/>
          <w:szCs w:val="16"/>
        </w:rPr>
      </w:pPr>
      <w:bookmarkStart w:id="3" w:name="_Ref197326969"/>
      <w:r w:rsidRPr="00B34E6F">
        <w:rPr>
          <w:sz w:val="16"/>
          <w:szCs w:val="16"/>
        </w:rPr>
        <w:t xml:space="preserve">Supplementary figure </w:t>
      </w:r>
      <w:r w:rsidRPr="00B34E6F">
        <w:rPr>
          <w:sz w:val="16"/>
          <w:szCs w:val="16"/>
        </w:rPr>
        <w:fldChar w:fldCharType="begin"/>
      </w:r>
      <w:r w:rsidRPr="00B34E6F">
        <w:rPr>
          <w:sz w:val="16"/>
          <w:szCs w:val="16"/>
        </w:rPr>
        <w:instrText xml:space="preserve"> SEQ Supplementary_figure \* ARABIC </w:instrText>
      </w:r>
      <w:r w:rsidRPr="00B34E6F">
        <w:rPr>
          <w:sz w:val="16"/>
          <w:szCs w:val="16"/>
        </w:rPr>
        <w:fldChar w:fldCharType="separate"/>
      </w:r>
      <w:r w:rsidRPr="00B34E6F">
        <w:rPr>
          <w:noProof/>
          <w:sz w:val="16"/>
          <w:szCs w:val="16"/>
        </w:rPr>
        <w:t>6</w:t>
      </w:r>
      <w:r w:rsidRPr="00B34E6F">
        <w:rPr>
          <w:sz w:val="16"/>
          <w:szCs w:val="16"/>
        </w:rPr>
        <w:fldChar w:fldCharType="end"/>
      </w:r>
      <w:bookmarkEnd w:id="3"/>
      <w:r w:rsidRPr="00B34E6F">
        <w:rPr>
          <w:sz w:val="16"/>
          <w:szCs w:val="16"/>
        </w:rPr>
        <w:t xml:space="preserve">: </w:t>
      </w:r>
      <w:r w:rsidRPr="00B34E6F">
        <w:rPr>
          <w:b/>
          <w:sz w:val="16"/>
          <w:szCs w:val="16"/>
        </w:rPr>
        <w:t>Marcocolony formation on long-term agar plates</w:t>
      </w:r>
      <w:r w:rsidR="00437016">
        <w:rPr>
          <w:b/>
          <w:sz w:val="16"/>
          <w:szCs w:val="16"/>
        </w:rPr>
        <w:t>.</w:t>
      </w:r>
      <w:r w:rsidRPr="00B34E6F">
        <w:rPr>
          <w:sz w:val="16"/>
          <w:szCs w:val="16"/>
        </w:rPr>
        <w:t xml:space="preserve"> Liquid cultures of the indicated stains (ex = exchange between EibD and EibG) were spotted onto long-term agar plates containing Congo red and Coomassie-Brilliant blue for staining of the curli biofilm structures. Plates were sealed with PARAFILM® and incubated at 28 °C for five days.</w:t>
      </w:r>
    </w:p>
    <w:sectPr w:rsidR="00EE799D" w:rsidRPr="00B34E6F">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EF6" w:rsidRDefault="006D4EF6" w:rsidP="00B34E6F">
      <w:pPr>
        <w:spacing w:after="0" w:line="240" w:lineRule="auto"/>
      </w:pPr>
      <w:r>
        <w:separator/>
      </w:r>
    </w:p>
  </w:endnote>
  <w:endnote w:type="continuationSeparator" w:id="0">
    <w:p w:rsidR="006D4EF6" w:rsidRDefault="006D4EF6" w:rsidP="00B34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748072"/>
      <w:docPartObj>
        <w:docPartGallery w:val="Page Numbers (Bottom of Page)"/>
        <w:docPartUnique/>
      </w:docPartObj>
    </w:sdtPr>
    <w:sdtEndPr/>
    <w:sdtContent>
      <w:p w:rsidR="00B34E6F" w:rsidRDefault="00B34E6F">
        <w:pPr>
          <w:pStyle w:val="Fuzeile"/>
          <w:jc w:val="right"/>
        </w:pPr>
        <w:r>
          <w:fldChar w:fldCharType="begin"/>
        </w:r>
        <w:r>
          <w:instrText>PAGE   \* MERGEFORMAT</w:instrText>
        </w:r>
        <w:r>
          <w:fldChar w:fldCharType="separate"/>
        </w:r>
        <w:r w:rsidR="006D4EF6" w:rsidRPr="006D4EF6">
          <w:rPr>
            <w:noProof/>
            <w:lang w:val="de-DE"/>
          </w:rPr>
          <w:t>1</w:t>
        </w:r>
        <w:r>
          <w:fldChar w:fldCharType="end"/>
        </w:r>
      </w:p>
    </w:sdtContent>
  </w:sdt>
  <w:p w:rsidR="00B34E6F" w:rsidRDefault="00B34E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EF6" w:rsidRDefault="006D4EF6" w:rsidP="00B34E6F">
      <w:pPr>
        <w:spacing w:after="0" w:line="240" w:lineRule="auto"/>
      </w:pPr>
      <w:r>
        <w:separator/>
      </w:r>
    </w:p>
  </w:footnote>
  <w:footnote w:type="continuationSeparator" w:id="0">
    <w:p w:rsidR="006D4EF6" w:rsidRDefault="006D4EF6" w:rsidP="00B34E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DB2073"/>
    <w:multiLevelType w:val="hybridMultilevel"/>
    <w:tmpl w:val="7438F64A"/>
    <w:lvl w:ilvl="0" w:tplc="6F5C9F4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64166FDF"/>
    <w:multiLevelType w:val="hybridMultilevel"/>
    <w:tmpl w:val="0C405016"/>
    <w:lvl w:ilvl="0" w:tplc="04070013">
      <w:start w:val="1"/>
      <w:numFmt w:val="upperRoman"/>
      <w:lvlText w:val="%1."/>
      <w:lvlJc w:val="righ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E6F"/>
    <w:rsid w:val="001F0B15"/>
    <w:rsid w:val="00234509"/>
    <w:rsid w:val="002613EF"/>
    <w:rsid w:val="0037743E"/>
    <w:rsid w:val="003F7688"/>
    <w:rsid w:val="00437016"/>
    <w:rsid w:val="00486DBB"/>
    <w:rsid w:val="004F07A2"/>
    <w:rsid w:val="006D4EF6"/>
    <w:rsid w:val="008F631C"/>
    <w:rsid w:val="00A21317"/>
    <w:rsid w:val="00B34E6F"/>
    <w:rsid w:val="00EE799D"/>
    <w:rsid w:val="00F31F8E"/>
    <w:rsid w:val="00F37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A70A9"/>
  <w15:chartTrackingRefBased/>
  <w15:docId w15:val="{52DE125F-A3D0-4E10-9B65-8E12547C5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4E6F"/>
    <w:pPr>
      <w:spacing w:line="360" w:lineRule="auto"/>
      <w:jc w:val="both"/>
    </w:pPr>
    <w:rPr>
      <w:rFonts w:ascii="Arial" w:hAnsi="Arial"/>
      <w:lang w:val="en-US"/>
    </w:rPr>
  </w:style>
  <w:style w:type="paragraph" w:styleId="berschrift2">
    <w:name w:val="heading 2"/>
    <w:basedOn w:val="Standard"/>
    <w:next w:val="Standard"/>
    <w:link w:val="berschrift2Zchn"/>
    <w:uiPriority w:val="9"/>
    <w:unhideWhenUsed/>
    <w:qFormat/>
    <w:rsid w:val="00F374AD"/>
    <w:pPr>
      <w:keepNext/>
      <w:keepLines/>
      <w:spacing w:before="60" w:after="0"/>
      <w:outlineLvl w:val="1"/>
    </w:pPr>
    <w:rPr>
      <w:rFonts w:eastAsiaTheme="majorEastAsia" w:cstheme="majorBidi"/>
      <w:sz w:val="26"/>
      <w:szCs w:val="26"/>
      <w:lang w:val="de-DE"/>
    </w:rPr>
  </w:style>
  <w:style w:type="paragraph" w:styleId="berschrift3">
    <w:name w:val="heading 3"/>
    <w:basedOn w:val="Standard"/>
    <w:next w:val="Standard"/>
    <w:link w:val="berschrift3Zchn"/>
    <w:uiPriority w:val="9"/>
    <w:unhideWhenUsed/>
    <w:qFormat/>
    <w:rsid w:val="00B34E6F"/>
    <w:pPr>
      <w:keepNext/>
      <w:keepLines/>
      <w:spacing w:before="240" w:after="0"/>
      <w:outlineLvl w:val="2"/>
    </w:pPr>
    <w:rPr>
      <w:rFonts w:eastAsiaTheme="majorEastAsia" w:cstheme="majorBid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link w:val="BeschriftungZchn"/>
    <w:autoRedefine/>
    <w:uiPriority w:val="35"/>
    <w:unhideWhenUsed/>
    <w:qFormat/>
    <w:rsid w:val="00234509"/>
    <w:pPr>
      <w:spacing w:after="40" w:line="240" w:lineRule="auto"/>
    </w:pPr>
    <w:rPr>
      <w:bCs/>
      <w:color w:val="000000" w:themeColor="text1"/>
      <w:sz w:val="16"/>
      <w:szCs w:val="16"/>
      <w:lang w:val="de-DE"/>
    </w:rPr>
  </w:style>
  <w:style w:type="character" w:customStyle="1" w:styleId="BeschriftungZchn">
    <w:name w:val="Beschriftung Zchn"/>
    <w:basedOn w:val="Absatz-Standardschriftart"/>
    <w:link w:val="Beschriftung"/>
    <w:uiPriority w:val="35"/>
    <w:rsid w:val="00234509"/>
    <w:rPr>
      <w:bCs/>
      <w:color w:val="000000" w:themeColor="text1"/>
      <w:sz w:val="16"/>
      <w:szCs w:val="16"/>
    </w:rPr>
  </w:style>
  <w:style w:type="character" w:customStyle="1" w:styleId="berschrift2Zchn">
    <w:name w:val="Überschrift 2 Zchn"/>
    <w:basedOn w:val="Absatz-Standardschriftart"/>
    <w:link w:val="berschrift2"/>
    <w:uiPriority w:val="9"/>
    <w:rsid w:val="00F374AD"/>
    <w:rPr>
      <w:rFonts w:eastAsiaTheme="majorEastAsia" w:cstheme="majorBidi"/>
      <w:sz w:val="26"/>
      <w:szCs w:val="26"/>
    </w:rPr>
  </w:style>
  <w:style w:type="character" w:customStyle="1" w:styleId="berschrift3Zchn">
    <w:name w:val="Überschrift 3 Zchn"/>
    <w:basedOn w:val="Absatz-Standardschriftart"/>
    <w:link w:val="berschrift3"/>
    <w:uiPriority w:val="9"/>
    <w:rsid w:val="00B34E6F"/>
    <w:rPr>
      <w:rFonts w:ascii="Arial" w:eastAsiaTheme="majorEastAsia" w:hAnsi="Arial" w:cstheme="majorBidi"/>
      <w:sz w:val="24"/>
      <w:szCs w:val="24"/>
      <w:lang w:val="en-US"/>
    </w:rPr>
  </w:style>
  <w:style w:type="table" w:styleId="EinfacheTabelle2">
    <w:name w:val="Plain Table 2"/>
    <w:basedOn w:val="NormaleTabelle"/>
    <w:uiPriority w:val="42"/>
    <w:rsid w:val="00B34E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fzeile">
    <w:name w:val="header"/>
    <w:basedOn w:val="Standard"/>
    <w:link w:val="KopfzeileZchn"/>
    <w:uiPriority w:val="99"/>
    <w:unhideWhenUsed/>
    <w:rsid w:val="00B34E6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B34E6F"/>
    <w:rPr>
      <w:rFonts w:ascii="Arial" w:hAnsi="Arial"/>
      <w:lang w:val="en-US"/>
    </w:rPr>
  </w:style>
  <w:style w:type="paragraph" w:styleId="Fuzeile">
    <w:name w:val="footer"/>
    <w:basedOn w:val="Standard"/>
    <w:link w:val="FuzeileZchn"/>
    <w:uiPriority w:val="99"/>
    <w:unhideWhenUsed/>
    <w:rsid w:val="00B34E6F"/>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B34E6F"/>
    <w:rPr>
      <w:rFonts w:ascii="Arial" w:hAnsi="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2361</Words>
  <Characters>13464</Characters>
  <Application>Microsoft Office Word</Application>
  <DocSecurity>0</DocSecurity>
  <Lines>112</Lines>
  <Paragraphs>31</Paragraphs>
  <ScaleCrop>false</ScaleCrop>
  <HeadingPairs>
    <vt:vector size="4" baseType="variant">
      <vt:variant>
        <vt:lpstr>Titel</vt:lpstr>
      </vt:variant>
      <vt:variant>
        <vt:i4>1</vt:i4>
      </vt:variant>
      <vt:variant>
        <vt:lpstr>Überschriften</vt:lpstr>
      </vt:variant>
      <vt:variant>
        <vt:i4>7</vt:i4>
      </vt:variant>
    </vt:vector>
  </HeadingPairs>
  <TitlesOfParts>
    <vt:vector size="8" baseType="lpstr">
      <vt:lpstr/>
      <vt:lpstr>    Supplement</vt:lpstr>
      <vt:lpstr>        Supplementary methods</vt:lpstr>
      <vt:lpstr>        Outer membrane extraction </vt:lpstr>
      <vt:lpstr>        SDS-PAGE</vt:lpstr>
      <vt:lpstr>        Macrocolony formation </vt:lpstr>
      <vt:lpstr>        Supplementary tables </vt:lpstr>
      <vt:lpstr>        Supplementary figures</vt:lpstr>
    </vt:vector>
  </TitlesOfParts>
  <Company>Helmholtz-Zentrum für Infektionsforschung GmbH</Company>
  <LinksUpToDate>false</LinksUpToDate>
  <CharactersWithSpaces>15794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Swiatek, Lena-Sophie</dc:creator>
  <cp:keywords/>
  <dc:description/>
  <cp:lastModifiedBy>Swiatek, Lena-Sophie</cp:lastModifiedBy>
  <cp:revision>5</cp:revision>
  <dcterms:created xsi:type="dcterms:W3CDTF">2025-05-28T07:56:00Z</dcterms:created>
  <dcterms:modified xsi:type="dcterms:W3CDTF">2025-05-28T08:44:00Z</dcterms:modified>
</cp:coreProperties>
</file>