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AE9E" w14:textId="77777777" w:rsidR="0034079B" w:rsidRDefault="0034079B" w:rsidP="00086460">
      <w:pPr>
        <w:spacing w:after="0" w:line="240" w:lineRule="auto"/>
      </w:pPr>
    </w:p>
    <w:p w14:paraId="54CE571E" w14:textId="77777777" w:rsidR="005548AA" w:rsidRDefault="005548AA" w:rsidP="00086460">
      <w:pPr>
        <w:spacing w:after="0" w:line="240" w:lineRule="auto"/>
      </w:pPr>
    </w:p>
    <w:p w14:paraId="44841716" w14:textId="77777777" w:rsidR="00B642C0" w:rsidRDefault="00B642C0" w:rsidP="00086460">
      <w:pPr>
        <w:spacing w:after="0" w:line="240" w:lineRule="auto"/>
      </w:pPr>
    </w:p>
    <w:p w14:paraId="510AE819" w14:textId="77777777" w:rsidR="00B642C0" w:rsidRDefault="00B642C0" w:rsidP="00086460">
      <w:pPr>
        <w:spacing w:after="0" w:line="240" w:lineRule="auto"/>
      </w:pPr>
    </w:p>
    <w:p w14:paraId="30FDE89C" w14:textId="040F0E71" w:rsidR="00B642C0" w:rsidRDefault="00B642C0" w:rsidP="00086460">
      <w:pPr>
        <w:spacing w:after="0" w:line="240" w:lineRule="auto"/>
      </w:pPr>
    </w:p>
    <w:p w14:paraId="300D1817" w14:textId="77777777" w:rsidR="00345950" w:rsidRDefault="00345950" w:rsidP="00086460">
      <w:pPr>
        <w:spacing w:after="0" w:line="240" w:lineRule="auto"/>
      </w:pPr>
    </w:p>
    <w:p w14:paraId="25C6C0AD" w14:textId="77777777" w:rsidR="00345950" w:rsidRDefault="00345950" w:rsidP="00086460">
      <w:pPr>
        <w:spacing w:after="0" w:line="240" w:lineRule="auto"/>
      </w:pPr>
    </w:p>
    <w:p w14:paraId="5E1A8EDC" w14:textId="77777777" w:rsidR="00345950" w:rsidRDefault="00345950" w:rsidP="00086460">
      <w:pPr>
        <w:spacing w:after="0" w:line="240" w:lineRule="auto"/>
      </w:pPr>
    </w:p>
    <w:tbl>
      <w:tblPr>
        <w:tblStyle w:val="PlainTable41"/>
        <w:tblpPr w:leftFromText="180" w:rightFromText="180" w:vertAnchor="page" w:horzAnchor="margin" w:tblpXSpec="center" w:tblpY="3241"/>
        <w:tblW w:w="9990" w:type="dxa"/>
        <w:tblLook w:val="04A0" w:firstRow="1" w:lastRow="0" w:firstColumn="1" w:lastColumn="0" w:noHBand="0" w:noVBand="1"/>
      </w:tblPr>
      <w:tblGrid>
        <w:gridCol w:w="3780"/>
        <w:gridCol w:w="1890"/>
        <w:gridCol w:w="1710"/>
        <w:gridCol w:w="2610"/>
      </w:tblGrid>
      <w:tr w:rsidR="00345950" w:rsidRPr="00460FE4" w14:paraId="3A50354F" w14:textId="77777777" w:rsidTr="00151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E02397" w14:textId="7B73A15C" w:rsidR="00345950" w:rsidRPr="00460FE4" w:rsidRDefault="00345950" w:rsidP="00BF369D">
            <w:pPr>
              <w:spacing w:after="0"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Supplementary Table 1. </w:t>
            </w:r>
            <w:r w:rsidR="007D5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Five-year c</w:t>
            </w: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hanges in nighttime sleep, napping, and circadian RAR parameters </w:t>
            </w:r>
          </w:p>
        </w:tc>
      </w:tr>
      <w:tr w:rsidR="00345950" w:rsidRPr="00460FE4" w14:paraId="093C738A" w14:textId="77777777" w:rsidTr="00151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FAC1" w14:textId="77777777" w:rsidR="00345950" w:rsidRPr="00460FE4" w:rsidRDefault="00345950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Parameter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750F4C7" w14:textId="3BDEF4A2" w:rsidR="00345950" w:rsidRPr="00460FE4" w:rsidRDefault="00345950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Mean (SD) change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D3880C0" w14:textId="7B3DA06F" w:rsidR="00345950" w:rsidRPr="00460FE4" w:rsidRDefault="00345950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“Worsening” cutoff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1FCF" w14:textId="77777777" w:rsidR="00042202" w:rsidRDefault="00345950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No. (%)</w:t>
            </w:r>
          </w:p>
          <w:p w14:paraId="6722A944" w14:textId="33752C9C" w:rsidR="00345950" w:rsidRPr="00460FE4" w:rsidRDefault="00345950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“</w:t>
            </w:r>
            <w:r w:rsidR="00543FDB" w:rsidRPr="00460FE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</w:t>
            </w:r>
            <w:r w:rsidRPr="00460FE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orsening” </w:t>
            </w:r>
          </w:p>
        </w:tc>
      </w:tr>
      <w:tr w:rsidR="0080696F" w:rsidRPr="00460FE4" w14:paraId="6A1719A2" w14:textId="77777777" w:rsidTr="0015115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auto"/>
            <w:noWrap/>
            <w:vAlign w:val="bottom"/>
          </w:tcPr>
          <w:p w14:paraId="6F291E31" w14:textId="41EF1AA9" w:rsidR="0080696F" w:rsidRPr="00460FE4" w:rsidRDefault="00C63291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Nighttime sleep duration</w:t>
            </w:r>
            <w:r w:rsidR="0080696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*</w:t>
            </w:r>
            <w:r w:rsidR="0080696F"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(min)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2C53" w14:textId="4F71F8F0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19.0 (74.1)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91CA1" w14:textId="50A9C20B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93.0</w:t>
            </w:r>
            <w:r w:rsidR="0015115A" w:rsidRPr="00920321">
              <w:rPr>
                <w:rFonts w:ascii="Arial" w:eastAsia="Times New Roman" w:hAnsi="Arial" w:cs="Arial"/>
                <w:color w:val="000000"/>
                <w:kern w:val="0"/>
                <w:vertAlign w:val="superscript"/>
                <w14:ligatures w14:val="none"/>
              </w:rPr>
              <w:t>†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920321">
              <w:rPr>
                <w:rFonts w:ascii="Arial" w:hAnsi="Arial" w:cs="Arial"/>
                <w:color w:val="000000"/>
              </w:rPr>
              <w:t>-55.</w:t>
            </w:r>
            <w:r>
              <w:rPr>
                <w:rFonts w:ascii="Arial" w:hAnsi="Arial" w:cs="Arial"/>
                <w:color w:val="000000"/>
              </w:rPr>
              <w:t>1</w:t>
            </w:r>
            <w:r w:rsidR="0015115A" w:rsidRPr="0015115A">
              <w:rPr>
                <w:rFonts w:ascii="Arial" w:hAnsi="Arial" w:cs="Arial"/>
                <w:color w:val="000000"/>
                <w:vertAlign w:val="superscript"/>
              </w:rPr>
              <w:t>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C3A56" w14:textId="579BA012" w:rsidR="0080696F" w:rsidRPr="0080696F" w:rsidRDefault="0015115A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  <w:r w:rsidR="0080696F" w:rsidRPr="0080696F">
              <w:rPr>
                <w:rFonts w:ascii="Arial" w:hAnsi="Arial" w:cs="Arial"/>
                <w:color w:val="000000"/>
              </w:rPr>
              <w:t> (</w:t>
            </w:r>
            <w:proofErr w:type="gramStart"/>
            <w:r w:rsidR="0080696F" w:rsidRPr="0080696F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4.5</w:t>
            </w:r>
            <w:r w:rsidR="0080696F" w:rsidRPr="0080696F">
              <w:rPr>
                <w:rFonts w:ascii="Arial" w:hAnsi="Arial" w:cs="Arial"/>
                <w:color w:val="000000"/>
              </w:rPr>
              <w:t>)</w:t>
            </w:r>
            <w:r w:rsidRPr="00920321">
              <w:rPr>
                <w:rFonts w:ascii="Arial" w:eastAsia="Times New Roman" w:hAnsi="Arial" w:cs="Arial"/>
                <w:color w:val="000000"/>
                <w:kern w:val="0"/>
                <w:vertAlign w:val="superscript"/>
                <w14:ligatures w14:val="none"/>
              </w:rPr>
              <w:t>†</w:t>
            </w:r>
            <w:proofErr w:type="gramEnd"/>
            <w:r w:rsidR="0080696F"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color w:val="000000"/>
              </w:rPr>
              <w:t>95 (</w:t>
            </w:r>
            <w:proofErr w:type="gramStart"/>
            <w:r>
              <w:rPr>
                <w:rFonts w:ascii="Arial" w:hAnsi="Arial" w:cs="Arial"/>
                <w:color w:val="000000"/>
              </w:rPr>
              <w:t>13.5)</w:t>
            </w:r>
            <w:r w:rsidRPr="0015115A">
              <w:rPr>
                <w:rFonts w:ascii="Arial" w:hAnsi="Arial" w:cs="Arial"/>
                <w:color w:val="000000"/>
                <w:vertAlign w:val="superscript"/>
              </w:rPr>
              <w:t>‡</w:t>
            </w:r>
            <w:proofErr w:type="gramEnd"/>
          </w:p>
        </w:tc>
      </w:tr>
      <w:tr w:rsidR="0080696F" w:rsidRPr="00460FE4" w14:paraId="1633D52B" w14:textId="77777777" w:rsidTr="00151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auto"/>
            <w:noWrap/>
            <w:vAlign w:val="bottom"/>
            <w:hideMark/>
          </w:tcPr>
          <w:p w14:paraId="133F4162" w14:textId="77777777" w:rsidR="0080696F" w:rsidRPr="00460FE4" w:rsidRDefault="0080696F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Sleep efficiency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04CB" w14:textId="46D3C9AE" w:rsidR="0080696F" w:rsidRPr="00920321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1.0 (10.7)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E8CA" w14:textId="1276D22E" w:rsidR="0080696F" w:rsidRPr="00920321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-9.7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6FC4" w14:textId="3589C5CB" w:rsidR="0080696F" w:rsidRPr="0080696F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0696F">
              <w:rPr>
                <w:rFonts w:ascii="Arial" w:hAnsi="Arial" w:cs="Arial"/>
                <w:color w:val="000000"/>
              </w:rPr>
              <w:t>72 (10.2)</w:t>
            </w:r>
          </w:p>
        </w:tc>
      </w:tr>
      <w:tr w:rsidR="0080696F" w:rsidRPr="00460FE4" w14:paraId="58185F34" w14:textId="77777777" w:rsidTr="0015115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auto"/>
            <w:noWrap/>
            <w:vAlign w:val="bottom"/>
            <w:hideMark/>
          </w:tcPr>
          <w:p w14:paraId="5D857EE7" w14:textId="77777777" w:rsidR="0080696F" w:rsidRPr="00460FE4" w:rsidRDefault="0080696F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Wake after sleep onset (min)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4B2B" w14:textId="301F969A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5.6 (45.4)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9601" w14:textId="658DABCD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51</w:t>
            </w:r>
            <w:r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E9F" w14:textId="2151432F" w:rsidR="0080696F" w:rsidRPr="0080696F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0696F">
              <w:rPr>
                <w:rFonts w:ascii="Arial" w:hAnsi="Arial" w:cs="Arial"/>
                <w:color w:val="000000"/>
              </w:rPr>
              <w:t>75 (10.7)</w:t>
            </w:r>
          </w:p>
        </w:tc>
      </w:tr>
      <w:tr w:rsidR="0080696F" w:rsidRPr="00460FE4" w14:paraId="6FBCA187" w14:textId="77777777" w:rsidTr="00151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auto"/>
            <w:noWrap/>
            <w:vAlign w:val="bottom"/>
            <w:hideMark/>
          </w:tcPr>
          <w:p w14:paraId="3A0941BB" w14:textId="77777777" w:rsidR="0080696F" w:rsidRPr="00460FE4" w:rsidRDefault="0080696F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Napping duration (min)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75BC" w14:textId="4C78C32A" w:rsidR="0080696F" w:rsidRPr="00920321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33.2 (83.9)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55C1" w14:textId="3D46316A" w:rsidR="0080696F" w:rsidRPr="00920321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117.1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D09D" w14:textId="04DA92FC" w:rsidR="0080696F" w:rsidRPr="0080696F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0696F">
              <w:rPr>
                <w:rFonts w:ascii="Arial" w:hAnsi="Arial" w:cs="Arial"/>
                <w:color w:val="000000"/>
              </w:rPr>
              <w:t>85 (12.1)</w:t>
            </w:r>
          </w:p>
        </w:tc>
      </w:tr>
      <w:tr w:rsidR="0080696F" w:rsidRPr="00460FE4" w14:paraId="55C1B80F" w14:textId="77777777" w:rsidTr="0015115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auto"/>
            <w:noWrap/>
            <w:vAlign w:val="bottom"/>
            <w:hideMark/>
          </w:tcPr>
          <w:p w14:paraId="328DB8FF" w14:textId="77777777" w:rsidR="0080696F" w:rsidRPr="00460FE4" w:rsidRDefault="0080696F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Napping frequency (count)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D958" w14:textId="76CFADD2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1.8 (4.3)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BC1E" w14:textId="740132E8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98C0" w14:textId="15C9D0FA" w:rsidR="0080696F" w:rsidRPr="0080696F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0696F">
              <w:rPr>
                <w:rFonts w:ascii="Arial" w:hAnsi="Arial" w:cs="Arial"/>
                <w:color w:val="000000"/>
              </w:rPr>
              <w:t>91 (12.9)</w:t>
            </w:r>
          </w:p>
        </w:tc>
      </w:tr>
      <w:tr w:rsidR="0080696F" w:rsidRPr="00460FE4" w14:paraId="78949719" w14:textId="77777777" w:rsidTr="00151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auto"/>
            <w:noWrap/>
            <w:vAlign w:val="bottom"/>
            <w:hideMark/>
          </w:tcPr>
          <w:p w14:paraId="03BEF749" w14:textId="10733F2A" w:rsidR="0080696F" w:rsidRPr="00460FE4" w:rsidRDefault="0080696F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Acrophase</w:t>
            </w:r>
            <w:proofErr w:type="spellEnd"/>
            <w:r w:rsidR="0015115A" w:rsidRPr="0015115A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vertAlign w:val="superscript"/>
                <w14:ligatures w14:val="none"/>
              </w:rPr>
              <w:t>§</w:t>
            </w: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(portions of hours)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6B35" w14:textId="43D65566" w:rsidR="0080696F" w:rsidRPr="00920321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-0.07 (1.1)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B93B" w14:textId="61A45EDF" w:rsidR="0080696F" w:rsidRPr="00920321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-1.1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D244" w14:textId="3738D6CD" w:rsidR="0080696F" w:rsidRPr="0080696F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0696F">
              <w:rPr>
                <w:rFonts w:ascii="Arial" w:hAnsi="Arial" w:cs="Arial"/>
                <w:color w:val="000000"/>
              </w:rPr>
              <w:t>73 (10.4)</w:t>
            </w:r>
          </w:p>
        </w:tc>
      </w:tr>
      <w:tr w:rsidR="0080696F" w:rsidRPr="00460FE4" w14:paraId="7A4074AC" w14:textId="77777777" w:rsidTr="0015115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auto"/>
            <w:noWrap/>
            <w:vAlign w:val="bottom"/>
            <w:hideMark/>
          </w:tcPr>
          <w:p w14:paraId="7775A4B2" w14:textId="77777777" w:rsidR="0080696F" w:rsidRPr="00460FE4" w:rsidRDefault="0080696F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Amplitude (counts/min)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4236" w14:textId="0C189E65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-685.2 (1080.5)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1411" w14:textId="01176163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-1765.6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B327" w14:textId="6C84A6C0" w:rsidR="0080696F" w:rsidRPr="0080696F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0696F">
              <w:rPr>
                <w:rFonts w:ascii="Arial" w:hAnsi="Arial" w:cs="Arial"/>
                <w:color w:val="000000"/>
              </w:rPr>
              <w:t>86 (12.2)</w:t>
            </w:r>
          </w:p>
        </w:tc>
      </w:tr>
      <w:tr w:rsidR="0080696F" w:rsidRPr="00460FE4" w14:paraId="29919447" w14:textId="77777777" w:rsidTr="00151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auto"/>
            <w:noWrap/>
            <w:vAlign w:val="bottom"/>
            <w:hideMark/>
          </w:tcPr>
          <w:p w14:paraId="15C8E66B" w14:textId="77777777" w:rsidR="0080696F" w:rsidRPr="00460FE4" w:rsidRDefault="0080696F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Mesor</w:t>
            </w:r>
            <w:proofErr w:type="spellEnd"/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(counts/min)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5AFB" w14:textId="227B3FFA" w:rsidR="0080696F" w:rsidRPr="00920321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-290.0 (561.8)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2D4B" w14:textId="04871018" w:rsidR="0080696F" w:rsidRPr="00920321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-851.8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757B" w14:textId="274AE0AB" w:rsidR="0080696F" w:rsidRPr="0080696F" w:rsidRDefault="0080696F" w:rsidP="00BF369D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0696F">
              <w:rPr>
                <w:rFonts w:ascii="Arial" w:hAnsi="Arial" w:cs="Arial"/>
                <w:color w:val="000000"/>
              </w:rPr>
              <w:t>81 (11.5)</w:t>
            </w:r>
          </w:p>
        </w:tc>
      </w:tr>
      <w:tr w:rsidR="0080696F" w:rsidRPr="00460FE4" w14:paraId="57FC2080" w14:textId="77777777" w:rsidTr="0015115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shd w:val="clear" w:color="auto" w:fill="auto"/>
            <w:noWrap/>
            <w:vAlign w:val="bottom"/>
            <w:hideMark/>
          </w:tcPr>
          <w:p w14:paraId="50F22AB4" w14:textId="77777777" w:rsidR="0080696F" w:rsidRPr="00460FE4" w:rsidRDefault="0080696F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60FE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Robustness (pseudo-F)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1D18" w14:textId="04B19649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-195.0 (427.3)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C88" w14:textId="10293B95" w:rsidR="0080696F" w:rsidRPr="00920321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20321">
              <w:rPr>
                <w:rFonts w:ascii="Arial" w:hAnsi="Arial" w:cs="Arial"/>
                <w:color w:val="000000"/>
              </w:rPr>
              <w:t>-622.3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35CA" w14:textId="6C7444C2" w:rsidR="0080696F" w:rsidRPr="0080696F" w:rsidRDefault="0080696F" w:rsidP="00BF369D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0696F">
              <w:rPr>
                <w:rFonts w:ascii="Arial" w:hAnsi="Arial" w:cs="Arial"/>
                <w:color w:val="000000"/>
              </w:rPr>
              <w:t>98 (13.9)</w:t>
            </w:r>
          </w:p>
        </w:tc>
      </w:tr>
      <w:tr w:rsidR="00345950" w:rsidRPr="00460FE4" w14:paraId="50F79277" w14:textId="77777777" w:rsidTr="00151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8F4A07" w14:textId="60A49F99" w:rsidR="0015115A" w:rsidRPr="0015115A" w:rsidRDefault="0015115A" w:rsidP="00BF369D">
            <w:pPr>
              <w:spacing w:after="0"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</w:pPr>
            <w:r w:rsidRPr="0015115A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Note: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The mean (SD) changes and the “worsening” cutoffs</w:t>
            </w:r>
            <w:r w:rsidR="00BF369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(one</w:t>
            </w:r>
            <w:r w:rsidR="00BF369D" w:rsidRPr="00BF369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</w:t>
            </w:r>
            <w:r w:rsidR="00BF369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SD</w:t>
            </w:r>
            <w:r w:rsidR="00BF369D" w:rsidRPr="00BF369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worse</w:t>
            </w:r>
            <w:r w:rsidR="00BF369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</w:t>
            </w:r>
            <w:r w:rsidR="00BF369D" w:rsidRPr="00BF369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than the mean change</w:t>
            </w:r>
            <w:r w:rsidR="00BF369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)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presented in this table were calculated in the sample of individuals with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actigraphic</w:t>
            </w:r>
            <w:proofErr w:type="spellEnd"/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data at both baseline and follow-up, before exclusion of women with incomplete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actigraphic</w:t>
            </w:r>
            <w:proofErr w:type="spellEnd"/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data or without post-visit nine mortality information.</w:t>
            </w:r>
            <w:r w:rsidR="00BF369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</w:t>
            </w:r>
          </w:p>
          <w:p w14:paraId="7DE7EA4A" w14:textId="35FEE601" w:rsidR="0015115A" w:rsidRDefault="00345950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2202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*</w:t>
            </w:r>
            <w:r w:rsidR="00920321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For </w:t>
            </w:r>
            <w:r w:rsidR="00C92F12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nighttime sleep duration</w:t>
            </w:r>
            <w:r w:rsidR="00920321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, </w:t>
            </w:r>
            <w:r w:rsidR="00920321" w:rsidRPr="00042202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rather than “worsening” and “stable/improving,” the sample was split into “</w:t>
            </w:r>
            <w:r w:rsidR="00920321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increasing</w:t>
            </w:r>
            <w:r w:rsidR="0080696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,</w:t>
            </w:r>
            <w:r w:rsidR="00920321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”</w:t>
            </w:r>
            <w:r w:rsidR="0080696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</w:t>
            </w:r>
            <w:r w:rsidR="00920321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“decreasing</w:t>
            </w:r>
            <w:r w:rsidR="0080696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,</w:t>
            </w:r>
            <w:r w:rsidR="00920321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” and “stable.”</w:t>
            </w:r>
            <w:r w:rsidR="0080696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 </w:t>
            </w:r>
          </w:p>
          <w:p w14:paraId="44AE705D" w14:textId="3EA24522" w:rsidR="0015115A" w:rsidRDefault="0015115A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5115A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vertAlign w:val="superscript"/>
                <w14:ligatures w14:val="none"/>
              </w:rPr>
              <w:t>†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vertAlign w:val="superscrip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“Increasing” group of </w:t>
            </w:r>
            <w:r w:rsidR="00C92F12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nighttime sleep duration</w:t>
            </w:r>
          </w:p>
          <w:p w14:paraId="2C2AC0E0" w14:textId="39019961" w:rsidR="0015115A" w:rsidRPr="0015115A" w:rsidRDefault="0015115A" w:rsidP="00BF369D">
            <w:pPr>
              <w:spacing w:after="0"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</w:pPr>
            <w:r w:rsidRPr="0015115A">
              <w:rPr>
                <w:rFonts w:ascii="Arial" w:hAnsi="Arial" w:cs="Arial"/>
                <w:b w:val="0"/>
                <w:bCs w:val="0"/>
                <w:color w:val="000000"/>
                <w:vertAlign w:val="superscript"/>
              </w:rPr>
              <w:t>‡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“Decreasing” group of </w:t>
            </w:r>
            <w:r w:rsidR="00C92F12">
              <w:rPr>
                <w:rFonts w:ascii="Arial" w:hAnsi="Arial" w:cs="Arial"/>
                <w:b w:val="0"/>
                <w:bCs w:val="0"/>
                <w:color w:val="000000"/>
              </w:rPr>
              <w:t>nighttime sleep duration</w:t>
            </w:r>
          </w:p>
          <w:p w14:paraId="6588BBDB" w14:textId="751EBE91" w:rsidR="00345950" w:rsidRDefault="0015115A" w:rsidP="00BF369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5115A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vertAlign w:val="superscript"/>
                <w14:ligatures w14:val="none"/>
              </w:rPr>
              <w:t>§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vertAlign w:val="superscript"/>
                <w14:ligatures w14:val="none"/>
              </w:rPr>
              <w:t xml:space="preserve"> </w:t>
            </w:r>
            <w:r w:rsidR="00345950" w:rsidRPr="00042202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For </w:t>
            </w:r>
            <w:proofErr w:type="spellStart"/>
            <w:r w:rsidR="00345950" w:rsidRPr="00042202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acrophase</w:t>
            </w:r>
            <w:proofErr w:type="spellEnd"/>
            <w:r w:rsidR="00345950" w:rsidRPr="00042202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, </w:t>
            </w:r>
            <w:r w:rsidR="00543FDB" w:rsidRPr="00042202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rather than “worsening” and “stable/improving,” the sample was split into “earlier” and “stable/later.”</w:t>
            </w:r>
          </w:p>
          <w:p w14:paraId="50F60C6A" w14:textId="44B5C28C" w:rsidR="00042202" w:rsidRPr="00042202" w:rsidRDefault="00042202" w:rsidP="00BF369D">
            <w:pPr>
              <w:spacing w:after="0"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</w:pPr>
            <w:r w:rsidRPr="00042202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Abbreviations: RAR, rest-activity rhythms; SD, standard deviation.</w:t>
            </w:r>
          </w:p>
        </w:tc>
      </w:tr>
    </w:tbl>
    <w:p w14:paraId="5A29FD0A" w14:textId="77777777" w:rsidR="00B642C0" w:rsidRDefault="00B642C0" w:rsidP="00086460">
      <w:pPr>
        <w:spacing w:after="0" w:line="240" w:lineRule="auto"/>
      </w:pPr>
    </w:p>
    <w:p w14:paraId="1ED5E76C" w14:textId="77777777" w:rsidR="00B642C0" w:rsidRDefault="00B642C0" w:rsidP="00086460">
      <w:pPr>
        <w:spacing w:after="0" w:line="240" w:lineRule="auto"/>
      </w:pPr>
    </w:p>
    <w:p w14:paraId="3D7819B2" w14:textId="77777777" w:rsidR="00B642C0" w:rsidRDefault="00B642C0" w:rsidP="00086460">
      <w:pPr>
        <w:spacing w:after="0" w:line="240" w:lineRule="auto"/>
      </w:pPr>
    </w:p>
    <w:p w14:paraId="6C6DE688" w14:textId="77777777" w:rsidR="00B642C0" w:rsidRDefault="00B642C0" w:rsidP="00086460">
      <w:pPr>
        <w:spacing w:after="0" w:line="240" w:lineRule="auto"/>
      </w:pPr>
    </w:p>
    <w:p w14:paraId="470A64B7" w14:textId="77777777" w:rsidR="00B642C0" w:rsidRDefault="00B642C0" w:rsidP="00086460">
      <w:pPr>
        <w:spacing w:after="0" w:line="240" w:lineRule="auto"/>
      </w:pPr>
    </w:p>
    <w:p w14:paraId="5C0DA570" w14:textId="77777777" w:rsidR="005548AA" w:rsidRDefault="005548AA" w:rsidP="00086460">
      <w:pPr>
        <w:spacing w:after="0" w:line="240" w:lineRule="auto"/>
      </w:pPr>
    </w:p>
    <w:p w14:paraId="526C71B4" w14:textId="77777777" w:rsidR="005548AA" w:rsidRDefault="005548AA" w:rsidP="00086460">
      <w:pPr>
        <w:spacing w:after="0" w:line="240" w:lineRule="auto"/>
      </w:pPr>
    </w:p>
    <w:p w14:paraId="75ECFA90" w14:textId="77777777" w:rsidR="005548AA" w:rsidRDefault="005548AA" w:rsidP="00086460">
      <w:pPr>
        <w:spacing w:after="0" w:line="240" w:lineRule="auto"/>
      </w:pPr>
    </w:p>
    <w:p w14:paraId="275C6961" w14:textId="77777777" w:rsidR="005548AA" w:rsidRDefault="005548AA" w:rsidP="00086460">
      <w:pPr>
        <w:spacing w:after="0" w:line="240" w:lineRule="auto"/>
      </w:pPr>
    </w:p>
    <w:p w14:paraId="0139300C" w14:textId="77777777" w:rsidR="005548AA" w:rsidRDefault="005548AA" w:rsidP="00086460">
      <w:pPr>
        <w:spacing w:after="0" w:line="240" w:lineRule="auto"/>
      </w:pPr>
    </w:p>
    <w:p w14:paraId="030F6279" w14:textId="77777777" w:rsidR="00B642C0" w:rsidRDefault="00B642C0" w:rsidP="00086460">
      <w:pPr>
        <w:spacing w:after="0" w:line="240" w:lineRule="auto"/>
      </w:pPr>
    </w:p>
    <w:p w14:paraId="688DD04F" w14:textId="77777777" w:rsidR="00B642C0" w:rsidRDefault="00B642C0" w:rsidP="00086460">
      <w:pPr>
        <w:spacing w:after="0" w:line="240" w:lineRule="auto"/>
      </w:pPr>
    </w:p>
    <w:p w14:paraId="18FBD3D9" w14:textId="77777777" w:rsidR="00B642C0" w:rsidRDefault="00B642C0" w:rsidP="00086460">
      <w:pPr>
        <w:spacing w:after="0" w:line="240" w:lineRule="auto"/>
      </w:pPr>
    </w:p>
    <w:p w14:paraId="25757576" w14:textId="77777777" w:rsidR="00B642C0" w:rsidRDefault="00B642C0" w:rsidP="00086460">
      <w:pPr>
        <w:spacing w:after="0" w:line="240" w:lineRule="auto"/>
      </w:pPr>
    </w:p>
    <w:p w14:paraId="6565E053" w14:textId="77777777" w:rsidR="00B642C0" w:rsidRDefault="00B642C0" w:rsidP="00086460">
      <w:pPr>
        <w:spacing w:after="0" w:line="240" w:lineRule="auto"/>
      </w:pPr>
    </w:p>
    <w:p w14:paraId="2C245271" w14:textId="77777777" w:rsidR="00B642C0" w:rsidRDefault="00B642C0" w:rsidP="00086460">
      <w:pPr>
        <w:spacing w:after="0" w:line="240" w:lineRule="auto"/>
      </w:pPr>
    </w:p>
    <w:p w14:paraId="46D2195F" w14:textId="77777777" w:rsidR="00B642C0" w:rsidRDefault="00B642C0" w:rsidP="00086460">
      <w:pPr>
        <w:spacing w:after="0" w:line="240" w:lineRule="auto"/>
      </w:pPr>
    </w:p>
    <w:p w14:paraId="5704B45A" w14:textId="77777777" w:rsidR="00B642C0" w:rsidRDefault="00B642C0" w:rsidP="00086460">
      <w:pPr>
        <w:spacing w:after="0" w:line="240" w:lineRule="auto"/>
      </w:pPr>
    </w:p>
    <w:p w14:paraId="2F10FE6C" w14:textId="77777777" w:rsidR="005548AA" w:rsidRDefault="005548AA" w:rsidP="00086460">
      <w:pPr>
        <w:spacing w:after="0" w:line="240" w:lineRule="auto"/>
      </w:pPr>
    </w:p>
    <w:p w14:paraId="46A9D3BF" w14:textId="77777777" w:rsidR="005548AA" w:rsidRDefault="005548AA" w:rsidP="00086460">
      <w:pPr>
        <w:spacing w:after="0" w:line="240" w:lineRule="auto"/>
      </w:pPr>
    </w:p>
    <w:p w14:paraId="69376E61" w14:textId="77777777" w:rsidR="005548AA" w:rsidRDefault="005548AA" w:rsidP="00086460">
      <w:pPr>
        <w:spacing w:after="0" w:line="240" w:lineRule="auto"/>
      </w:pPr>
    </w:p>
    <w:p w14:paraId="2335FA7C" w14:textId="77777777" w:rsidR="005548AA" w:rsidRDefault="005548AA" w:rsidP="00086460">
      <w:pPr>
        <w:spacing w:after="0" w:line="240" w:lineRule="auto"/>
      </w:pPr>
    </w:p>
    <w:p w14:paraId="296D1EF7" w14:textId="77777777" w:rsidR="00B52D87" w:rsidRDefault="00B52D87" w:rsidP="00086460">
      <w:pPr>
        <w:spacing w:after="0" w:line="240" w:lineRule="auto"/>
      </w:pPr>
    </w:p>
    <w:p w14:paraId="57B5EE2E" w14:textId="77777777" w:rsidR="00B52D87" w:rsidRDefault="00B52D87" w:rsidP="00086460">
      <w:pPr>
        <w:spacing w:after="0" w:line="240" w:lineRule="auto"/>
      </w:pPr>
    </w:p>
    <w:p w14:paraId="21ADC446" w14:textId="77777777" w:rsidR="00B52D87" w:rsidRDefault="00B52D87" w:rsidP="00086460">
      <w:pPr>
        <w:spacing w:after="0" w:line="240" w:lineRule="auto"/>
      </w:pPr>
    </w:p>
    <w:p w14:paraId="5DDB878D" w14:textId="77777777" w:rsidR="00B52D87" w:rsidRDefault="00B52D87" w:rsidP="00086460">
      <w:pPr>
        <w:spacing w:after="0" w:line="240" w:lineRule="auto"/>
      </w:pPr>
    </w:p>
    <w:p w14:paraId="0112CA12" w14:textId="77777777" w:rsidR="00B52D87" w:rsidRDefault="00B52D87" w:rsidP="00086460">
      <w:pPr>
        <w:spacing w:after="0" w:line="240" w:lineRule="auto"/>
      </w:pPr>
    </w:p>
    <w:p w14:paraId="26E844E7" w14:textId="77777777" w:rsidR="00B52D87" w:rsidRDefault="00B52D87" w:rsidP="00086460">
      <w:pPr>
        <w:spacing w:after="0" w:line="240" w:lineRule="auto"/>
      </w:pPr>
    </w:p>
    <w:p w14:paraId="46988632" w14:textId="77777777" w:rsidR="00B52D87" w:rsidRDefault="00B52D87" w:rsidP="00086460">
      <w:pPr>
        <w:spacing w:after="0" w:line="240" w:lineRule="auto"/>
      </w:pPr>
    </w:p>
    <w:p w14:paraId="79C2BF70" w14:textId="77777777" w:rsidR="00B52D87" w:rsidRDefault="00B52D87" w:rsidP="00086460">
      <w:pPr>
        <w:spacing w:after="0" w:line="240" w:lineRule="auto"/>
      </w:pPr>
    </w:p>
    <w:p w14:paraId="3FCA1BF6" w14:textId="77777777" w:rsidR="00B52D87" w:rsidRDefault="00B52D87" w:rsidP="00086460">
      <w:pPr>
        <w:spacing w:after="0" w:line="240" w:lineRule="auto"/>
      </w:pPr>
    </w:p>
    <w:p w14:paraId="4DA49429" w14:textId="77777777" w:rsidR="00B52D87" w:rsidRDefault="00B52D87" w:rsidP="00086460">
      <w:pPr>
        <w:spacing w:after="0" w:line="240" w:lineRule="auto"/>
      </w:pPr>
    </w:p>
    <w:p w14:paraId="16776459" w14:textId="77777777" w:rsidR="00B178B2" w:rsidRDefault="00B178B2" w:rsidP="00086460">
      <w:pPr>
        <w:spacing w:after="0" w:line="240" w:lineRule="auto"/>
      </w:pPr>
    </w:p>
    <w:p w14:paraId="38152284" w14:textId="77777777" w:rsidR="00B178B2" w:rsidRDefault="00B178B2" w:rsidP="00086460">
      <w:pPr>
        <w:spacing w:after="0" w:line="240" w:lineRule="auto"/>
      </w:pPr>
    </w:p>
    <w:p w14:paraId="4C58C68B" w14:textId="77777777" w:rsidR="00B178B2" w:rsidRDefault="00B178B2" w:rsidP="00086460">
      <w:pPr>
        <w:spacing w:after="0" w:line="240" w:lineRule="auto"/>
      </w:pPr>
    </w:p>
    <w:p w14:paraId="2A3F759C" w14:textId="77777777" w:rsidR="00B178B2" w:rsidRDefault="00B178B2" w:rsidP="00086460">
      <w:pPr>
        <w:spacing w:after="0" w:line="240" w:lineRule="auto"/>
      </w:pPr>
    </w:p>
    <w:p w14:paraId="235C58D7" w14:textId="77777777" w:rsidR="00B178B2" w:rsidRDefault="00B178B2" w:rsidP="00086460">
      <w:pPr>
        <w:spacing w:after="0" w:line="240" w:lineRule="auto"/>
      </w:pPr>
    </w:p>
    <w:p w14:paraId="3FA70797" w14:textId="77777777" w:rsidR="00B178B2" w:rsidRDefault="00B178B2" w:rsidP="00086460">
      <w:pPr>
        <w:spacing w:after="0" w:line="240" w:lineRule="auto"/>
      </w:pPr>
    </w:p>
    <w:p w14:paraId="409876C4" w14:textId="77777777" w:rsidR="00B178B2" w:rsidRDefault="00B178B2" w:rsidP="00086460">
      <w:pPr>
        <w:spacing w:after="0" w:line="240" w:lineRule="auto"/>
      </w:pPr>
    </w:p>
    <w:p w14:paraId="245F6D91" w14:textId="77777777" w:rsidR="00B52D87" w:rsidRDefault="00B52D87" w:rsidP="00086460">
      <w:pPr>
        <w:spacing w:after="0" w:line="240" w:lineRule="auto"/>
      </w:pPr>
    </w:p>
    <w:p w14:paraId="6DA39768" w14:textId="77777777" w:rsidR="00B52D87" w:rsidRDefault="00B52D87" w:rsidP="00086460">
      <w:pPr>
        <w:spacing w:after="0" w:line="240" w:lineRule="auto"/>
      </w:pPr>
    </w:p>
    <w:p w14:paraId="376B879F" w14:textId="77777777" w:rsidR="00B52D87" w:rsidRDefault="00B52D87" w:rsidP="00086460">
      <w:pPr>
        <w:spacing w:after="0" w:line="240" w:lineRule="auto"/>
      </w:pPr>
    </w:p>
    <w:p w14:paraId="08D516C4" w14:textId="77777777" w:rsidR="00B52D87" w:rsidRDefault="00B52D87" w:rsidP="00086460">
      <w:pPr>
        <w:spacing w:after="0" w:line="240" w:lineRule="auto"/>
      </w:pPr>
    </w:p>
    <w:p w14:paraId="6459C15A" w14:textId="77777777" w:rsidR="00B52D87" w:rsidRDefault="00B52D87" w:rsidP="00086460">
      <w:pPr>
        <w:spacing w:after="0" w:line="240" w:lineRule="auto"/>
      </w:pPr>
    </w:p>
    <w:p w14:paraId="6DD8AD7C" w14:textId="77777777" w:rsidR="00B52D87" w:rsidRDefault="00B52D87" w:rsidP="00086460">
      <w:pPr>
        <w:spacing w:after="0" w:line="240" w:lineRule="auto"/>
      </w:pPr>
    </w:p>
    <w:p w14:paraId="6D97F53D" w14:textId="77777777" w:rsidR="00B52D87" w:rsidRDefault="00B52D87" w:rsidP="00086460">
      <w:pPr>
        <w:spacing w:after="0" w:line="240" w:lineRule="auto"/>
      </w:pPr>
    </w:p>
    <w:p w14:paraId="40A5E9DE" w14:textId="77777777" w:rsidR="00B52D87" w:rsidRDefault="00B52D87" w:rsidP="00086460">
      <w:pPr>
        <w:spacing w:after="0" w:line="240" w:lineRule="auto"/>
      </w:pPr>
    </w:p>
    <w:p w14:paraId="2445DD1F" w14:textId="77777777" w:rsidR="005548AA" w:rsidRDefault="005548AA" w:rsidP="00086460">
      <w:pPr>
        <w:spacing w:after="0" w:line="240" w:lineRule="auto"/>
      </w:pPr>
    </w:p>
    <w:tbl>
      <w:tblPr>
        <w:tblStyle w:val="PlainTable41"/>
        <w:tblpPr w:leftFromText="180" w:rightFromText="180" w:vertAnchor="page" w:horzAnchor="margin" w:tblpXSpec="center" w:tblpY="4961"/>
        <w:tblW w:w="10634" w:type="dxa"/>
        <w:tblLook w:val="04A0" w:firstRow="1" w:lastRow="0" w:firstColumn="1" w:lastColumn="0" w:noHBand="0" w:noVBand="1"/>
      </w:tblPr>
      <w:tblGrid>
        <w:gridCol w:w="3690"/>
        <w:gridCol w:w="1980"/>
        <w:gridCol w:w="2070"/>
        <w:gridCol w:w="2070"/>
        <w:gridCol w:w="824"/>
      </w:tblGrid>
      <w:tr w:rsidR="00B178B2" w:rsidRPr="00F70DC8" w14:paraId="0C40EE9B" w14:textId="77777777" w:rsidTr="00167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1106DC" w14:textId="26A31831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Supplementary Table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Visit nine </w:t>
            </w:r>
            <w:r w:rsidR="007560B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(second sleep visit)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nighttime sleep, napping, and circadian rest-activity rhythm parameters by p</w:t>
            </w: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rofiles of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sleep-wake</w:t>
            </w: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change</w:t>
            </w:r>
          </w:p>
        </w:tc>
      </w:tr>
      <w:tr w:rsidR="00B178B2" w:rsidRPr="00F70DC8" w14:paraId="41006C91" w14:textId="77777777" w:rsidTr="00167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6B21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Parameter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E309B04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Stable sleep</w:t>
            </w:r>
          </w:p>
          <w:p w14:paraId="59B7D3F9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(N=</w:t>
            </w:r>
            <w:r w:rsidRPr="005548A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307</w:t>
            </w: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C4BEA78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Declining Nighttime Sleep</w:t>
            </w:r>
          </w:p>
          <w:p w14:paraId="076EF6D5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(N=</w:t>
            </w:r>
            <w:r w:rsidRPr="005548A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251</w:t>
            </w: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F8CF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Increasing </w:t>
            </w:r>
          </w:p>
          <w:p w14:paraId="64F8F636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Sleepiness</w:t>
            </w:r>
          </w:p>
          <w:p w14:paraId="3E0A6DBA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(N=</w:t>
            </w:r>
            <w:r w:rsidRPr="005548A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146</w:t>
            </w: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58EE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</w:t>
            </w:r>
          </w:p>
        </w:tc>
      </w:tr>
      <w:tr w:rsidR="00B178B2" w:rsidRPr="00F70DC8" w14:paraId="62D91B54" w14:textId="77777777" w:rsidTr="001676BC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bottom"/>
          </w:tcPr>
          <w:p w14:paraId="4851C2CE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Nighttime sleep duration</w:t>
            </w: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(min)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B214C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433.0 (81.7)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90686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401.4 (89.3)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C1912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464.8 (88.0)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0B8AB1F1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hAnsi="Arial" w:cs="Arial"/>
                <w:b/>
                <w:bCs/>
                <w:color w:val="000000"/>
                <w:kern w:val="0"/>
                <w14:ligatures w14:val="none"/>
              </w:rPr>
              <w:t>&lt;.001</w:t>
            </w:r>
          </w:p>
        </w:tc>
      </w:tr>
      <w:tr w:rsidR="00B178B2" w:rsidRPr="00F70DC8" w14:paraId="1A24ACDF" w14:textId="77777777" w:rsidTr="00167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bottom"/>
            <w:hideMark/>
          </w:tcPr>
          <w:p w14:paraId="3DFA48DF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Sleep efficiency (%)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74E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84.9 (10.1)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0271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78.1 (15.6)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5A21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87.7 (7.4)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3CA7CDB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hAnsi="Arial" w:cs="Arial"/>
                <w:b/>
                <w:bCs/>
                <w:color w:val="000000"/>
                <w:kern w:val="0"/>
                <w14:ligatures w14:val="none"/>
              </w:rPr>
              <w:t>&lt;.001</w:t>
            </w:r>
          </w:p>
        </w:tc>
      </w:tr>
      <w:tr w:rsidR="00B178B2" w:rsidRPr="00F70DC8" w14:paraId="35B97CF6" w14:textId="77777777" w:rsidTr="001676BC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bottom"/>
            <w:hideMark/>
          </w:tcPr>
          <w:p w14:paraId="0C08B7F0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Wake after sleep onset (min)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2C42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52.5 (42.6)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B10D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84.2 (75.0)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07BB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47.2 (36.2)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C8D59C3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hAnsi="Arial" w:cs="Arial"/>
                <w:b/>
                <w:bCs/>
                <w:color w:val="000000"/>
                <w:kern w:val="0"/>
                <w14:ligatures w14:val="none"/>
              </w:rPr>
              <w:t>&lt;.001</w:t>
            </w:r>
          </w:p>
        </w:tc>
      </w:tr>
      <w:tr w:rsidR="00B178B2" w:rsidRPr="00F70DC8" w14:paraId="1F96BF9B" w14:textId="77777777" w:rsidTr="00167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bottom"/>
            <w:hideMark/>
          </w:tcPr>
          <w:p w14:paraId="27FBAB28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Napping duration (min)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E370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48.5 (63.3)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2B97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71.8 (104.0)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E28D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175.5 (138.1)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9DAF286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hAnsi="Arial" w:cs="Arial"/>
                <w:b/>
                <w:bCs/>
                <w:color w:val="000000"/>
                <w:kern w:val="0"/>
                <w14:ligatures w14:val="none"/>
              </w:rPr>
              <w:t>&lt;.001</w:t>
            </w:r>
          </w:p>
        </w:tc>
      </w:tr>
      <w:tr w:rsidR="00B178B2" w:rsidRPr="00F70DC8" w14:paraId="03E5856D" w14:textId="77777777" w:rsidTr="001676BC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bottom"/>
            <w:hideMark/>
          </w:tcPr>
          <w:p w14:paraId="75417306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Napping frequency (count)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A596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2.7 (3.5)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67CD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4.0 (5.0)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E424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9.4 (8.2)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B31E330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hAnsi="Arial" w:cs="Arial"/>
                <w:b/>
                <w:bCs/>
                <w:color w:val="000000"/>
                <w:kern w:val="0"/>
                <w14:ligatures w14:val="none"/>
              </w:rPr>
              <w:t>&lt;.001</w:t>
            </w:r>
          </w:p>
        </w:tc>
      </w:tr>
      <w:tr w:rsidR="00B178B2" w:rsidRPr="00F70DC8" w14:paraId="7B63D789" w14:textId="77777777" w:rsidTr="00167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bottom"/>
            <w:hideMark/>
          </w:tcPr>
          <w:p w14:paraId="173C6A09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Acrophase</w:t>
            </w:r>
            <w:proofErr w:type="spellEnd"/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(portions of hours)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A108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14.7 (1.3)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6780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14.7 (1.4)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9129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14.6 (1.6)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788AAEE1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70DC8">
              <w:rPr>
                <w:rFonts w:ascii="Arial" w:hAnsi="Arial" w:cs="Arial"/>
                <w:color w:val="000000"/>
                <w:kern w:val="0"/>
                <w14:ligatures w14:val="none"/>
              </w:rPr>
              <w:t>.</w:t>
            </w:r>
            <w:r>
              <w:rPr>
                <w:rFonts w:ascii="Arial" w:hAnsi="Arial" w:cs="Arial"/>
                <w:color w:val="000000"/>
                <w:kern w:val="0"/>
                <w14:ligatures w14:val="none"/>
              </w:rPr>
              <w:t>68</w:t>
            </w:r>
          </w:p>
        </w:tc>
      </w:tr>
      <w:tr w:rsidR="00B178B2" w:rsidRPr="00F70DC8" w14:paraId="59827DF7" w14:textId="77777777" w:rsidTr="001676BC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bottom"/>
            <w:hideMark/>
          </w:tcPr>
          <w:p w14:paraId="40508EE4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Amplitude (counts/min)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9EDC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3337.9 (1283.7)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5C8D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2883.7 (1110.4)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6604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1901.6 (1127.8)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A46644B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hAnsi="Arial" w:cs="Arial"/>
                <w:b/>
                <w:bCs/>
                <w:color w:val="000000"/>
                <w:kern w:val="0"/>
                <w14:ligatures w14:val="none"/>
              </w:rPr>
              <w:t>&lt;.001</w:t>
            </w:r>
          </w:p>
        </w:tc>
      </w:tr>
      <w:tr w:rsidR="00B178B2" w:rsidRPr="00F70DC8" w14:paraId="36B8D485" w14:textId="77777777" w:rsidTr="00167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bottom"/>
            <w:hideMark/>
          </w:tcPr>
          <w:p w14:paraId="7E275C12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Mesor</w:t>
            </w:r>
            <w:proofErr w:type="spellEnd"/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(counts/min)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1B98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2035.1 (588.3)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7635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1928.4 (556.9)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7685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1285.7 (659.7)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13A186B0" w14:textId="77777777" w:rsidR="00B178B2" w:rsidRPr="00F70DC8" w:rsidRDefault="00B178B2" w:rsidP="00333659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hAnsi="Arial" w:cs="Arial"/>
                <w:b/>
                <w:bCs/>
                <w:color w:val="000000"/>
                <w:kern w:val="0"/>
                <w14:ligatures w14:val="none"/>
              </w:rPr>
              <w:t>&lt;.001</w:t>
            </w:r>
          </w:p>
        </w:tc>
      </w:tr>
      <w:tr w:rsidR="00B178B2" w:rsidRPr="00F70DC8" w14:paraId="1D07DCE0" w14:textId="77777777" w:rsidTr="001676BC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  <w:noWrap/>
            <w:vAlign w:val="bottom"/>
            <w:hideMark/>
          </w:tcPr>
          <w:p w14:paraId="6BBDD033" w14:textId="77777777" w:rsidR="00B178B2" w:rsidRPr="00F70DC8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70D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Robustness (pseudo-F)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2538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863.1 (535.0)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B660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612.3 (424.5)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6369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548AA">
              <w:rPr>
                <w:rFonts w:ascii="Arial" w:hAnsi="Arial" w:cs="Arial"/>
                <w:color w:val="000000"/>
              </w:rPr>
              <w:t>462.4 (347.6)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25C6127" w14:textId="77777777" w:rsidR="00B178B2" w:rsidRPr="00F70DC8" w:rsidRDefault="00B178B2" w:rsidP="0033365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70DC8">
              <w:rPr>
                <w:rFonts w:ascii="Arial" w:hAnsi="Arial" w:cs="Arial"/>
                <w:b/>
                <w:bCs/>
                <w:color w:val="000000"/>
                <w:kern w:val="0"/>
                <w14:ligatures w14:val="none"/>
              </w:rPr>
              <w:t>&lt;.001</w:t>
            </w:r>
          </w:p>
        </w:tc>
      </w:tr>
      <w:tr w:rsidR="00B178B2" w:rsidRPr="00F70DC8" w14:paraId="1A7195E8" w14:textId="77777777" w:rsidTr="00167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B150B2" w14:textId="0C8B14E1" w:rsidR="00B178B2" w:rsidRPr="00E4788C" w:rsidRDefault="00B178B2" w:rsidP="00333659">
            <w:pPr>
              <w:spacing w:after="0"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</w:pPr>
            <w:r w:rsidRPr="00E4788C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 xml:space="preserve">Note: Medians and interquartile ranges (IQRs) are reported. </w:t>
            </w:r>
            <w:r w:rsidR="00C5579A" w:rsidRPr="00C5579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C5579A" w:rsidRPr="00C5579A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Kruskal-Wallis tests were used</w:t>
            </w:r>
            <w:r w:rsidR="00C5579A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7A12ED15" w14:textId="77777777" w:rsidR="005548AA" w:rsidRDefault="005548AA" w:rsidP="00086460">
      <w:pPr>
        <w:spacing w:after="0" w:line="240" w:lineRule="auto"/>
      </w:pPr>
    </w:p>
    <w:p w14:paraId="78019E48" w14:textId="77777777" w:rsidR="005548AA" w:rsidRDefault="005548AA" w:rsidP="00086460">
      <w:pPr>
        <w:spacing w:after="0" w:line="240" w:lineRule="auto"/>
      </w:pPr>
    </w:p>
    <w:p w14:paraId="46167D12" w14:textId="77777777" w:rsidR="005548AA" w:rsidRDefault="005548AA" w:rsidP="00086460">
      <w:pPr>
        <w:spacing w:after="0" w:line="240" w:lineRule="auto"/>
      </w:pPr>
    </w:p>
    <w:p w14:paraId="59181EA1" w14:textId="77777777" w:rsidR="00E81A62" w:rsidRDefault="00E81A62" w:rsidP="00086460">
      <w:pPr>
        <w:spacing w:after="0" w:line="240" w:lineRule="auto"/>
      </w:pPr>
    </w:p>
    <w:p w14:paraId="18FBE537" w14:textId="77777777" w:rsidR="00E81A62" w:rsidRDefault="00E81A62" w:rsidP="00086460">
      <w:pPr>
        <w:spacing w:after="0" w:line="240" w:lineRule="auto"/>
      </w:pPr>
    </w:p>
    <w:p w14:paraId="015171E9" w14:textId="77777777" w:rsidR="00E81A62" w:rsidRDefault="00E81A62" w:rsidP="00086460">
      <w:pPr>
        <w:spacing w:after="0" w:line="240" w:lineRule="auto"/>
      </w:pPr>
    </w:p>
    <w:p w14:paraId="027055A0" w14:textId="77777777" w:rsidR="00E81A62" w:rsidRDefault="00E81A62" w:rsidP="00086460">
      <w:pPr>
        <w:spacing w:after="0" w:line="240" w:lineRule="auto"/>
      </w:pPr>
    </w:p>
    <w:p w14:paraId="2AD545AE" w14:textId="77777777" w:rsidR="00E81A62" w:rsidRDefault="00E81A62" w:rsidP="00086460">
      <w:pPr>
        <w:spacing w:after="0" w:line="240" w:lineRule="auto"/>
      </w:pPr>
    </w:p>
    <w:p w14:paraId="4E3CAC0C" w14:textId="77777777" w:rsidR="00E81A62" w:rsidRDefault="00E81A62" w:rsidP="00086460">
      <w:pPr>
        <w:spacing w:after="0" w:line="240" w:lineRule="auto"/>
      </w:pPr>
    </w:p>
    <w:p w14:paraId="298A061D" w14:textId="77777777" w:rsidR="00E81A62" w:rsidRDefault="00E81A62" w:rsidP="00086460">
      <w:pPr>
        <w:spacing w:after="0" w:line="240" w:lineRule="auto"/>
      </w:pPr>
    </w:p>
    <w:p w14:paraId="79542E69" w14:textId="77777777" w:rsidR="00E81A62" w:rsidRDefault="00E81A62" w:rsidP="00086460">
      <w:pPr>
        <w:spacing w:after="0" w:line="240" w:lineRule="auto"/>
      </w:pPr>
    </w:p>
    <w:p w14:paraId="1F8DE78D" w14:textId="77777777" w:rsidR="005548AA" w:rsidRDefault="005548AA" w:rsidP="00086460">
      <w:pPr>
        <w:spacing w:after="0" w:line="240" w:lineRule="auto"/>
      </w:pPr>
    </w:p>
    <w:p w14:paraId="60323870" w14:textId="77777777" w:rsidR="005548AA" w:rsidRDefault="005548AA" w:rsidP="00086460">
      <w:pPr>
        <w:spacing w:after="0" w:line="240" w:lineRule="auto"/>
      </w:pPr>
    </w:p>
    <w:p w14:paraId="3F82CA06" w14:textId="77777777" w:rsidR="005548AA" w:rsidRDefault="005548AA" w:rsidP="00086460">
      <w:pPr>
        <w:spacing w:after="0" w:line="240" w:lineRule="auto"/>
      </w:pPr>
    </w:p>
    <w:p w14:paraId="61767F84" w14:textId="77777777" w:rsidR="00616478" w:rsidRDefault="00616478" w:rsidP="00086460">
      <w:pPr>
        <w:spacing w:after="0" w:line="240" w:lineRule="auto"/>
      </w:pPr>
    </w:p>
    <w:p w14:paraId="10793444" w14:textId="77777777" w:rsidR="00616478" w:rsidRDefault="00616478" w:rsidP="00086460">
      <w:pPr>
        <w:spacing w:after="0" w:line="240" w:lineRule="auto"/>
      </w:pPr>
    </w:p>
    <w:p w14:paraId="10CFC71B" w14:textId="77777777" w:rsidR="00616478" w:rsidRDefault="00616478" w:rsidP="00086460">
      <w:pPr>
        <w:spacing w:after="0" w:line="240" w:lineRule="auto"/>
      </w:pPr>
    </w:p>
    <w:p w14:paraId="5EC312E9" w14:textId="77777777" w:rsidR="002F6A28" w:rsidRDefault="002F6A28" w:rsidP="00086460">
      <w:pPr>
        <w:spacing w:after="0" w:line="240" w:lineRule="auto"/>
      </w:pPr>
    </w:p>
    <w:p w14:paraId="6BF37D7E" w14:textId="77777777" w:rsidR="002F6A28" w:rsidRDefault="002F6A28" w:rsidP="00086460">
      <w:pPr>
        <w:spacing w:after="0" w:line="240" w:lineRule="auto"/>
      </w:pPr>
    </w:p>
    <w:p w14:paraId="3C651315" w14:textId="77777777" w:rsidR="00C63291" w:rsidRDefault="00C63291" w:rsidP="00086460">
      <w:pPr>
        <w:spacing w:after="0" w:line="240" w:lineRule="auto"/>
      </w:pPr>
    </w:p>
    <w:p w14:paraId="08844BC0" w14:textId="77777777" w:rsidR="00C63291" w:rsidRDefault="00C63291" w:rsidP="00086460">
      <w:pPr>
        <w:spacing w:after="0" w:line="240" w:lineRule="auto"/>
      </w:pPr>
    </w:p>
    <w:tbl>
      <w:tblPr>
        <w:tblStyle w:val="PlainTable4"/>
        <w:tblpPr w:leftFromText="180" w:rightFromText="180" w:vertAnchor="page" w:horzAnchor="margin" w:tblpXSpec="center" w:tblpY="2697"/>
        <w:tblW w:w="9720" w:type="dxa"/>
        <w:tblLook w:val="04A0" w:firstRow="1" w:lastRow="0" w:firstColumn="1" w:lastColumn="0" w:noHBand="0" w:noVBand="1"/>
        <w:tblCaption w:val="Table 1. Visit 9 characteristics in indviduals who died vs did not die"/>
      </w:tblPr>
      <w:tblGrid>
        <w:gridCol w:w="3799"/>
        <w:gridCol w:w="2501"/>
        <w:gridCol w:w="2160"/>
        <w:gridCol w:w="1260"/>
      </w:tblGrid>
      <w:tr w:rsidR="00E81A62" w:rsidRPr="000D6DC8" w14:paraId="5C732749" w14:textId="77777777" w:rsidTr="00E81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714E1B1D" w14:textId="2F92899C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Supplementary Table</w:t>
            </w:r>
            <w:r w:rsidRPr="000D6DC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178B2">
              <w:rPr>
                <w:rFonts w:ascii="Arial" w:eastAsia="Times New Roman" w:hAnsi="Arial" w:cs="Arial"/>
                <w:color w:val="000000"/>
              </w:rPr>
              <w:t>3</w:t>
            </w:r>
            <w:r w:rsidRPr="000D6DC8">
              <w:rPr>
                <w:rFonts w:ascii="Arial" w:eastAsia="Times New Roman" w:hAnsi="Arial" w:cs="Arial"/>
                <w:color w:val="000000"/>
              </w:rPr>
              <w:t xml:space="preserve">. Visit </w:t>
            </w:r>
            <w:r>
              <w:rPr>
                <w:rFonts w:ascii="Arial" w:eastAsia="Times New Roman" w:hAnsi="Arial" w:cs="Arial"/>
                <w:color w:val="000000"/>
              </w:rPr>
              <w:t>nine</w:t>
            </w:r>
            <w:r w:rsidRPr="000D6DC8">
              <w:rPr>
                <w:rFonts w:ascii="Arial" w:eastAsia="Times New Roman" w:hAnsi="Arial" w:cs="Arial"/>
                <w:color w:val="000000"/>
              </w:rPr>
              <w:t xml:space="preserve"> characteristics </w:t>
            </w:r>
            <w:r>
              <w:rPr>
                <w:rFonts w:ascii="Arial" w:eastAsia="Times New Roman" w:hAnsi="Arial" w:cs="Arial"/>
                <w:color w:val="000000"/>
              </w:rPr>
              <w:t>by post-visit nine mortality status</w:t>
            </w:r>
          </w:p>
        </w:tc>
      </w:tr>
      <w:tr w:rsidR="00E81A62" w:rsidRPr="000D6DC8" w14:paraId="58D7D0E8" w14:textId="77777777" w:rsidTr="00E81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8B7102F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0D6DC8">
              <w:rPr>
                <w:rFonts w:ascii="Arial" w:eastAsia="Times New Roman" w:hAnsi="Arial" w:cs="Arial"/>
                <w:color w:val="000000"/>
              </w:rPr>
              <w:t xml:space="preserve">                                    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DCC" w14:textId="77777777" w:rsidR="00E81A62" w:rsidRPr="0065614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6148">
              <w:rPr>
                <w:rFonts w:ascii="Arial" w:eastAsia="Times New Roman" w:hAnsi="Arial" w:cs="Arial"/>
                <w:b/>
                <w:bCs/>
                <w:color w:val="000000"/>
              </w:rPr>
              <w:t>Did not die (N=614)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32F8" w14:textId="77777777" w:rsidR="00E81A62" w:rsidRPr="0065614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6148">
              <w:rPr>
                <w:rFonts w:ascii="Arial" w:eastAsia="Times New Roman" w:hAnsi="Arial" w:cs="Arial"/>
                <w:b/>
                <w:bCs/>
                <w:color w:val="000000"/>
              </w:rPr>
              <w:t>Died (N=90)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0EFC" w14:textId="77777777" w:rsidR="00E81A62" w:rsidRPr="0065614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6148">
              <w:rPr>
                <w:rFonts w:ascii="Arial" w:eastAsia="Times New Roman" w:hAnsi="Arial" w:cs="Arial"/>
                <w:b/>
                <w:bCs/>
                <w:color w:val="000000"/>
              </w:rPr>
              <w:t>P</w:t>
            </w:r>
          </w:p>
        </w:tc>
      </w:tr>
      <w:tr w:rsidR="00E81A62" w:rsidRPr="000D6DC8" w14:paraId="0276B4CC" w14:textId="77777777" w:rsidTr="00E81A6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763BAE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Age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586" w14:textId="5197A439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87.</w:t>
            </w:r>
            <w:r w:rsidR="00C72A67">
              <w:rPr>
                <w:rFonts w:ascii="Arial" w:hAnsi="Arial" w:cs="Arial"/>
                <w:color w:val="000000"/>
              </w:rPr>
              <w:t>0</w:t>
            </w:r>
            <w:r w:rsidRPr="00C61B72">
              <w:rPr>
                <w:rFonts w:ascii="Arial" w:hAnsi="Arial" w:cs="Arial"/>
                <w:color w:val="000000"/>
              </w:rPr>
              <w:t xml:space="preserve"> (</w:t>
            </w:r>
            <w:r w:rsidR="00C72A67">
              <w:rPr>
                <w:rFonts w:ascii="Arial" w:hAnsi="Arial" w:cs="Arial"/>
                <w:color w:val="000000"/>
              </w:rPr>
              <w:t>3.0</w:t>
            </w:r>
            <w:r w:rsidRPr="00C61B7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46D" w14:textId="2C86A44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88.</w:t>
            </w:r>
            <w:r w:rsidR="00C72A67">
              <w:rPr>
                <w:rFonts w:ascii="Arial" w:hAnsi="Arial" w:cs="Arial"/>
                <w:color w:val="000000"/>
              </w:rPr>
              <w:t>0</w:t>
            </w:r>
            <w:r w:rsidRPr="00C61B72">
              <w:rPr>
                <w:rFonts w:ascii="Arial" w:hAnsi="Arial" w:cs="Arial"/>
                <w:color w:val="000000"/>
              </w:rPr>
              <w:t xml:space="preserve"> (</w:t>
            </w:r>
            <w:r w:rsidR="00C72A67">
              <w:rPr>
                <w:rFonts w:ascii="Arial" w:hAnsi="Arial" w:cs="Arial"/>
                <w:color w:val="000000"/>
              </w:rPr>
              <w:t>4.0</w:t>
            </w:r>
            <w:r w:rsidRPr="00C61B7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0EE9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.09</w:t>
            </w:r>
          </w:p>
        </w:tc>
      </w:tr>
      <w:tr w:rsidR="00E81A62" w:rsidRPr="000D6DC8" w14:paraId="67A2D04B" w14:textId="77777777" w:rsidTr="00E81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1F02B9C6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&lt;12 y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ea</w:t>
            </w: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rs education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469D953B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100 (16.3)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672E109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11 (12.2)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2FDFA0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.40</w:t>
            </w:r>
          </w:p>
        </w:tc>
      </w:tr>
      <w:tr w:rsidR="00E81A62" w:rsidRPr="000D6DC8" w14:paraId="0C4F1901" w14:textId="77777777" w:rsidTr="00E81A6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6C1DBEE9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Walks for exercise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4C31DF8A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255 (41.5)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0598461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27 (30.0)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384F82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1B72">
              <w:rPr>
                <w:rFonts w:ascii="Arial" w:hAnsi="Arial" w:cs="Arial"/>
                <w:b/>
                <w:bCs/>
                <w:color w:val="000000"/>
              </w:rPr>
              <w:t>.03</w:t>
            </w:r>
          </w:p>
        </w:tc>
      </w:tr>
      <w:tr w:rsidR="00E81A62" w:rsidRPr="000D6DC8" w14:paraId="09E8D0F9" w14:textId="77777777" w:rsidTr="00E81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517EE8B2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Body mass index (kg/m</w:t>
            </w: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  <w:vertAlign w:val="superscript"/>
              </w:rPr>
              <w:t>2</w:t>
            </w: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)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0CB1CA63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25.8 (6.1)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BADE3A7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23.8 (7.3)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032D2B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1B72">
              <w:rPr>
                <w:rFonts w:ascii="Arial" w:hAnsi="Arial" w:cs="Arial"/>
                <w:b/>
                <w:bCs/>
                <w:color w:val="000000"/>
              </w:rPr>
              <w:t>.02</w:t>
            </w:r>
          </w:p>
        </w:tc>
      </w:tr>
      <w:tr w:rsidR="00E81A62" w:rsidRPr="000D6DC8" w14:paraId="249EF40B" w14:textId="77777777" w:rsidTr="00E81A6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43A587CB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Diabetes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40575E72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80 (13.0)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2CF243C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19 (21.1)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AE166C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.06</w:t>
            </w:r>
          </w:p>
        </w:tc>
      </w:tr>
      <w:tr w:rsidR="00E81A62" w:rsidRPr="000D6DC8" w14:paraId="5BF2DF92" w14:textId="77777777" w:rsidTr="00E81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0105166D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Hypertension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3B3A1190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403 (65.6)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DC0A378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59 (65.6)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4C15F3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&gt;.99</w:t>
            </w:r>
          </w:p>
        </w:tc>
      </w:tr>
      <w:tr w:rsidR="00E81A62" w:rsidRPr="000D6DC8" w14:paraId="4850D9B4" w14:textId="77777777" w:rsidTr="00E81A6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0F77CB25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Stroke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01B8FB86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65 (10.6)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095F62F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14 (15.6)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122CE4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.22</w:t>
            </w:r>
          </w:p>
        </w:tc>
      </w:tr>
      <w:tr w:rsidR="00E81A62" w:rsidRPr="000D6DC8" w14:paraId="1C593FF7" w14:textId="77777777" w:rsidTr="00E81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60BCB50A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Myocardial infarction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427A3AFE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98 (16.0)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635ED80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23 (25.6)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E52F6D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1B72">
              <w:rPr>
                <w:rFonts w:ascii="Arial" w:hAnsi="Arial" w:cs="Arial"/>
                <w:b/>
                <w:bCs/>
                <w:color w:val="000000"/>
              </w:rPr>
              <w:t>.04</w:t>
            </w:r>
          </w:p>
        </w:tc>
      </w:tr>
      <w:tr w:rsidR="00E81A62" w:rsidRPr="000D6DC8" w14:paraId="6BBA16C7" w14:textId="77777777" w:rsidTr="00E81A6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26F7B8A1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Depression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0872C06C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69 (11.2)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54CB119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14 (15.6)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32D8F5" w14:textId="77777777" w:rsidR="00E81A62" w:rsidRPr="000D6DC8" w:rsidRDefault="00E81A62" w:rsidP="00E81A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.26</w:t>
            </w:r>
          </w:p>
        </w:tc>
      </w:tr>
      <w:tr w:rsidR="00E81A62" w:rsidRPr="000D6DC8" w14:paraId="2C316193" w14:textId="77777777" w:rsidTr="00E81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5D08C016" w14:textId="77777777" w:rsidR="00E81A62" w:rsidRPr="000D6DC8" w:rsidRDefault="00E81A62" w:rsidP="00E81A62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3MS</w:t>
            </w: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score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(0-100)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33BDE622" w14:textId="3CB6932C" w:rsidR="00E81A62" w:rsidRPr="000D6DC8" w:rsidRDefault="00C72A67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  <w:r w:rsidR="00E81A62" w:rsidRPr="00C61B72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="00E81A62" w:rsidRPr="00C61B72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10.0</w:t>
            </w:r>
            <w:r w:rsidR="00E81A62" w:rsidRPr="00C61B7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7326D89" w14:textId="15A8F2A1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8</w:t>
            </w:r>
            <w:r w:rsidR="00C72A67">
              <w:rPr>
                <w:rFonts w:ascii="Arial" w:hAnsi="Arial" w:cs="Arial"/>
                <w:color w:val="000000"/>
              </w:rPr>
              <w:t>8.5</w:t>
            </w:r>
            <w:r w:rsidRPr="00C61B72">
              <w:rPr>
                <w:rFonts w:ascii="Arial" w:hAnsi="Arial" w:cs="Arial"/>
                <w:color w:val="000000"/>
              </w:rPr>
              <w:t xml:space="preserve"> (</w:t>
            </w:r>
            <w:r w:rsidR="00C72A67">
              <w:rPr>
                <w:rFonts w:ascii="Arial" w:hAnsi="Arial" w:cs="Arial"/>
                <w:color w:val="000000"/>
              </w:rPr>
              <w:t>10.0</w:t>
            </w:r>
            <w:r w:rsidRPr="00C61B7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A0E9AE" w14:textId="77777777" w:rsidR="00E81A62" w:rsidRPr="000D6DC8" w:rsidRDefault="00E81A62" w:rsidP="00E81A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1B72">
              <w:rPr>
                <w:rFonts w:ascii="Arial" w:hAnsi="Arial" w:cs="Arial"/>
                <w:b/>
                <w:bCs/>
                <w:color w:val="000000"/>
              </w:rPr>
              <w:t>.01</w:t>
            </w:r>
          </w:p>
        </w:tc>
      </w:tr>
      <w:tr w:rsidR="00C21654" w:rsidRPr="000D6DC8" w14:paraId="07951F90" w14:textId="77777777" w:rsidTr="00691F48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vAlign w:val="center"/>
          </w:tcPr>
          <w:p w14:paraId="180287F9" w14:textId="373110B1" w:rsidR="00C21654" w:rsidRPr="00C21654" w:rsidRDefault="00C21654" w:rsidP="00C21654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C21654">
              <w:rPr>
                <w:rFonts w:ascii="Arial" w:hAnsi="Arial" w:cs="Arial"/>
                <w:b w:val="0"/>
                <w:bCs w:val="0"/>
                <w:color w:val="000000"/>
              </w:rPr>
              <w:t>Impairment of ≥1 IADL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34272710" w14:textId="5038700A" w:rsidR="00C21654" w:rsidRPr="00C61B72" w:rsidRDefault="00C21654" w:rsidP="00C216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 (65.0)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D124EDA" w14:textId="447ADAAE" w:rsidR="00C21654" w:rsidRPr="00C61B72" w:rsidRDefault="00C21654" w:rsidP="00C216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 (74.4)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267EA52" w14:textId="260B7A42" w:rsidR="00C21654" w:rsidRPr="00C21654" w:rsidRDefault="00C21654" w:rsidP="00C216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21654">
              <w:rPr>
                <w:rFonts w:ascii="Arial" w:hAnsi="Arial" w:cs="Arial"/>
                <w:color w:val="000000"/>
              </w:rPr>
              <w:t>.08</w:t>
            </w:r>
          </w:p>
        </w:tc>
      </w:tr>
      <w:tr w:rsidR="00C21654" w:rsidRPr="000D6DC8" w14:paraId="476B79A7" w14:textId="77777777" w:rsidTr="002E3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vAlign w:val="center"/>
          </w:tcPr>
          <w:p w14:paraId="7624DBA1" w14:textId="3DDCDE84" w:rsidR="00C21654" w:rsidRPr="00C21654" w:rsidRDefault="00296A46" w:rsidP="00C21654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Good</w:t>
            </w:r>
            <w:r w:rsidR="00C21654" w:rsidRPr="00C21654">
              <w:rPr>
                <w:rFonts w:ascii="Arial" w:hAnsi="Arial" w:cs="Arial"/>
                <w:b w:val="0"/>
                <w:bCs w:val="0"/>
                <w:color w:val="000000"/>
              </w:rPr>
              <w:t>/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excellent</w:t>
            </w:r>
            <w:r w:rsidR="00C21654" w:rsidRPr="00C21654">
              <w:rPr>
                <w:rFonts w:ascii="Arial" w:hAnsi="Arial" w:cs="Arial"/>
                <w:b w:val="0"/>
                <w:bCs w:val="0"/>
                <w:color w:val="000000"/>
              </w:rPr>
              <w:t xml:space="preserve"> self-rated health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7F0AB874" w14:textId="4667CB4D" w:rsidR="00C21654" w:rsidRPr="00C61B72" w:rsidRDefault="00023A07" w:rsidP="00C216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  <w:r w:rsidR="00C21654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80.6</w:t>
            </w:r>
            <w:r w:rsidR="00C2165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9533BD7" w14:textId="594FCF46" w:rsidR="00C21654" w:rsidRPr="00C61B72" w:rsidRDefault="00296A46" w:rsidP="00C216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C21654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68.9</w:t>
            </w:r>
            <w:r w:rsidR="00C2165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92B9120" w14:textId="1D700762" w:rsidR="00C21654" w:rsidRPr="00C61B72" w:rsidRDefault="00C21654" w:rsidP="00C216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.01</w:t>
            </w:r>
          </w:p>
        </w:tc>
      </w:tr>
      <w:tr w:rsidR="00C21654" w:rsidRPr="000D6DC8" w14:paraId="68D30015" w14:textId="77777777" w:rsidTr="00E81A6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auto"/>
            <w:noWrap/>
            <w:hideMark/>
          </w:tcPr>
          <w:p w14:paraId="6EA43794" w14:textId="77777777" w:rsidR="00C21654" w:rsidRPr="000D6DC8" w:rsidRDefault="00C21654" w:rsidP="00C21654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Antidepressant user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14:paraId="2CF5223A" w14:textId="77777777" w:rsidR="00C21654" w:rsidRPr="000D6DC8" w:rsidRDefault="00C21654" w:rsidP="00C216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85 (13.8)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32ECF7B" w14:textId="77777777" w:rsidR="00C21654" w:rsidRPr="000D6DC8" w:rsidRDefault="00C21654" w:rsidP="00C216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22 (24.4)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DA754E" w14:textId="77777777" w:rsidR="00C21654" w:rsidRPr="000D6DC8" w:rsidRDefault="00C21654" w:rsidP="00C216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1B72">
              <w:rPr>
                <w:rFonts w:ascii="Arial" w:hAnsi="Arial" w:cs="Arial"/>
                <w:b/>
                <w:bCs/>
                <w:color w:val="000000"/>
              </w:rPr>
              <w:t>.01</w:t>
            </w:r>
          </w:p>
        </w:tc>
      </w:tr>
      <w:tr w:rsidR="00C21654" w:rsidRPr="000D6DC8" w14:paraId="12DC23D0" w14:textId="77777777" w:rsidTr="00E81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B7222A" w14:textId="77777777" w:rsidR="00C21654" w:rsidRPr="000D6DC8" w:rsidRDefault="00C21654" w:rsidP="00C21654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Sleep medication user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5463" w14:textId="77777777" w:rsidR="00C21654" w:rsidRPr="000D6DC8" w:rsidRDefault="00C21654" w:rsidP="00C216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137 (22.3)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3D79" w14:textId="77777777" w:rsidR="00C21654" w:rsidRPr="000D6DC8" w:rsidRDefault="00C21654" w:rsidP="00C216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18 (20.0)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DD3" w14:textId="77777777" w:rsidR="00C21654" w:rsidRPr="000D6DC8" w:rsidRDefault="00C21654" w:rsidP="00C216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C61B72">
              <w:rPr>
                <w:rFonts w:ascii="Arial" w:hAnsi="Arial" w:cs="Arial"/>
                <w:color w:val="000000"/>
              </w:rPr>
              <w:t>.75</w:t>
            </w:r>
          </w:p>
        </w:tc>
      </w:tr>
      <w:tr w:rsidR="00C21654" w:rsidRPr="000D6DC8" w14:paraId="0D4B99D2" w14:textId="77777777" w:rsidTr="00E81A6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</w:tcPr>
          <w:p w14:paraId="51801A21" w14:textId="0AC9CDF4" w:rsidR="004B7365" w:rsidRDefault="00C21654" w:rsidP="00333659">
            <w:pPr>
              <w:spacing w:after="0" w:line="360" w:lineRule="auto"/>
              <w:rPr>
                <w:rFonts w:ascii="Arial" w:hAnsi="Arial" w:cs="Arial"/>
                <w:color w:val="222222"/>
              </w:rPr>
            </w:pPr>
            <w:r w:rsidRPr="000D6DC8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Note: </w:t>
            </w:r>
            <w:r w:rsidR="00B65C4F" w:rsidRPr="00B65C4F">
              <w:rPr>
                <w:rFonts w:ascii="Arial" w:hAnsi="Arial" w:cs="Arial"/>
                <w:b w:val="0"/>
                <w:bCs w:val="0"/>
                <w:color w:val="222222"/>
              </w:rPr>
              <w:t xml:space="preserve">For age, body mass index, </w:t>
            </w:r>
            <w:r w:rsidR="00A335F7">
              <w:rPr>
                <w:rFonts w:ascii="Arial" w:hAnsi="Arial" w:cs="Arial"/>
                <w:b w:val="0"/>
                <w:bCs w:val="0"/>
                <w:color w:val="222222"/>
              </w:rPr>
              <w:t xml:space="preserve">and </w:t>
            </w:r>
            <w:r w:rsidR="00B65C4F" w:rsidRPr="00B65C4F">
              <w:rPr>
                <w:rFonts w:ascii="Arial" w:hAnsi="Arial" w:cs="Arial"/>
                <w:b w:val="0"/>
                <w:bCs w:val="0"/>
                <w:color w:val="222222"/>
              </w:rPr>
              <w:t xml:space="preserve">3MS score, Kruskal-Wallis tests were used, and median and interquartile range are reported. Counts and percentages are reported for all other variables (categorical variables), for which chi-square tests </w:t>
            </w:r>
            <w:r w:rsidR="000D2C39">
              <w:rPr>
                <w:rFonts w:ascii="Arial" w:hAnsi="Arial" w:cs="Arial"/>
                <w:b w:val="0"/>
                <w:bCs w:val="0"/>
                <w:color w:val="222222"/>
              </w:rPr>
              <w:t xml:space="preserve">(and Fisher’s exact test for self-rated health) </w:t>
            </w:r>
            <w:r w:rsidR="00B65C4F" w:rsidRPr="00B65C4F">
              <w:rPr>
                <w:rFonts w:ascii="Arial" w:hAnsi="Arial" w:cs="Arial"/>
                <w:b w:val="0"/>
                <w:bCs w:val="0"/>
                <w:color w:val="222222"/>
              </w:rPr>
              <w:t xml:space="preserve">were used. </w:t>
            </w:r>
            <w:r>
              <w:rPr>
                <w:rFonts w:ascii="Arial" w:hAnsi="Arial" w:cs="Arial"/>
                <w:b w:val="0"/>
                <w:bCs w:val="0"/>
                <w:color w:val="222222"/>
              </w:rPr>
              <w:t>The following variables were missing observations: age (5), walks for exercise (17), body mass index (45), depression (6), impairment of ≥1 IADL (5), self-</w:t>
            </w:r>
            <w:r w:rsidR="00296A46">
              <w:rPr>
                <w:rFonts w:ascii="Arial" w:hAnsi="Arial" w:cs="Arial"/>
                <w:b w:val="0"/>
                <w:bCs w:val="0"/>
                <w:color w:val="222222"/>
              </w:rPr>
              <w:t>rated</w:t>
            </w:r>
            <w:r>
              <w:rPr>
                <w:rFonts w:ascii="Arial" w:hAnsi="Arial" w:cs="Arial"/>
                <w:b w:val="0"/>
                <w:bCs w:val="0"/>
                <w:color w:val="222222"/>
              </w:rPr>
              <w:t xml:space="preserve"> health (</w:t>
            </w:r>
            <w:r w:rsidR="00296A46">
              <w:rPr>
                <w:rFonts w:ascii="Arial" w:hAnsi="Arial" w:cs="Arial"/>
                <w:b w:val="0"/>
                <w:bCs w:val="0"/>
                <w:color w:val="222222"/>
              </w:rPr>
              <w:t>1</w:t>
            </w:r>
            <w:r>
              <w:rPr>
                <w:rFonts w:ascii="Arial" w:hAnsi="Arial" w:cs="Arial"/>
                <w:b w:val="0"/>
                <w:bCs w:val="0"/>
                <w:color w:val="222222"/>
              </w:rPr>
              <w:t xml:space="preserve">), antidepressant user (3), </w:t>
            </w:r>
            <w:r w:rsidR="00023A07">
              <w:rPr>
                <w:rFonts w:ascii="Arial" w:hAnsi="Arial" w:cs="Arial"/>
                <w:b w:val="0"/>
                <w:bCs w:val="0"/>
                <w:color w:val="222222"/>
              </w:rPr>
              <w:t xml:space="preserve">and </w:t>
            </w:r>
            <w:r>
              <w:rPr>
                <w:rFonts w:ascii="Arial" w:hAnsi="Arial" w:cs="Arial"/>
                <w:b w:val="0"/>
                <w:bCs w:val="0"/>
                <w:color w:val="222222"/>
              </w:rPr>
              <w:t>sleep medication user (2).</w:t>
            </w:r>
          </w:p>
          <w:p w14:paraId="6EAA1098" w14:textId="76AC77E2" w:rsidR="00C21654" w:rsidRPr="004B7365" w:rsidRDefault="00C21654" w:rsidP="00333659">
            <w:pPr>
              <w:spacing w:line="360" w:lineRule="auto"/>
              <w:rPr>
                <w:rFonts w:ascii="Arial" w:hAnsi="Arial" w:cs="Arial"/>
                <w:b w:val="0"/>
                <w:bCs w:val="0"/>
                <w:color w:val="222222"/>
              </w:rPr>
            </w:pPr>
            <w:r w:rsidRPr="000D6DC8">
              <w:rPr>
                <w:rFonts w:ascii="Arial" w:hAnsi="Arial" w:cs="Arial"/>
                <w:b w:val="0"/>
                <w:bCs w:val="0"/>
                <w:color w:val="222222"/>
              </w:rPr>
              <w:t xml:space="preserve">Abbreviations: </w:t>
            </w:r>
            <w:r>
              <w:rPr>
                <w:rFonts w:ascii="Arial" w:hAnsi="Arial" w:cs="Arial"/>
                <w:b w:val="0"/>
                <w:bCs w:val="0"/>
                <w:color w:val="222222"/>
              </w:rPr>
              <w:t>3MS</w:t>
            </w:r>
            <w:r w:rsidRPr="000D6DC8">
              <w:rPr>
                <w:rFonts w:ascii="Arial" w:hAnsi="Arial" w:cs="Arial"/>
                <w:b w:val="0"/>
                <w:bCs w:val="0"/>
                <w:color w:val="222222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color w:val="222222"/>
              </w:rPr>
              <w:t xml:space="preserve">Modified </w:t>
            </w:r>
            <w:r w:rsidRPr="000D6DC8">
              <w:rPr>
                <w:rFonts w:ascii="Arial" w:hAnsi="Arial" w:cs="Arial"/>
                <w:b w:val="0"/>
                <w:bCs w:val="0"/>
                <w:color w:val="222222"/>
              </w:rPr>
              <w:t>Mini-Mental State Examination</w:t>
            </w:r>
            <w:r>
              <w:rPr>
                <w:rFonts w:ascii="Arial" w:hAnsi="Arial" w:cs="Arial"/>
                <w:b w:val="0"/>
                <w:bCs w:val="0"/>
                <w:color w:val="222222"/>
              </w:rPr>
              <w:t xml:space="preserve">; </w:t>
            </w:r>
            <w:r w:rsidRPr="00C21654">
              <w:rPr>
                <w:rFonts w:ascii="Arial" w:hAnsi="Arial" w:cs="Arial"/>
                <w:b w:val="0"/>
                <w:bCs w:val="0"/>
                <w:color w:val="222222"/>
              </w:rPr>
              <w:t>IADL, Instrumental Activity of Daily Living</w:t>
            </w:r>
            <w:r w:rsidRPr="000D6DC8">
              <w:rPr>
                <w:rFonts w:ascii="Arial" w:hAnsi="Arial" w:cs="Arial"/>
                <w:b w:val="0"/>
                <w:bCs w:val="0"/>
                <w:color w:val="222222"/>
              </w:rPr>
              <w:t>.</w:t>
            </w:r>
          </w:p>
        </w:tc>
      </w:tr>
    </w:tbl>
    <w:p w14:paraId="71EA1446" w14:textId="77777777" w:rsidR="00C63291" w:rsidRDefault="00C63291" w:rsidP="00086460">
      <w:pPr>
        <w:spacing w:after="0" w:line="240" w:lineRule="auto"/>
      </w:pPr>
    </w:p>
    <w:p w14:paraId="1A95CEF3" w14:textId="77777777" w:rsidR="00C63291" w:rsidRDefault="00C63291" w:rsidP="00086460">
      <w:pPr>
        <w:spacing w:after="0" w:line="240" w:lineRule="auto"/>
      </w:pPr>
    </w:p>
    <w:p w14:paraId="724E95E9" w14:textId="77777777" w:rsidR="00C63291" w:rsidRDefault="00C63291" w:rsidP="00086460">
      <w:pPr>
        <w:spacing w:after="0" w:line="240" w:lineRule="auto"/>
      </w:pPr>
    </w:p>
    <w:p w14:paraId="04EBDC14" w14:textId="77777777" w:rsidR="00C63291" w:rsidRDefault="00C63291" w:rsidP="00086460">
      <w:pPr>
        <w:spacing w:after="0" w:line="240" w:lineRule="auto"/>
      </w:pPr>
    </w:p>
    <w:p w14:paraId="669CD3ED" w14:textId="77777777" w:rsidR="00C63291" w:rsidRDefault="00C63291" w:rsidP="00086460">
      <w:pPr>
        <w:spacing w:after="0" w:line="240" w:lineRule="auto"/>
      </w:pPr>
    </w:p>
    <w:p w14:paraId="7358F03D" w14:textId="77777777" w:rsidR="00C63291" w:rsidRDefault="00C63291" w:rsidP="00086460">
      <w:pPr>
        <w:spacing w:after="0" w:line="240" w:lineRule="auto"/>
      </w:pPr>
    </w:p>
    <w:p w14:paraId="0517EA3F" w14:textId="77777777" w:rsidR="00C63291" w:rsidRDefault="00C63291" w:rsidP="00086460">
      <w:pPr>
        <w:spacing w:after="0" w:line="240" w:lineRule="auto"/>
      </w:pPr>
    </w:p>
    <w:p w14:paraId="78CFF1E9" w14:textId="77777777" w:rsidR="00C63291" w:rsidRDefault="00C63291" w:rsidP="00086460">
      <w:pPr>
        <w:spacing w:after="0" w:line="240" w:lineRule="auto"/>
      </w:pPr>
    </w:p>
    <w:p w14:paraId="47ADBB1A" w14:textId="77777777" w:rsidR="00C63291" w:rsidRDefault="00C63291" w:rsidP="00086460">
      <w:pPr>
        <w:spacing w:after="0" w:line="240" w:lineRule="auto"/>
      </w:pPr>
    </w:p>
    <w:p w14:paraId="7E00810A" w14:textId="77777777" w:rsidR="00C63291" w:rsidRDefault="00C63291" w:rsidP="00086460">
      <w:pPr>
        <w:spacing w:after="0" w:line="240" w:lineRule="auto"/>
      </w:pPr>
    </w:p>
    <w:p w14:paraId="218E9F45" w14:textId="77777777" w:rsidR="00C63291" w:rsidRDefault="00C63291" w:rsidP="00086460">
      <w:pPr>
        <w:spacing w:after="0" w:line="240" w:lineRule="auto"/>
      </w:pPr>
    </w:p>
    <w:p w14:paraId="24F24CCE" w14:textId="77777777" w:rsidR="00C63291" w:rsidRDefault="00C63291" w:rsidP="00086460">
      <w:pPr>
        <w:spacing w:after="0" w:line="240" w:lineRule="auto"/>
      </w:pPr>
    </w:p>
    <w:p w14:paraId="0E2B541C" w14:textId="77777777" w:rsidR="00C63291" w:rsidRDefault="00C63291" w:rsidP="00086460">
      <w:pPr>
        <w:spacing w:after="0" w:line="240" w:lineRule="auto"/>
      </w:pPr>
    </w:p>
    <w:p w14:paraId="3EBF6F67" w14:textId="77777777" w:rsidR="00C63291" w:rsidRDefault="00C63291" w:rsidP="00086460">
      <w:pPr>
        <w:spacing w:after="0" w:line="240" w:lineRule="auto"/>
      </w:pPr>
    </w:p>
    <w:p w14:paraId="1220D9E4" w14:textId="77777777" w:rsidR="00C63291" w:rsidRDefault="00C63291" w:rsidP="00086460">
      <w:pPr>
        <w:spacing w:after="0" w:line="240" w:lineRule="auto"/>
      </w:pPr>
    </w:p>
    <w:p w14:paraId="5631A50E" w14:textId="77777777" w:rsidR="00C63291" w:rsidRDefault="00C63291" w:rsidP="00086460">
      <w:pPr>
        <w:spacing w:after="0" w:line="240" w:lineRule="auto"/>
      </w:pPr>
    </w:p>
    <w:p w14:paraId="170DC47F" w14:textId="77777777" w:rsidR="00C63291" w:rsidRDefault="00C63291" w:rsidP="00086460">
      <w:pPr>
        <w:spacing w:after="0" w:line="240" w:lineRule="auto"/>
      </w:pPr>
    </w:p>
    <w:p w14:paraId="2B96E435" w14:textId="77777777" w:rsidR="00C63291" w:rsidRDefault="00C63291" w:rsidP="00086460">
      <w:pPr>
        <w:spacing w:after="0" w:line="240" w:lineRule="auto"/>
      </w:pPr>
    </w:p>
    <w:p w14:paraId="4228BD6D" w14:textId="77777777" w:rsidR="00C63291" w:rsidRDefault="00C63291" w:rsidP="00086460">
      <w:pPr>
        <w:spacing w:after="0" w:line="240" w:lineRule="auto"/>
      </w:pPr>
    </w:p>
    <w:p w14:paraId="53FD3DED" w14:textId="77777777" w:rsidR="00C63291" w:rsidRDefault="00C63291" w:rsidP="00086460">
      <w:pPr>
        <w:spacing w:after="0" w:line="240" w:lineRule="auto"/>
      </w:pPr>
    </w:p>
    <w:p w14:paraId="148575D4" w14:textId="77777777" w:rsidR="00C63291" w:rsidRDefault="00C63291" w:rsidP="00086460">
      <w:pPr>
        <w:spacing w:after="0" w:line="240" w:lineRule="auto"/>
      </w:pPr>
    </w:p>
    <w:p w14:paraId="03FEDFEA" w14:textId="77777777" w:rsidR="00C63291" w:rsidRDefault="00C63291" w:rsidP="00086460">
      <w:pPr>
        <w:spacing w:after="0" w:line="240" w:lineRule="auto"/>
      </w:pPr>
    </w:p>
    <w:p w14:paraId="40BC3872" w14:textId="77777777" w:rsidR="00C63291" w:rsidRDefault="00C63291" w:rsidP="00086460">
      <w:pPr>
        <w:spacing w:after="0" w:line="240" w:lineRule="auto"/>
      </w:pPr>
    </w:p>
    <w:p w14:paraId="751DB67A" w14:textId="77777777" w:rsidR="00C63291" w:rsidRDefault="00C63291" w:rsidP="00086460">
      <w:pPr>
        <w:spacing w:after="0" w:line="240" w:lineRule="auto"/>
      </w:pPr>
    </w:p>
    <w:p w14:paraId="44761BBE" w14:textId="77777777" w:rsidR="00C63291" w:rsidRDefault="00C63291" w:rsidP="00086460">
      <w:pPr>
        <w:spacing w:after="0" w:line="240" w:lineRule="auto"/>
      </w:pPr>
    </w:p>
    <w:p w14:paraId="32071878" w14:textId="77777777" w:rsidR="00C63291" w:rsidRDefault="00C63291" w:rsidP="00086460">
      <w:pPr>
        <w:spacing w:after="0" w:line="240" w:lineRule="auto"/>
      </w:pPr>
    </w:p>
    <w:p w14:paraId="72A0C1DF" w14:textId="77777777" w:rsidR="00C63291" w:rsidRDefault="00C63291" w:rsidP="00086460">
      <w:pPr>
        <w:spacing w:after="0" w:line="240" w:lineRule="auto"/>
      </w:pPr>
    </w:p>
    <w:p w14:paraId="0A0A5471" w14:textId="77777777" w:rsidR="00C63291" w:rsidRDefault="00C63291" w:rsidP="00086460">
      <w:pPr>
        <w:spacing w:after="0" w:line="240" w:lineRule="auto"/>
      </w:pPr>
    </w:p>
    <w:p w14:paraId="092AB98E" w14:textId="77777777" w:rsidR="00C63291" w:rsidRDefault="00C63291" w:rsidP="00086460">
      <w:pPr>
        <w:spacing w:after="0" w:line="240" w:lineRule="auto"/>
      </w:pPr>
    </w:p>
    <w:p w14:paraId="45E94610" w14:textId="77777777" w:rsidR="00C63291" w:rsidRDefault="00C63291" w:rsidP="00086460">
      <w:pPr>
        <w:spacing w:after="0" w:line="240" w:lineRule="auto"/>
      </w:pPr>
    </w:p>
    <w:p w14:paraId="08C31E26" w14:textId="77777777" w:rsidR="00C63291" w:rsidRDefault="00C63291" w:rsidP="00086460">
      <w:pPr>
        <w:spacing w:after="0" w:line="240" w:lineRule="auto"/>
      </w:pPr>
    </w:p>
    <w:p w14:paraId="79F213C9" w14:textId="77777777" w:rsidR="00C63291" w:rsidRDefault="00C63291" w:rsidP="00086460">
      <w:pPr>
        <w:spacing w:after="0" w:line="240" w:lineRule="auto"/>
      </w:pPr>
    </w:p>
    <w:p w14:paraId="02D67CE0" w14:textId="77777777" w:rsidR="00C63291" w:rsidRDefault="00C63291" w:rsidP="00086460">
      <w:pPr>
        <w:spacing w:after="0" w:line="240" w:lineRule="auto"/>
      </w:pPr>
    </w:p>
    <w:p w14:paraId="730A15B8" w14:textId="77777777" w:rsidR="00C63291" w:rsidRDefault="00C63291" w:rsidP="00086460">
      <w:pPr>
        <w:spacing w:after="0" w:line="240" w:lineRule="auto"/>
      </w:pPr>
    </w:p>
    <w:p w14:paraId="6A5AAC86" w14:textId="77777777" w:rsidR="00C63291" w:rsidRDefault="00C63291" w:rsidP="00086460">
      <w:pPr>
        <w:spacing w:after="0" w:line="240" w:lineRule="auto"/>
      </w:pPr>
    </w:p>
    <w:p w14:paraId="7AB86632" w14:textId="77777777" w:rsidR="002F6A28" w:rsidRDefault="002F6A28" w:rsidP="00086460">
      <w:pPr>
        <w:spacing w:after="0" w:line="240" w:lineRule="auto"/>
      </w:pPr>
    </w:p>
    <w:p w14:paraId="14316581" w14:textId="77777777" w:rsidR="002F6A28" w:rsidRDefault="002F6A28" w:rsidP="00086460">
      <w:pPr>
        <w:spacing w:after="0" w:line="240" w:lineRule="auto"/>
      </w:pPr>
    </w:p>
    <w:p w14:paraId="667C56CC" w14:textId="77777777" w:rsidR="002F6A28" w:rsidRDefault="002F6A28" w:rsidP="00086460">
      <w:pPr>
        <w:spacing w:after="0" w:line="240" w:lineRule="auto"/>
      </w:pPr>
    </w:p>
    <w:p w14:paraId="5DB68A3E" w14:textId="77777777" w:rsidR="002F6A28" w:rsidRDefault="002F6A28" w:rsidP="00086460">
      <w:pPr>
        <w:spacing w:after="0" w:line="240" w:lineRule="auto"/>
      </w:pPr>
    </w:p>
    <w:p w14:paraId="0CD9EB1F" w14:textId="77777777" w:rsidR="002F6A28" w:rsidRDefault="002F6A28" w:rsidP="00086460">
      <w:pPr>
        <w:spacing w:after="0" w:line="240" w:lineRule="auto"/>
      </w:pPr>
    </w:p>
    <w:p w14:paraId="50FC4C65" w14:textId="77777777" w:rsidR="002F6A28" w:rsidRDefault="002F6A28" w:rsidP="00086460">
      <w:pPr>
        <w:spacing w:after="0" w:line="240" w:lineRule="auto"/>
      </w:pPr>
    </w:p>
    <w:p w14:paraId="28F8D5D0" w14:textId="77777777" w:rsidR="002F6A28" w:rsidRDefault="002F6A28" w:rsidP="00086460">
      <w:pPr>
        <w:spacing w:after="0" w:line="240" w:lineRule="auto"/>
      </w:pPr>
    </w:p>
    <w:p w14:paraId="4DEE554C" w14:textId="77777777" w:rsidR="002F6A28" w:rsidRDefault="002F6A28" w:rsidP="00086460">
      <w:pPr>
        <w:spacing w:after="0" w:line="240" w:lineRule="auto"/>
      </w:pPr>
    </w:p>
    <w:p w14:paraId="1CB0A9E2" w14:textId="77777777" w:rsidR="002F6A28" w:rsidRDefault="002F6A28" w:rsidP="00086460">
      <w:pPr>
        <w:spacing w:after="0" w:line="240" w:lineRule="auto"/>
      </w:pPr>
    </w:p>
    <w:p w14:paraId="1ECDA5D2" w14:textId="77777777" w:rsidR="00847E51" w:rsidRDefault="00847E51" w:rsidP="00086460">
      <w:pPr>
        <w:spacing w:after="0" w:line="240" w:lineRule="auto"/>
      </w:pPr>
    </w:p>
    <w:p w14:paraId="53EDF557" w14:textId="77777777" w:rsidR="00847E51" w:rsidRDefault="00847E51" w:rsidP="00086460">
      <w:pPr>
        <w:spacing w:after="0" w:line="240" w:lineRule="auto"/>
      </w:pPr>
    </w:p>
    <w:p w14:paraId="2B636A46" w14:textId="77777777" w:rsidR="00847E51" w:rsidRDefault="00847E51" w:rsidP="00086460">
      <w:pPr>
        <w:spacing w:after="0" w:line="240" w:lineRule="auto"/>
      </w:pPr>
    </w:p>
    <w:p w14:paraId="129794F7" w14:textId="73BB155B" w:rsidR="00E4788C" w:rsidRDefault="003D2007" w:rsidP="0008646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6B2F2936" wp14:editId="2DB8B415">
            <wp:extent cx="7406640" cy="7842250"/>
            <wp:effectExtent l="0" t="0" r="0" b="6350"/>
            <wp:docPr id="11378265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26561" name="Picture 11378265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78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C70" w:rsidRPr="007A7C7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7A7C70" w:rsidRPr="007A7C7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Supplementary</w:t>
      </w:r>
      <w:r w:rsidR="007A7C7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847E51" w:rsidRPr="00E4788C">
        <w:rPr>
          <w:rFonts w:ascii="Arial" w:hAnsi="Arial" w:cs="Arial"/>
          <w:b/>
          <w:bCs/>
        </w:rPr>
        <w:t xml:space="preserve">Figure 1. </w:t>
      </w:r>
      <w:r w:rsidR="00E4788C" w:rsidRPr="00E4788C">
        <w:rPr>
          <w:rFonts w:ascii="Arial" w:hAnsi="Arial" w:cs="Arial"/>
          <w:b/>
          <w:bCs/>
        </w:rPr>
        <w:t>Derivation of the study sample from the Study of Osteoporotic Fractures.</w:t>
      </w:r>
    </w:p>
    <w:p w14:paraId="4A9E95CB" w14:textId="1CF70A5C" w:rsidR="009C0A70" w:rsidRPr="009C0A70" w:rsidRDefault="009C0A70" w:rsidP="009C0A70">
      <w:pPr>
        <w:spacing w:after="0" w:line="240" w:lineRule="auto"/>
      </w:pPr>
      <w:r>
        <w:rPr>
          <w:rFonts w:ascii="Arial" w:hAnsi="Arial" w:cs="Arial"/>
        </w:rPr>
        <w:t xml:space="preserve">    </w:t>
      </w:r>
      <w:r w:rsidRPr="009C0A70">
        <w:rPr>
          <w:rFonts w:ascii="Arial" w:hAnsi="Arial" w:cs="Arial"/>
        </w:rPr>
        <w:t>V8: Baseline sleep visit; V9: Second sleep visit</w:t>
      </w:r>
    </w:p>
    <w:p w14:paraId="08601AC2" w14:textId="5C3A8146" w:rsidR="00616478" w:rsidRPr="00847E51" w:rsidRDefault="00616478" w:rsidP="00086460">
      <w:pPr>
        <w:spacing w:after="0" w:line="240" w:lineRule="auto"/>
        <w:rPr>
          <w:rFonts w:ascii="Arial" w:hAnsi="Arial" w:cs="Arial"/>
        </w:rPr>
      </w:pPr>
    </w:p>
    <w:p w14:paraId="16CCD9A3" w14:textId="77777777" w:rsidR="00616478" w:rsidRDefault="00616478" w:rsidP="00086460">
      <w:pPr>
        <w:spacing w:after="0" w:line="240" w:lineRule="auto"/>
      </w:pPr>
    </w:p>
    <w:p w14:paraId="26E49923" w14:textId="77777777" w:rsidR="00317EF7" w:rsidRDefault="00317EF7" w:rsidP="00086460">
      <w:pPr>
        <w:spacing w:after="0" w:line="240" w:lineRule="auto"/>
      </w:pPr>
    </w:p>
    <w:p w14:paraId="68C49ED4" w14:textId="77777777" w:rsidR="007F065E" w:rsidRDefault="007F065E" w:rsidP="00086460">
      <w:pPr>
        <w:spacing w:after="0" w:line="240" w:lineRule="auto"/>
      </w:pPr>
    </w:p>
    <w:p w14:paraId="6C943567" w14:textId="77777777" w:rsidR="007F065E" w:rsidRDefault="007F065E" w:rsidP="00086460">
      <w:pPr>
        <w:spacing w:after="0" w:line="240" w:lineRule="auto"/>
      </w:pPr>
    </w:p>
    <w:p w14:paraId="5F7AE316" w14:textId="77777777" w:rsidR="007F065E" w:rsidRDefault="007F065E" w:rsidP="00086460">
      <w:pPr>
        <w:spacing w:after="0" w:line="240" w:lineRule="auto"/>
      </w:pPr>
    </w:p>
    <w:p w14:paraId="63144F21" w14:textId="77777777" w:rsidR="007F065E" w:rsidRDefault="007F065E" w:rsidP="00086460">
      <w:pPr>
        <w:spacing w:after="0" w:line="240" w:lineRule="auto"/>
      </w:pPr>
    </w:p>
    <w:p w14:paraId="4F40FA3B" w14:textId="77777777" w:rsidR="007F065E" w:rsidRDefault="007F065E" w:rsidP="00086460">
      <w:pPr>
        <w:spacing w:after="0" w:line="240" w:lineRule="auto"/>
      </w:pPr>
    </w:p>
    <w:p w14:paraId="62874997" w14:textId="77777777" w:rsidR="007F065E" w:rsidRDefault="007F065E" w:rsidP="00086460">
      <w:pPr>
        <w:spacing w:after="0" w:line="240" w:lineRule="auto"/>
      </w:pPr>
    </w:p>
    <w:p w14:paraId="7460067D" w14:textId="77777777" w:rsidR="007F065E" w:rsidRDefault="007F065E" w:rsidP="00086460">
      <w:pPr>
        <w:spacing w:after="0" w:line="240" w:lineRule="auto"/>
      </w:pPr>
    </w:p>
    <w:p w14:paraId="69E6B647" w14:textId="77777777" w:rsidR="007F065E" w:rsidRDefault="007F065E" w:rsidP="00086460">
      <w:pPr>
        <w:spacing w:after="0" w:line="240" w:lineRule="auto"/>
      </w:pPr>
    </w:p>
    <w:p w14:paraId="39250952" w14:textId="77777777" w:rsidR="007F065E" w:rsidRDefault="007F065E" w:rsidP="00086460">
      <w:pPr>
        <w:spacing w:after="0" w:line="240" w:lineRule="auto"/>
      </w:pPr>
    </w:p>
    <w:p w14:paraId="1746874C" w14:textId="77777777" w:rsidR="007F065E" w:rsidRDefault="007F065E" w:rsidP="00086460">
      <w:pPr>
        <w:spacing w:after="0" w:line="240" w:lineRule="auto"/>
      </w:pPr>
    </w:p>
    <w:p w14:paraId="1A05B7FB" w14:textId="77777777" w:rsidR="007F065E" w:rsidRDefault="007F065E" w:rsidP="00086460">
      <w:pPr>
        <w:spacing w:after="0" w:line="240" w:lineRule="auto"/>
      </w:pPr>
    </w:p>
    <w:p w14:paraId="27BED7B6" w14:textId="77777777" w:rsidR="007F065E" w:rsidRDefault="007F065E" w:rsidP="00086460">
      <w:pPr>
        <w:spacing w:after="0" w:line="240" w:lineRule="auto"/>
      </w:pPr>
    </w:p>
    <w:p w14:paraId="6B02B373" w14:textId="77777777" w:rsidR="007F065E" w:rsidRDefault="007F065E" w:rsidP="00086460">
      <w:pPr>
        <w:spacing w:after="0" w:line="240" w:lineRule="auto"/>
      </w:pPr>
    </w:p>
    <w:p w14:paraId="7D4D415E" w14:textId="77777777" w:rsidR="007F065E" w:rsidRDefault="007F065E" w:rsidP="00086460">
      <w:pPr>
        <w:spacing w:after="0" w:line="240" w:lineRule="auto"/>
      </w:pPr>
    </w:p>
    <w:p w14:paraId="6275B9E4" w14:textId="77777777" w:rsidR="007F065E" w:rsidRDefault="007F065E" w:rsidP="00086460">
      <w:pPr>
        <w:spacing w:after="0" w:line="240" w:lineRule="auto"/>
      </w:pPr>
    </w:p>
    <w:p w14:paraId="39231543" w14:textId="77777777" w:rsidR="007F065E" w:rsidRDefault="007F065E" w:rsidP="00086460">
      <w:pPr>
        <w:spacing w:after="0" w:line="240" w:lineRule="auto"/>
      </w:pPr>
    </w:p>
    <w:p w14:paraId="4565F199" w14:textId="656EF143" w:rsidR="007F065E" w:rsidRDefault="007F065E" w:rsidP="00086460">
      <w:pPr>
        <w:spacing w:after="0" w:line="240" w:lineRule="auto"/>
      </w:pPr>
      <w:r>
        <w:rPr>
          <w:noProof/>
          <w14:ligatures w14:val="none"/>
        </w:rPr>
        <w:drawing>
          <wp:inline distT="0" distB="0" distL="0" distR="0" wp14:anchorId="6C2A8ED9" wp14:editId="4538038B">
            <wp:extent cx="7406640" cy="3703320"/>
            <wp:effectExtent l="0" t="0" r="0" b="5080"/>
            <wp:docPr id="1061727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27742" name="Picture 10617277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8057B" w14:textId="0B92DEF9" w:rsidR="007F065E" w:rsidRDefault="007F065E" w:rsidP="000864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Figure</w:t>
      </w:r>
      <w:r w:rsidRPr="00A659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2C68F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Loadings of the nine sleep-wake parameter changes on the </w:t>
      </w:r>
      <w:r w:rsidR="00810535">
        <w:rPr>
          <w:rFonts w:ascii="Arial" w:hAnsi="Arial" w:cs="Arial"/>
          <w:b/>
          <w:bCs/>
        </w:rPr>
        <w:t>top</w:t>
      </w:r>
      <w:r>
        <w:rPr>
          <w:rFonts w:ascii="Arial" w:hAnsi="Arial" w:cs="Arial"/>
          <w:b/>
          <w:bCs/>
        </w:rPr>
        <w:t xml:space="preserve"> six principal components (PCs). </w:t>
      </w:r>
      <w:r w:rsidRPr="007F065E">
        <w:rPr>
          <w:rFonts w:ascii="Arial" w:hAnsi="Arial" w:cs="Arial"/>
        </w:rPr>
        <w:t>These six PCs</w:t>
      </w:r>
      <w:r>
        <w:rPr>
          <w:rFonts w:ascii="Arial" w:hAnsi="Arial" w:cs="Arial"/>
        </w:rPr>
        <w:t xml:space="preserve">, which explained over 95% of cumulative variance (95.8%), </w:t>
      </w:r>
      <w:r w:rsidRPr="007F065E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selected to be used in the clustering analysis.</w:t>
      </w:r>
    </w:p>
    <w:p w14:paraId="0606BE24" w14:textId="6B550122" w:rsidR="007F065E" w:rsidRPr="007F065E" w:rsidRDefault="007F065E" w:rsidP="00086460">
      <w:pPr>
        <w:spacing w:after="0" w:line="240" w:lineRule="auto"/>
      </w:pPr>
      <w:r>
        <w:rPr>
          <w:rFonts w:ascii="Arial" w:hAnsi="Arial" w:cs="Arial"/>
        </w:rPr>
        <w:t>Abbreviations: PC, principal component; WASO, wake after sleep onset; RAR, rest-activity rhythm.</w:t>
      </w:r>
    </w:p>
    <w:p w14:paraId="2D5442DB" w14:textId="77777777" w:rsidR="007F065E" w:rsidRDefault="007F065E" w:rsidP="00086460">
      <w:pPr>
        <w:spacing w:after="0" w:line="240" w:lineRule="auto"/>
      </w:pPr>
    </w:p>
    <w:p w14:paraId="47793F75" w14:textId="77777777" w:rsidR="007F065E" w:rsidRDefault="007F065E" w:rsidP="00086460">
      <w:pPr>
        <w:spacing w:after="0" w:line="240" w:lineRule="auto"/>
      </w:pPr>
    </w:p>
    <w:p w14:paraId="1A25D57D" w14:textId="77777777" w:rsidR="007F065E" w:rsidRDefault="007F065E" w:rsidP="00086460">
      <w:pPr>
        <w:spacing w:after="0" w:line="240" w:lineRule="auto"/>
      </w:pPr>
    </w:p>
    <w:p w14:paraId="02E871DD" w14:textId="77777777" w:rsidR="007F065E" w:rsidRDefault="007F065E" w:rsidP="00086460">
      <w:pPr>
        <w:spacing w:after="0" w:line="240" w:lineRule="auto"/>
      </w:pPr>
    </w:p>
    <w:p w14:paraId="78C30788" w14:textId="77777777" w:rsidR="007F065E" w:rsidRDefault="007F065E" w:rsidP="00086460">
      <w:pPr>
        <w:spacing w:after="0" w:line="240" w:lineRule="auto"/>
      </w:pPr>
    </w:p>
    <w:p w14:paraId="6F49A19C" w14:textId="77777777" w:rsidR="007F065E" w:rsidRDefault="007F065E" w:rsidP="00086460">
      <w:pPr>
        <w:spacing w:after="0" w:line="240" w:lineRule="auto"/>
      </w:pPr>
    </w:p>
    <w:p w14:paraId="394BEC62" w14:textId="77777777" w:rsidR="007F065E" w:rsidRDefault="007F065E" w:rsidP="00086460">
      <w:pPr>
        <w:spacing w:after="0" w:line="240" w:lineRule="auto"/>
      </w:pPr>
    </w:p>
    <w:p w14:paraId="24C63A55" w14:textId="77777777" w:rsidR="007F065E" w:rsidRDefault="007F065E" w:rsidP="00086460">
      <w:pPr>
        <w:spacing w:after="0" w:line="240" w:lineRule="auto"/>
      </w:pPr>
    </w:p>
    <w:p w14:paraId="3C8F7F24" w14:textId="77777777" w:rsidR="007F065E" w:rsidRDefault="007F065E" w:rsidP="00086460">
      <w:pPr>
        <w:spacing w:after="0" w:line="240" w:lineRule="auto"/>
      </w:pPr>
    </w:p>
    <w:p w14:paraId="615329FE" w14:textId="77777777" w:rsidR="007F065E" w:rsidRDefault="007F065E" w:rsidP="00086460">
      <w:pPr>
        <w:spacing w:after="0" w:line="240" w:lineRule="auto"/>
      </w:pPr>
    </w:p>
    <w:p w14:paraId="76C1A4D1" w14:textId="77777777" w:rsidR="007F065E" w:rsidRDefault="007F065E" w:rsidP="00086460">
      <w:pPr>
        <w:spacing w:after="0" w:line="240" w:lineRule="auto"/>
      </w:pPr>
    </w:p>
    <w:p w14:paraId="1F5587A6" w14:textId="77777777" w:rsidR="007F065E" w:rsidRDefault="007F065E" w:rsidP="00086460">
      <w:pPr>
        <w:spacing w:after="0" w:line="240" w:lineRule="auto"/>
      </w:pPr>
    </w:p>
    <w:p w14:paraId="08043BD3" w14:textId="77777777" w:rsidR="007F065E" w:rsidRDefault="007F065E" w:rsidP="00086460">
      <w:pPr>
        <w:spacing w:after="0" w:line="240" w:lineRule="auto"/>
      </w:pPr>
    </w:p>
    <w:p w14:paraId="0060C7D5" w14:textId="5EDEF131" w:rsidR="007F065E" w:rsidRDefault="007F065E" w:rsidP="00086460">
      <w:pPr>
        <w:spacing w:after="0" w:line="240" w:lineRule="auto"/>
      </w:pPr>
    </w:p>
    <w:p w14:paraId="4407D134" w14:textId="77777777" w:rsidR="007F065E" w:rsidRDefault="007F065E" w:rsidP="00086460">
      <w:pPr>
        <w:spacing w:after="0" w:line="240" w:lineRule="auto"/>
      </w:pPr>
    </w:p>
    <w:p w14:paraId="760EC98B" w14:textId="77777777" w:rsidR="00CF6919" w:rsidRDefault="00CF6919" w:rsidP="00086460">
      <w:pPr>
        <w:spacing w:after="0" w:line="240" w:lineRule="auto"/>
      </w:pPr>
    </w:p>
    <w:p w14:paraId="0F662B12" w14:textId="77777777" w:rsidR="00CF6919" w:rsidRDefault="00CF6919" w:rsidP="00086460">
      <w:pPr>
        <w:spacing w:after="0" w:line="240" w:lineRule="auto"/>
      </w:pPr>
    </w:p>
    <w:p w14:paraId="22B10F73" w14:textId="77777777" w:rsidR="00111567" w:rsidRDefault="00111567" w:rsidP="00086460">
      <w:pPr>
        <w:spacing w:after="0" w:line="240" w:lineRule="auto"/>
      </w:pPr>
    </w:p>
    <w:p w14:paraId="1A21B7C4" w14:textId="262B4F0D" w:rsidR="00E4788C" w:rsidRDefault="00847E51" w:rsidP="00086460">
      <w:pPr>
        <w:spacing w:after="0" w:line="240" w:lineRule="auto"/>
        <w:rPr>
          <w:rFonts w:ascii="Arial" w:hAnsi="Arial" w:cs="Arial"/>
        </w:rPr>
      </w:pPr>
      <w:r>
        <w:rPr>
          <w:noProof/>
          <w14:ligatures w14:val="none"/>
        </w:rPr>
        <w:drawing>
          <wp:inline distT="0" distB="0" distL="0" distR="0" wp14:anchorId="7CAC7B2E" wp14:editId="2589D710">
            <wp:extent cx="7406640" cy="7406640"/>
            <wp:effectExtent l="0" t="0" r="0" b="0"/>
            <wp:docPr id="7567550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55017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C70" w:rsidRPr="007A7C7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7A7C70" w:rsidRPr="007A7C7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Supplementary</w:t>
      </w:r>
      <w:r w:rsidR="007A7C7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E4788C">
        <w:rPr>
          <w:rFonts w:ascii="Arial" w:hAnsi="Arial" w:cs="Arial"/>
          <w:b/>
          <w:bCs/>
        </w:rPr>
        <w:t xml:space="preserve">Figure </w:t>
      </w:r>
      <w:r w:rsidR="00896822">
        <w:rPr>
          <w:rFonts w:ascii="Arial" w:hAnsi="Arial" w:cs="Arial"/>
          <w:b/>
          <w:bCs/>
        </w:rPr>
        <w:t>3</w:t>
      </w:r>
      <w:r w:rsidRPr="00E4788C">
        <w:rPr>
          <w:rFonts w:ascii="Arial" w:hAnsi="Arial" w:cs="Arial"/>
          <w:b/>
          <w:bCs/>
        </w:rPr>
        <w:t xml:space="preserve">. </w:t>
      </w:r>
      <w:r w:rsidR="00E4788C" w:rsidRPr="006E157E">
        <w:rPr>
          <w:rFonts w:ascii="Arial" w:hAnsi="Arial" w:cs="Arial"/>
          <w:b/>
          <w:bCs/>
        </w:rPr>
        <w:t xml:space="preserve">Unadjusted </w:t>
      </w:r>
      <w:r w:rsidR="00E4788C">
        <w:rPr>
          <w:rFonts w:ascii="Arial" w:hAnsi="Arial" w:cs="Arial"/>
          <w:b/>
          <w:bCs/>
        </w:rPr>
        <w:t xml:space="preserve">Kaplan-Meier all-cause mortality </w:t>
      </w:r>
      <w:r w:rsidR="00E4788C" w:rsidRPr="006E157E">
        <w:rPr>
          <w:rFonts w:ascii="Arial" w:hAnsi="Arial" w:cs="Arial"/>
          <w:b/>
          <w:bCs/>
        </w:rPr>
        <w:t xml:space="preserve">survival curves </w:t>
      </w:r>
      <w:r w:rsidR="00E4788C">
        <w:rPr>
          <w:rFonts w:ascii="Arial" w:hAnsi="Arial" w:cs="Arial"/>
          <w:b/>
          <w:bCs/>
        </w:rPr>
        <w:t>for individual sleep-wake parameter changes</w:t>
      </w:r>
      <w:r w:rsidR="00E4788C" w:rsidRPr="006E157E">
        <w:rPr>
          <w:rFonts w:ascii="Arial" w:hAnsi="Arial" w:cs="Arial"/>
          <w:b/>
          <w:bCs/>
        </w:rPr>
        <w:t>.</w:t>
      </w:r>
      <w:r w:rsidR="00E4788C">
        <w:rPr>
          <w:rFonts w:ascii="Arial" w:hAnsi="Arial" w:cs="Arial"/>
        </w:rPr>
        <w:t xml:space="preserve"> </w:t>
      </w:r>
      <w:r w:rsidR="00E4788C" w:rsidRPr="006E157E">
        <w:rPr>
          <w:rFonts w:ascii="Arial" w:hAnsi="Arial" w:cs="Arial"/>
        </w:rPr>
        <w:t>HRs and 95% 95% CIs were calculated using unadjusted Cox proportional hazards models.</w:t>
      </w:r>
      <w:r w:rsidR="00E4788C">
        <w:rPr>
          <w:rFonts w:ascii="Arial" w:hAnsi="Arial" w:cs="Arial"/>
        </w:rPr>
        <w:t xml:space="preserve"> Time is measured in days since visit nine.</w:t>
      </w:r>
      <w:r w:rsidR="00E4788C" w:rsidRPr="006E157E">
        <w:rPr>
          <w:rFonts w:ascii="Arial" w:hAnsi="Arial" w:cs="Arial"/>
        </w:rPr>
        <w:t xml:space="preserve"> Censored participants are represented by vertical markings along the survival curves.</w:t>
      </w:r>
      <w:r w:rsidR="00E4788C">
        <w:rPr>
          <w:rFonts w:ascii="Arial" w:hAnsi="Arial" w:cs="Arial"/>
        </w:rPr>
        <w:t xml:space="preserve"> For each parameter, the “worsening” group (“earlier” for </w:t>
      </w:r>
      <w:proofErr w:type="spellStart"/>
      <w:r w:rsidR="00E4788C">
        <w:rPr>
          <w:rFonts w:ascii="Arial" w:hAnsi="Arial" w:cs="Arial"/>
        </w:rPr>
        <w:t>acrophase</w:t>
      </w:r>
      <w:proofErr w:type="spellEnd"/>
      <w:r w:rsidR="009E54E7">
        <w:rPr>
          <w:rFonts w:ascii="Arial" w:hAnsi="Arial" w:cs="Arial"/>
        </w:rPr>
        <w:t xml:space="preserve"> and “decreasing” for </w:t>
      </w:r>
      <w:r w:rsidR="003D7EF0">
        <w:rPr>
          <w:rFonts w:ascii="Arial" w:hAnsi="Arial" w:cs="Arial"/>
        </w:rPr>
        <w:t>nighttime sleep duration</w:t>
      </w:r>
      <w:r w:rsidR="00E4788C">
        <w:rPr>
          <w:rFonts w:ascii="Arial" w:hAnsi="Arial" w:cs="Arial"/>
        </w:rPr>
        <w:t xml:space="preserve">) was defined as &gt;1 standard deviation worse (earlier for </w:t>
      </w:r>
      <w:proofErr w:type="spellStart"/>
      <w:r w:rsidR="00E4788C">
        <w:rPr>
          <w:rFonts w:ascii="Arial" w:hAnsi="Arial" w:cs="Arial"/>
        </w:rPr>
        <w:t>acrophase</w:t>
      </w:r>
      <w:proofErr w:type="spellEnd"/>
      <w:r w:rsidR="009E54E7">
        <w:rPr>
          <w:rFonts w:ascii="Arial" w:hAnsi="Arial" w:cs="Arial"/>
        </w:rPr>
        <w:t xml:space="preserve"> and below for </w:t>
      </w:r>
      <w:r w:rsidR="003D7EF0">
        <w:rPr>
          <w:rFonts w:ascii="Arial" w:hAnsi="Arial" w:cs="Arial"/>
        </w:rPr>
        <w:t>nighttime sleep duration</w:t>
      </w:r>
      <w:r w:rsidR="00E4788C">
        <w:rPr>
          <w:rFonts w:ascii="Arial" w:hAnsi="Arial" w:cs="Arial"/>
        </w:rPr>
        <w:t>) than the mean change.</w:t>
      </w:r>
      <w:r w:rsidR="009E54E7">
        <w:rPr>
          <w:rFonts w:ascii="Arial" w:hAnsi="Arial" w:cs="Arial"/>
        </w:rPr>
        <w:t xml:space="preserve"> </w:t>
      </w:r>
      <w:r w:rsidR="003D7EF0">
        <w:rPr>
          <w:rFonts w:ascii="Arial" w:hAnsi="Arial" w:cs="Arial"/>
        </w:rPr>
        <w:t>For nighttime sleep duration</w:t>
      </w:r>
      <w:r w:rsidR="009E54E7">
        <w:rPr>
          <w:rFonts w:ascii="Arial" w:hAnsi="Arial" w:cs="Arial"/>
        </w:rPr>
        <w:t>, the “increasing” group was defined as &gt;1 standard deviation above the mean change.</w:t>
      </w:r>
    </w:p>
    <w:p w14:paraId="3752222B" w14:textId="77777777" w:rsidR="00086460" w:rsidRDefault="00086460" w:rsidP="00086460">
      <w:pPr>
        <w:spacing w:after="0" w:line="240" w:lineRule="auto"/>
        <w:rPr>
          <w:rFonts w:ascii="Arial" w:hAnsi="Arial" w:cs="Arial"/>
        </w:rPr>
      </w:pPr>
      <w:r w:rsidRPr="008B207B">
        <w:rPr>
          <w:rFonts w:ascii="Arial" w:hAnsi="Arial" w:cs="Arial"/>
        </w:rPr>
        <w:t xml:space="preserve">Abbreviations: </w:t>
      </w:r>
      <w:r>
        <w:rPr>
          <w:rFonts w:ascii="Arial" w:hAnsi="Arial" w:cs="Arial"/>
        </w:rPr>
        <w:t>HR, hazard ratio; CI</w:t>
      </w:r>
      <w:r w:rsidRPr="008B207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confidence interval</w:t>
      </w:r>
      <w:r w:rsidRPr="008B207B">
        <w:rPr>
          <w:rFonts w:ascii="Arial" w:hAnsi="Arial" w:cs="Arial"/>
        </w:rPr>
        <w:t>.</w:t>
      </w:r>
    </w:p>
    <w:p w14:paraId="4744CC2E" w14:textId="77777777" w:rsidR="00086460" w:rsidRDefault="00086460" w:rsidP="00086460">
      <w:pPr>
        <w:spacing w:after="0" w:line="240" w:lineRule="auto"/>
        <w:rPr>
          <w:rFonts w:ascii="Arial" w:hAnsi="Arial" w:cs="Arial"/>
        </w:rPr>
      </w:pPr>
    </w:p>
    <w:p w14:paraId="31B3F6E6" w14:textId="77777777" w:rsidR="00086460" w:rsidRDefault="00086460" w:rsidP="00086460">
      <w:pPr>
        <w:spacing w:after="0" w:line="240" w:lineRule="auto"/>
        <w:rPr>
          <w:rFonts w:ascii="Arial" w:hAnsi="Arial" w:cs="Arial"/>
        </w:rPr>
      </w:pPr>
    </w:p>
    <w:p w14:paraId="6CF7B5FA" w14:textId="77777777" w:rsidR="00086460" w:rsidRPr="00C20CAE" w:rsidRDefault="00086460" w:rsidP="00086460">
      <w:pPr>
        <w:spacing w:after="0" w:line="240" w:lineRule="auto"/>
      </w:pPr>
    </w:p>
    <w:p w14:paraId="0A8AE2AF" w14:textId="1A93A62F" w:rsidR="00847E51" w:rsidRPr="00E4788C" w:rsidRDefault="00847E51" w:rsidP="00086460">
      <w:pPr>
        <w:spacing w:after="0" w:line="240" w:lineRule="auto"/>
        <w:rPr>
          <w:rFonts w:ascii="Arial" w:hAnsi="Arial" w:cs="Arial"/>
          <w:b/>
          <w:bCs/>
        </w:rPr>
      </w:pPr>
    </w:p>
    <w:p w14:paraId="27CF7FD1" w14:textId="00F9AD33" w:rsidR="00847E51" w:rsidRDefault="00FB23A1" w:rsidP="000864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14:ligatures w14:val="none"/>
        </w:rPr>
        <w:drawing>
          <wp:inline distT="0" distB="0" distL="0" distR="0" wp14:anchorId="3CD2AF56" wp14:editId="6802246E">
            <wp:extent cx="7406640" cy="7406640"/>
            <wp:effectExtent l="0" t="0" r="0" b="0"/>
            <wp:docPr id="1437055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55919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788C" w:rsidRPr="00E4788C">
        <w:rPr>
          <w:rFonts w:ascii="Arial" w:hAnsi="Arial" w:cs="Arial"/>
          <w:b/>
          <w:bCs/>
        </w:rPr>
        <w:t>Supplementa</w:t>
      </w:r>
      <w:r w:rsidR="007A7C70">
        <w:rPr>
          <w:rFonts w:ascii="Arial" w:hAnsi="Arial" w:cs="Arial"/>
          <w:b/>
          <w:bCs/>
        </w:rPr>
        <w:t>ry</w:t>
      </w:r>
      <w:r w:rsidR="00E4788C" w:rsidRPr="00E4788C">
        <w:rPr>
          <w:rFonts w:ascii="Arial" w:hAnsi="Arial" w:cs="Arial"/>
          <w:b/>
          <w:bCs/>
        </w:rPr>
        <w:t xml:space="preserve"> Figure </w:t>
      </w:r>
      <w:r w:rsidR="00896822">
        <w:rPr>
          <w:rFonts w:ascii="Arial" w:hAnsi="Arial" w:cs="Arial"/>
          <w:b/>
          <w:bCs/>
        </w:rPr>
        <w:t>4</w:t>
      </w:r>
      <w:r w:rsidR="00E4788C">
        <w:rPr>
          <w:rFonts w:ascii="Arial" w:hAnsi="Arial" w:cs="Arial"/>
          <w:b/>
          <w:bCs/>
        </w:rPr>
        <w:t>.</w:t>
      </w:r>
      <w:r w:rsidR="00E4788C" w:rsidRPr="00E4788C">
        <w:rPr>
          <w:rFonts w:ascii="Arial" w:hAnsi="Arial" w:cs="Arial"/>
          <w:b/>
          <w:bCs/>
        </w:rPr>
        <w:t xml:space="preserve"> </w:t>
      </w:r>
      <w:r w:rsidR="00E4788C" w:rsidRPr="006E157E">
        <w:rPr>
          <w:rFonts w:ascii="Arial" w:hAnsi="Arial" w:cs="Arial"/>
          <w:b/>
          <w:bCs/>
        </w:rPr>
        <w:t xml:space="preserve">Unadjusted </w:t>
      </w:r>
      <w:r w:rsidR="00E4788C">
        <w:rPr>
          <w:rFonts w:ascii="Arial" w:hAnsi="Arial" w:cs="Arial"/>
          <w:b/>
          <w:bCs/>
        </w:rPr>
        <w:t xml:space="preserve">Kaplan-Meier cardiovascular mortality </w:t>
      </w:r>
      <w:r w:rsidR="00E4788C" w:rsidRPr="006E157E">
        <w:rPr>
          <w:rFonts w:ascii="Arial" w:hAnsi="Arial" w:cs="Arial"/>
          <w:b/>
          <w:bCs/>
        </w:rPr>
        <w:t xml:space="preserve">survival curves </w:t>
      </w:r>
      <w:r w:rsidR="00E4788C">
        <w:rPr>
          <w:rFonts w:ascii="Arial" w:hAnsi="Arial" w:cs="Arial"/>
          <w:b/>
          <w:bCs/>
        </w:rPr>
        <w:t>for individual sleep-wake parameter changes</w:t>
      </w:r>
      <w:r w:rsidR="00E4788C" w:rsidRPr="006E157E">
        <w:rPr>
          <w:rFonts w:ascii="Arial" w:hAnsi="Arial" w:cs="Arial"/>
          <w:b/>
          <w:bCs/>
        </w:rPr>
        <w:t>.</w:t>
      </w:r>
      <w:r w:rsidR="00E4788C">
        <w:rPr>
          <w:rFonts w:ascii="Arial" w:hAnsi="Arial" w:cs="Arial"/>
        </w:rPr>
        <w:t xml:space="preserve"> </w:t>
      </w:r>
      <w:r w:rsidR="00E4788C" w:rsidRPr="006E157E">
        <w:rPr>
          <w:rFonts w:ascii="Arial" w:hAnsi="Arial" w:cs="Arial"/>
        </w:rPr>
        <w:t>HRs and 95% CIs were calculated using unadjusted Cox proportional hazards models.</w:t>
      </w:r>
      <w:r w:rsidR="00E4788C">
        <w:rPr>
          <w:rFonts w:ascii="Arial" w:hAnsi="Arial" w:cs="Arial"/>
        </w:rPr>
        <w:t xml:space="preserve"> Time is measured in days since visit nine.</w:t>
      </w:r>
      <w:r w:rsidR="00E4788C" w:rsidRPr="006E157E">
        <w:rPr>
          <w:rFonts w:ascii="Arial" w:hAnsi="Arial" w:cs="Arial"/>
        </w:rPr>
        <w:t xml:space="preserve"> Censored participants are represented by vertical markings along the survival curves.</w:t>
      </w:r>
      <w:r w:rsidR="00E47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each parameter, the “worsening” group (“earlier” for </w:t>
      </w:r>
      <w:proofErr w:type="spellStart"/>
      <w:r>
        <w:rPr>
          <w:rFonts w:ascii="Arial" w:hAnsi="Arial" w:cs="Arial"/>
        </w:rPr>
        <w:t>acrophase</w:t>
      </w:r>
      <w:proofErr w:type="spellEnd"/>
      <w:r>
        <w:rPr>
          <w:rFonts w:ascii="Arial" w:hAnsi="Arial" w:cs="Arial"/>
        </w:rPr>
        <w:t xml:space="preserve"> and “decreasing” for </w:t>
      </w:r>
      <w:r w:rsidR="00FA5325">
        <w:rPr>
          <w:rFonts w:ascii="Arial" w:hAnsi="Arial" w:cs="Arial"/>
        </w:rPr>
        <w:t>nighttime sleep duration</w:t>
      </w:r>
      <w:r>
        <w:rPr>
          <w:rFonts w:ascii="Arial" w:hAnsi="Arial" w:cs="Arial"/>
        </w:rPr>
        <w:t xml:space="preserve">) was defined as &gt;1 standard deviation worse (earlier for </w:t>
      </w:r>
      <w:proofErr w:type="spellStart"/>
      <w:r>
        <w:rPr>
          <w:rFonts w:ascii="Arial" w:hAnsi="Arial" w:cs="Arial"/>
        </w:rPr>
        <w:t>acrophase</w:t>
      </w:r>
      <w:proofErr w:type="spellEnd"/>
      <w:r>
        <w:rPr>
          <w:rFonts w:ascii="Arial" w:hAnsi="Arial" w:cs="Arial"/>
        </w:rPr>
        <w:t xml:space="preserve"> and below for </w:t>
      </w:r>
      <w:r w:rsidR="00FA5325">
        <w:rPr>
          <w:rFonts w:ascii="Arial" w:hAnsi="Arial" w:cs="Arial"/>
        </w:rPr>
        <w:t>nighttime sleep duration</w:t>
      </w:r>
      <w:r>
        <w:rPr>
          <w:rFonts w:ascii="Arial" w:hAnsi="Arial" w:cs="Arial"/>
        </w:rPr>
        <w:t xml:space="preserve">) than the mean change. For </w:t>
      </w:r>
      <w:r w:rsidR="00FA5325">
        <w:rPr>
          <w:rFonts w:ascii="Arial" w:hAnsi="Arial" w:cs="Arial"/>
        </w:rPr>
        <w:t>nighttime sleep duration</w:t>
      </w:r>
      <w:r>
        <w:rPr>
          <w:rFonts w:ascii="Arial" w:hAnsi="Arial" w:cs="Arial"/>
        </w:rPr>
        <w:t>, the “increasing” group was defined as &gt;1 standard deviation above the mean change.</w:t>
      </w:r>
    </w:p>
    <w:p w14:paraId="117E3737" w14:textId="7655E354" w:rsidR="00D42463" w:rsidRDefault="00086460" w:rsidP="00086460">
      <w:pPr>
        <w:spacing w:after="0" w:line="240" w:lineRule="auto"/>
        <w:rPr>
          <w:rFonts w:ascii="Arial" w:hAnsi="Arial" w:cs="Arial"/>
        </w:rPr>
      </w:pPr>
      <w:r w:rsidRPr="008B207B">
        <w:rPr>
          <w:rFonts w:ascii="Arial" w:hAnsi="Arial" w:cs="Arial"/>
        </w:rPr>
        <w:t xml:space="preserve">Abbreviations: </w:t>
      </w:r>
      <w:r>
        <w:rPr>
          <w:rFonts w:ascii="Arial" w:hAnsi="Arial" w:cs="Arial"/>
        </w:rPr>
        <w:t>HR, hazard ratio; CI</w:t>
      </w:r>
      <w:r w:rsidRPr="008B207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confidence interval</w:t>
      </w:r>
      <w:r w:rsidRPr="008B207B">
        <w:rPr>
          <w:rFonts w:ascii="Arial" w:hAnsi="Arial" w:cs="Arial"/>
        </w:rPr>
        <w:t>.</w:t>
      </w:r>
    </w:p>
    <w:p w14:paraId="744E2885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361CE064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049B1A50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2446CD64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4806CBC3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3D475DC8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03CD7159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4924CFB3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6612EDC0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1D378AE7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6998F24F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01AB52C5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381940F6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4E89909B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7B07BC84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678FA86F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0D4042B5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2F9478B5" w14:textId="77777777" w:rsidR="00CF6919" w:rsidRDefault="00CF6919" w:rsidP="00CF69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14:ligatures w14:val="none"/>
        </w:rPr>
        <w:drawing>
          <wp:inline distT="0" distB="0" distL="0" distR="0" wp14:anchorId="0E5C2476" wp14:editId="7FEF839A">
            <wp:extent cx="7406640" cy="3947958"/>
            <wp:effectExtent l="0" t="0" r="0" b="1905"/>
            <wp:docPr id="5154948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94867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94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>Supplementary Figure</w:t>
      </w:r>
      <w:r w:rsidRPr="00A659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5</w:t>
      </w:r>
      <w:r w:rsidRPr="002C68F8">
        <w:rPr>
          <w:rFonts w:ascii="Arial" w:hAnsi="Arial" w:cs="Arial"/>
          <w:b/>
          <w:bCs/>
        </w:rPr>
        <w:t xml:space="preserve">. </w:t>
      </w:r>
      <w:proofErr w:type="gramStart"/>
      <w:r w:rsidRPr="008B207B">
        <w:rPr>
          <w:rFonts w:ascii="Arial" w:hAnsi="Arial" w:cs="Arial"/>
          <w:b/>
          <w:bCs/>
        </w:rPr>
        <w:t>Multivariable-adjusted</w:t>
      </w:r>
      <w:proofErr w:type="gramEnd"/>
      <w:r w:rsidRPr="008B207B">
        <w:rPr>
          <w:rFonts w:ascii="Arial" w:hAnsi="Arial" w:cs="Arial"/>
          <w:b/>
          <w:bCs/>
          <w:vertAlign w:val="superscript"/>
        </w:rPr>
        <w:t>*</w:t>
      </w:r>
      <w:r w:rsidRPr="008B207B">
        <w:rPr>
          <w:rFonts w:ascii="Arial" w:hAnsi="Arial" w:cs="Arial"/>
          <w:b/>
          <w:bCs/>
        </w:rPr>
        <w:t xml:space="preserve"> association of </w:t>
      </w:r>
      <w:r>
        <w:rPr>
          <w:rFonts w:ascii="Arial" w:hAnsi="Arial" w:cs="Arial"/>
          <w:b/>
          <w:bCs/>
        </w:rPr>
        <w:t xml:space="preserve">nighttime sleep duration with all-cause (A) and cardiovascular (B) mortality risk, </w:t>
      </w:r>
      <w:r w:rsidRPr="002C68F8">
        <w:rPr>
          <w:rFonts w:ascii="Arial" w:hAnsi="Arial" w:cs="Arial"/>
          <w:b/>
          <w:bCs/>
        </w:rPr>
        <w:t xml:space="preserve">stratified </w:t>
      </w:r>
      <w:r>
        <w:rPr>
          <w:rFonts w:ascii="Arial" w:hAnsi="Arial" w:cs="Arial"/>
          <w:b/>
          <w:bCs/>
        </w:rPr>
        <w:t>at mean visit 8 (baseline sleep visit) nighttime sleep duration</w:t>
      </w:r>
      <w:r w:rsidRPr="002C68F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2C68F8">
        <w:rPr>
          <w:rFonts w:ascii="Arial" w:hAnsi="Arial" w:cs="Arial"/>
        </w:rPr>
        <w:t>HRs and 95% CIs</w:t>
      </w:r>
      <w:r>
        <w:rPr>
          <w:rFonts w:ascii="Arial" w:hAnsi="Arial" w:cs="Arial"/>
        </w:rPr>
        <w:t xml:space="preserve"> </w:t>
      </w:r>
      <w:r w:rsidRPr="002C68F8">
        <w:rPr>
          <w:rFonts w:ascii="Arial" w:hAnsi="Arial" w:cs="Arial"/>
        </w:rPr>
        <w:t xml:space="preserve">were calculated using Cox proportional hazards models. </w:t>
      </w:r>
      <w:r>
        <w:rPr>
          <w:rFonts w:ascii="Arial" w:hAnsi="Arial" w:cs="Arial"/>
        </w:rPr>
        <w:t xml:space="preserve">The “decreasing” group was </w:t>
      </w:r>
      <w:r w:rsidRPr="002C68F8">
        <w:rPr>
          <w:rFonts w:ascii="Arial" w:hAnsi="Arial" w:cs="Arial"/>
        </w:rPr>
        <w:t>defined as &gt;1 standard deviation below the mean change</w:t>
      </w:r>
      <w:r>
        <w:rPr>
          <w:rFonts w:ascii="Arial" w:hAnsi="Arial" w:cs="Arial"/>
        </w:rPr>
        <w:t xml:space="preserve"> and </w:t>
      </w:r>
      <w:r w:rsidRPr="002C68F8">
        <w:rPr>
          <w:rFonts w:ascii="Arial" w:hAnsi="Arial" w:cs="Arial"/>
        </w:rPr>
        <w:t>the “increasing” group was defined as &gt;1 standard deviation above the mean change.</w:t>
      </w:r>
      <w:r>
        <w:rPr>
          <w:rFonts w:ascii="Arial" w:hAnsi="Arial" w:cs="Arial"/>
        </w:rPr>
        <w:t xml:space="preserve"> The p values for the interactions of each group with baseline nighttime sleep duration are as follows: “increasing”</w:t>
      </w:r>
    </w:p>
    <w:p w14:paraId="6DE785D4" w14:textId="77777777" w:rsidR="00CF6919" w:rsidRDefault="00CF6919" w:rsidP="00CF69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*Two models are presented, an age-adjusted model and a fully adjusted model, which adjusted for </w:t>
      </w:r>
      <w:r w:rsidRPr="008B207B">
        <w:rPr>
          <w:rFonts w:ascii="Arial" w:hAnsi="Arial" w:cs="Arial"/>
        </w:rPr>
        <w:t xml:space="preserve">age, education, body mass index, diabetes, hypertension, myocardial infarction, antidepressant use, </w:t>
      </w:r>
      <w:r w:rsidRPr="00C21654">
        <w:rPr>
          <w:rFonts w:ascii="Arial" w:hAnsi="Arial" w:cs="Arial"/>
        </w:rPr>
        <w:t xml:space="preserve">functional </w:t>
      </w:r>
      <w:r>
        <w:rPr>
          <w:rFonts w:ascii="Arial" w:hAnsi="Arial" w:cs="Arial"/>
        </w:rPr>
        <w:t>impairments</w:t>
      </w:r>
      <w:r w:rsidRPr="00C21654">
        <w:rPr>
          <w:rFonts w:ascii="Arial" w:hAnsi="Arial" w:cs="Arial"/>
        </w:rPr>
        <w:t>, self-</w:t>
      </w:r>
      <w:r>
        <w:rPr>
          <w:rFonts w:ascii="Arial" w:hAnsi="Arial" w:cs="Arial"/>
        </w:rPr>
        <w:t>rated</w:t>
      </w:r>
      <w:r w:rsidRPr="00C21654">
        <w:rPr>
          <w:rFonts w:ascii="Arial" w:hAnsi="Arial" w:cs="Arial"/>
        </w:rPr>
        <w:t xml:space="preserve"> health,</w:t>
      </w:r>
      <w:r>
        <w:rPr>
          <w:rFonts w:ascii="Arial" w:hAnsi="Arial" w:cs="Arial"/>
        </w:rPr>
        <w:t xml:space="preserve"> </w:t>
      </w:r>
      <w:r w:rsidRPr="008B207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global </w:t>
      </w:r>
      <w:r w:rsidRPr="008B207B">
        <w:rPr>
          <w:rFonts w:ascii="Arial" w:hAnsi="Arial" w:cs="Arial"/>
        </w:rPr>
        <w:t>cognition</w:t>
      </w:r>
      <w:r>
        <w:rPr>
          <w:rFonts w:ascii="Arial" w:hAnsi="Arial" w:cs="Arial"/>
        </w:rPr>
        <w:t xml:space="preserve"> at visit nine</w:t>
      </w:r>
      <w:r w:rsidRPr="008B20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05FA31" w14:textId="77777777" w:rsidR="00CF6919" w:rsidRDefault="00CF6919" w:rsidP="00CF6919">
      <w:pPr>
        <w:spacing w:after="0" w:line="240" w:lineRule="auto"/>
        <w:rPr>
          <w:rFonts w:ascii="Arial" w:hAnsi="Arial" w:cs="Arial"/>
        </w:rPr>
      </w:pPr>
      <w:r w:rsidRPr="008B207B">
        <w:rPr>
          <w:rFonts w:ascii="Arial" w:hAnsi="Arial" w:cs="Arial"/>
        </w:rPr>
        <w:t xml:space="preserve">Abbreviations: </w:t>
      </w:r>
      <w:r>
        <w:rPr>
          <w:rFonts w:ascii="Arial" w:hAnsi="Arial" w:cs="Arial"/>
        </w:rPr>
        <w:t>V8, visit 8; HR, hazard ratio; CI</w:t>
      </w:r>
      <w:r w:rsidRPr="008B207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confidence interval</w:t>
      </w:r>
      <w:r w:rsidRPr="008B207B">
        <w:rPr>
          <w:rFonts w:ascii="Arial" w:hAnsi="Arial" w:cs="Arial"/>
        </w:rPr>
        <w:t>.</w:t>
      </w:r>
    </w:p>
    <w:p w14:paraId="790A16B9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6A4A64BB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07261B6C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24202CDE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3FFCD9AB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7CDA87A6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2D6D2B75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4EA70FD7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p w14:paraId="74E95759" w14:textId="77777777" w:rsidR="00CF6919" w:rsidRDefault="00CF6919" w:rsidP="00086460">
      <w:pPr>
        <w:spacing w:after="0" w:line="240" w:lineRule="auto"/>
        <w:rPr>
          <w:rFonts w:ascii="Arial" w:hAnsi="Arial" w:cs="Arial"/>
        </w:rPr>
      </w:pPr>
    </w:p>
    <w:sectPr w:rsidR="00CF6919" w:rsidSect="00847E5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26"/>
    <w:rsid w:val="00023A07"/>
    <w:rsid w:val="00042202"/>
    <w:rsid w:val="0004356A"/>
    <w:rsid w:val="00057743"/>
    <w:rsid w:val="0006650A"/>
    <w:rsid w:val="00073B50"/>
    <w:rsid w:val="00086460"/>
    <w:rsid w:val="000A2497"/>
    <w:rsid w:val="000D2C39"/>
    <w:rsid w:val="000F3938"/>
    <w:rsid w:val="001000E5"/>
    <w:rsid w:val="00111567"/>
    <w:rsid w:val="0015115A"/>
    <w:rsid w:val="00153276"/>
    <w:rsid w:val="001C3BE1"/>
    <w:rsid w:val="00235454"/>
    <w:rsid w:val="00245F1C"/>
    <w:rsid w:val="00265AF2"/>
    <w:rsid w:val="0027021C"/>
    <w:rsid w:val="00272420"/>
    <w:rsid w:val="00296A46"/>
    <w:rsid w:val="002A1EB4"/>
    <w:rsid w:val="002F6A28"/>
    <w:rsid w:val="00317EF7"/>
    <w:rsid w:val="00333659"/>
    <w:rsid w:val="00337E71"/>
    <w:rsid w:val="0034079B"/>
    <w:rsid w:val="00345950"/>
    <w:rsid w:val="003B1172"/>
    <w:rsid w:val="003D2007"/>
    <w:rsid w:val="003D7EF0"/>
    <w:rsid w:val="003F7AF4"/>
    <w:rsid w:val="00410A0A"/>
    <w:rsid w:val="00460FE4"/>
    <w:rsid w:val="004B7365"/>
    <w:rsid w:val="00543FDB"/>
    <w:rsid w:val="00547A58"/>
    <w:rsid w:val="005548AA"/>
    <w:rsid w:val="005A417E"/>
    <w:rsid w:val="005D4B69"/>
    <w:rsid w:val="005E5F1A"/>
    <w:rsid w:val="00610C32"/>
    <w:rsid w:val="00616478"/>
    <w:rsid w:val="0061757A"/>
    <w:rsid w:val="006A78F4"/>
    <w:rsid w:val="006B02DF"/>
    <w:rsid w:val="006B27CD"/>
    <w:rsid w:val="006B3D57"/>
    <w:rsid w:val="007560B8"/>
    <w:rsid w:val="007654C4"/>
    <w:rsid w:val="007A7C70"/>
    <w:rsid w:val="007D4F49"/>
    <w:rsid w:val="007D5D05"/>
    <w:rsid w:val="007F065E"/>
    <w:rsid w:val="007F73C6"/>
    <w:rsid w:val="0080696F"/>
    <w:rsid w:val="00810535"/>
    <w:rsid w:val="00847E51"/>
    <w:rsid w:val="008525F6"/>
    <w:rsid w:val="00860AE3"/>
    <w:rsid w:val="00864C98"/>
    <w:rsid w:val="0087695F"/>
    <w:rsid w:val="00881710"/>
    <w:rsid w:val="00896822"/>
    <w:rsid w:val="00920321"/>
    <w:rsid w:val="00935A28"/>
    <w:rsid w:val="00962195"/>
    <w:rsid w:val="009B0D37"/>
    <w:rsid w:val="009C0A70"/>
    <w:rsid w:val="009E54E7"/>
    <w:rsid w:val="00A335F7"/>
    <w:rsid w:val="00A817DB"/>
    <w:rsid w:val="00A91C58"/>
    <w:rsid w:val="00AD0D15"/>
    <w:rsid w:val="00B178B2"/>
    <w:rsid w:val="00B52D87"/>
    <w:rsid w:val="00B55745"/>
    <w:rsid w:val="00B642C0"/>
    <w:rsid w:val="00B65C4F"/>
    <w:rsid w:val="00BB52CE"/>
    <w:rsid w:val="00BF369D"/>
    <w:rsid w:val="00C20CAE"/>
    <w:rsid w:val="00C21654"/>
    <w:rsid w:val="00C43A84"/>
    <w:rsid w:val="00C5579A"/>
    <w:rsid w:val="00C63291"/>
    <w:rsid w:val="00C72A67"/>
    <w:rsid w:val="00C9095B"/>
    <w:rsid w:val="00C92F12"/>
    <w:rsid w:val="00CF6919"/>
    <w:rsid w:val="00D07E1D"/>
    <w:rsid w:val="00D35139"/>
    <w:rsid w:val="00D42463"/>
    <w:rsid w:val="00D51A65"/>
    <w:rsid w:val="00D76FB4"/>
    <w:rsid w:val="00D948D4"/>
    <w:rsid w:val="00E4788C"/>
    <w:rsid w:val="00E73D7A"/>
    <w:rsid w:val="00E81A62"/>
    <w:rsid w:val="00EB5511"/>
    <w:rsid w:val="00F54ADE"/>
    <w:rsid w:val="00F60D1F"/>
    <w:rsid w:val="00FA0626"/>
    <w:rsid w:val="00FA5325"/>
    <w:rsid w:val="00FB23A1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118F"/>
  <w15:chartTrackingRefBased/>
  <w15:docId w15:val="{B5CA7810-40F7-0744-B652-3B6F5A38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CE"/>
    <w:pPr>
      <w:spacing w:after="160" w:line="278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2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2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2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2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2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2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2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2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2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A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62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A0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626"/>
    <w:pPr>
      <w:spacing w:before="160" w:line="240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FA0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626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A0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626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BB52CE"/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5548AA"/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2">
    <w:name w:val="Plain Table 42"/>
    <w:basedOn w:val="TableNormal"/>
    <w:next w:val="PlainTable4"/>
    <w:uiPriority w:val="44"/>
    <w:rsid w:val="00616478"/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35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139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139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1139</Words>
  <Characters>5823</Characters>
  <Application>Microsoft Office Word</Application>
  <DocSecurity>0</DocSecurity>
  <Lines>86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Milton, Sasha</dc:creator>
  <cp:keywords/>
  <dc:description/>
  <cp:lastModifiedBy>Sasha Milton</cp:lastModifiedBy>
  <cp:revision>9</cp:revision>
  <dcterms:created xsi:type="dcterms:W3CDTF">2025-05-28T16:18:00Z</dcterms:created>
  <dcterms:modified xsi:type="dcterms:W3CDTF">2025-05-28T19:11:00Z</dcterms:modified>
</cp:coreProperties>
</file>