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5F4EF2" w14:textId="77777777" w:rsidR="005B39ED" w:rsidRDefault="00000000">
      <w:pPr>
        <w:jc w:val="center"/>
        <w:rPr>
          <w:sz w:val="36"/>
          <w:szCs w:val="36"/>
        </w:rPr>
      </w:pPr>
      <w:r>
        <w:rPr>
          <w:sz w:val="36"/>
          <w:szCs w:val="36"/>
        </w:rPr>
        <w:t>Supplementary Materials for</w:t>
      </w:r>
    </w:p>
    <w:p w14:paraId="1B645051" w14:textId="77777777" w:rsidR="005B39ED" w:rsidRDefault="005B39ED"/>
    <w:p w14:paraId="7269E1F4" w14:textId="6DC2CA4F" w:rsidR="005B39ED" w:rsidRDefault="00000000">
      <w:pPr>
        <w:jc w:val="center"/>
        <w:rPr>
          <w:b/>
          <w:sz w:val="28"/>
          <w:szCs w:val="28"/>
        </w:rPr>
      </w:pPr>
      <w:r>
        <w:rPr>
          <w:b/>
          <w:sz w:val="28"/>
          <w:szCs w:val="28"/>
        </w:rPr>
        <w:t>Global Forest Edge Dynamics in the 21st Century</w:t>
      </w:r>
    </w:p>
    <w:p w14:paraId="630E4620" w14:textId="77777777" w:rsidR="005B39ED" w:rsidRDefault="005B39ED">
      <w:pPr>
        <w:jc w:val="center"/>
        <w:rPr>
          <w:sz w:val="28"/>
          <w:szCs w:val="28"/>
        </w:rPr>
      </w:pPr>
    </w:p>
    <w:p w14:paraId="35A51676" w14:textId="77777777" w:rsidR="005B39ED" w:rsidRDefault="00000000">
      <w:pPr>
        <w:pBdr>
          <w:top w:val="nil"/>
          <w:left w:val="nil"/>
          <w:bottom w:val="nil"/>
          <w:right w:val="nil"/>
          <w:between w:val="nil"/>
        </w:pBdr>
        <w:spacing w:before="120" w:after="360"/>
        <w:jc w:val="center"/>
        <w:rPr>
          <w:color w:val="000000"/>
        </w:rPr>
      </w:pPr>
      <w:r>
        <w:rPr>
          <w:b/>
          <w:color w:val="000000"/>
        </w:rPr>
        <w:t>Authors:</w:t>
      </w:r>
      <w:r>
        <w:rPr>
          <w:color w:val="000000"/>
        </w:rPr>
        <w:t xml:space="preserve"> Hangkai You</w:t>
      </w:r>
      <w:r>
        <w:rPr>
          <w:color w:val="000000"/>
          <w:vertAlign w:val="superscript"/>
        </w:rPr>
        <w:t>1</w:t>
      </w:r>
      <w:r>
        <w:rPr>
          <w:color w:val="000000"/>
        </w:rPr>
        <w:t>, Fujiang Ji</w:t>
      </w:r>
      <w:r>
        <w:rPr>
          <w:color w:val="000000"/>
          <w:vertAlign w:val="superscript"/>
        </w:rPr>
        <w:t>1</w:t>
      </w:r>
      <w:r>
        <w:rPr>
          <w:color w:val="000000"/>
        </w:rPr>
        <w:t>, Taejin Park</w:t>
      </w:r>
      <w:r>
        <w:rPr>
          <w:color w:val="000000"/>
          <w:vertAlign w:val="superscript"/>
        </w:rPr>
        <w:t>2,3</w:t>
      </w:r>
      <w:r>
        <w:rPr>
          <w:color w:val="000000"/>
        </w:rPr>
        <w:t>, Volker C. Radeloff</w:t>
      </w:r>
      <w:r>
        <w:rPr>
          <w:color w:val="000000"/>
          <w:vertAlign w:val="superscript"/>
        </w:rPr>
        <w:t>1</w:t>
      </w:r>
      <w:r>
        <w:rPr>
          <w:color w:val="000000"/>
        </w:rPr>
        <w:t>, George Hurtt</w:t>
      </w:r>
      <w:r>
        <w:rPr>
          <w:color w:val="000000"/>
          <w:vertAlign w:val="superscript"/>
        </w:rPr>
        <w:t>4</w:t>
      </w:r>
      <w:r>
        <w:rPr>
          <w:color w:val="000000"/>
        </w:rPr>
        <w:t>, Minhui Jiang</w:t>
      </w:r>
      <w:r>
        <w:rPr>
          <w:color w:val="000000"/>
          <w:vertAlign w:val="superscript"/>
        </w:rPr>
        <w:t>5</w:t>
      </w:r>
      <w:r>
        <w:rPr>
          <w:color w:val="000000"/>
        </w:rPr>
        <w:t>, Min Chen</w:t>
      </w:r>
      <w:r>
        <w:rPr>
          <w:color w:val="000000"/>
          <w:vertAlign w:val="superscript"/>
        </w:rPr>
        <w:t>1</w:t>
      </w:r>
      <w:r>
        <w:rPr>
          <w:color w:val="000000"/>
        </w:rPr>
        <w:t>*.</w:t>
      </w:r>
    </w:p>
    <w:p w14:paraId="195B88BB" w14:textId="77777777" w:rsidR="005B39ED" w:rsidRDefault="00000000">
      <w:pPr>
        <w:jc w:val="center"/>
      </w:pPr>
      <w:r>
        <w:t>Corresponding author: min.chen@wisc.edu.</w:t>
      </w:r>
    </w:p>
    <w:p w14:paraId="67993BEF" w14:textId="77777777" w:rsidR="005B39ED" w:rsidRDefault="005B39ED"/>
    <w:p w14:paraId="7C9D1D08" w14:textId="77777777" w:rsidR="005B39ED" w:rsidRDefault="005B39ED">
      <w:pPr>
        <w:rPr>
          <w:b/>
        </w:rPr>
      </w:pPr>
    </w:p>
    <w:p w14:paraId="326FBA9C" w14:textId="77777777" w:rsidR="005B39ED" w:rsidRDefault="00000000">
      <w:pPr>
        <w:rPr>
          <w:b/>
        </w:rPr>
      </w:pPr>
      <w:r>
        <w:rPr>
          <w:b/>
        </w:rPr>
        <w:t>The PDF file includes:</w:t>
      </w:r>
    </w:p>
    <w:p w14:paraId="0356D282" w14:textId="77777777" w:rsidR="005B39ED" w:rsidRDefault="005B39ED"/>
    <w:p w14:paraId="34D684EB" w14:textId="77777777" w:rsidR="005B39ED" w:rsidRDefault="00000000">
      <w:pPr>
        <w:ind w:left="720"/>
      </w:pPr>
      <w:r>
        <w:t xml:space="preserve">Figs. S1 to S6     </w:t>
      </w:r>
      <w:r>
        <w:br/>
        <w:t>Tab. S1</w:t>
      </w:r>
    </w:p>
    <w:p w14:paraId="24B5EDFC" w14:textId="77777777" w:rsidR="005B39ED" w:rsidRDefault="00000000">
      <w:pPr>
        <w:keepNext/>
        <w:pBdr>
          <w:top w:val="nil"/>
          <w:left w:val="nil"/>
          <w:bottom w:val="nil"/>
          <w:right w:val="nil"/>
          <w:between w:val="nil"/>
        </w:pBdr>
        <w:spacing w:before="240" w:after="60"/>
      </w:pPr>
      <w:r>
        <w:br w:type="page"/>
      </w:r>
      <w:bookmarkStart w:id="0" w:name="bookmark=id.30j0zll" w:colFirst="0" w:colLast="0"/>
      <w:bookmarkStart w:id="1" w:name="bookmark=id.gjdgxs" w:colFirst="0" w:colLast="0"/>
      <w:bookmarkEnd w:id="0"/>
      <w:bookmarkEnd w:id="1"/>
    </w:p>
    <w:p w14:paraId="7277A261" w14:textId="77777777" w:rsidR="005B39ED" w:rsidRDefault="00000000">
      <w:pPr>
        <w:keepNext/>
        <w:pBdr>
          <w:top w:val="nil"/>
          <w:left w:val="nil"/>
          <w:bottom w:val="nil"/>
          <w:right w:val="nil"/>
          <w:between w:val="nil"/>
        </w:pBdr>
        <w:spacing w:before="240" w:after="60"/>
        <w:rPr>
          <w:b/>
          <w:color w:val="000000"/>
        </w:rPr>
      </w:pPr>
      <w:r>
        <w:rPr>
          <w:noProof/>
          <w:color w:val="222222"/>
        </w:rPr>
        <w:lastRenderedPageBreak/>
        <w:drawing>
          <wp:inline distT="0" distB="0" distL="0" distR="0" wp14:anchorId="3D22D91A" wp14:editId="7CEF8DD6">
            <wp:extent cx="5943600" cy="4610735"/>
            <wp:effectExtent l="0" t="0" r="0" b="0"/>
            <wp:docPr id="1558388882" name="image5.png" descr="图示&#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png" descr="图示&#10;&#10;AI-generated content may be incorrect."/>
                    <pic:cNvPicPr preferRelativeResize="0"/>
                  </pic:nvPicPr>
                  <pic:blipFill>
                    <a:blip r:embed="rId8"/>
                    <a:srcRect/>
                    <a:stretch>
                      <a:fillRect/>
                    </a:stretch>
                  </pic:blipFill>
                  <pic:spPr>
                    <a:xfrm>
                      <a:off x="0" y="0"/>
                      <a:ext cx="5943600" cy="4610735"/>
                    </a:xfrm>
                    <a:prstGeom prst="rect">
                      <a:avLst/>
                    </a:prstGeom>
                    <a:ln/>
                  </pic:spPr>
                </pic:pic>
              </a:graphicData>
            </a:graphic>
          </wp:inline>
        </w:drawing>
      </w:r>
    </w:p>
    <w:p w14:paraId="729D482A" w14:textId="77777777" w:rsidR="005B39ED" w:rsidRDefault="00000000">
      <w:pPr>
        <w:keepNext/>
        <w:pBdr>
          <w:top w:val="nil"/>
          <w:left w:val="nil"/>
          <w:bottom w:val="nil"/>
          <w:right w:val="nil"/>
          <w:between w:val="nil"/>
        </w:pBdr>
        <w:spacing w:before="240" w:after="60"/>
        <w:rPr>
          <w:b/>
          <w:color w:val="000000"/>
        </w:rPr>
      </w:pPr>
      <w:r>
        <w:rPr>
          <w:b/>
          <w:color w:val="000000"/>
        </w:rPr>
        <w:t xml:space="preserve">Fig. S1. Global forest edge </w:t>
      </w:r>
      <w:r>
        <w:rPr>
          <w:b/>
        </w:rPr>
        <w:t>dynamics</w:t>
      </w:r>
      <w:r>
        <w:rPr>
          <w:b/>
          <w:color w:val="000000"/>
        </w:rPr>
        <w:t xml:space="preserve"> by 5 classes between 2000 and 2020.</w:t>
      </w:r>
    </w:p>
    <w:p w14:paraId="16E666E0" w14:textId="77777777" w:rsidR="005B39ED" w:rsidRDefault="00000000">
      <w:pPr>
        <w:pBdr>
          <w:top w:val="nil"/>
          <w:left w:val="nil"/>
          <w:bottom w:val="nil"/>
          <w:right w:val="nil"/>
          <w:between w:val="nil"/>
        </w:pBdr>
        <w:rPr>
          <w:color w:val="000000"/>
        </w:rPr>
      </w:pPr>
      <w:r>
        <w:rPr>
          <w:color w:val="000000"/>
        </w:rPr>
        <w:t>The edge dynamic is classified into 5 classes based on its forest extent dynamics (see “Materials and Methods” section). A. Stable Forest edge. B. Forest edge increase due to forest area increase. C. Forest edge increase due to forest area decrease. D. Forest edge decrease due to forest area increase. E. Forest edge decrease due to forest area decrease.</w:t>
      </w:r>
    </w:p>
    <w:p w14:paraId="20055D58" w14:textId="77777777" w:rsidR="005B39ED" w:rsidRDefault="00000000">
      <w:pPr>
        <w:rPr>
          <w:b/>
        </w:rPr>
      </w:pPr>
      <w:r>
        <w:rPr>
          <w:noProof/>
        </w:rPr>
        <w:lastRenderedPageBreak/>
        <w:drawing>
          <wp:inline distT="0" distB="0" distL="0" distR="0" wp14:anchorId="0D215151" wp14:editId="52394C98">
            <wp:extent cx="5943599" cy="5192605"/>
            <wp:effectExtent l="0" t="0" r="0" b="0"/>
            <wp:docPr id="1558388884" name="image3.png" descr="图表, 折线图&#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png" descr="图表, 折线图&#10;&#10;AI-generated content may be incorrect."/>
                    <pic:cNvPicPr preferRelativeResize="0"/>
                  </pic:nvPicPr>
                  <pic:blipFill>
                    <a:blip r:embed="rId9"/>
                    <a:srcRect/>
                    <a:stretch>
                      <a:fillRect/>
                    </a:stretch>
                  </pic:blipFill>
                  <pic:spPr>
                    <a:xfrm>
                      <a:off x="0" y="0"/>
                      <a:ext cx="5943599" cy="5192605"/>
                    </a:xfrm>
                    <a:prstGeom prst="rect">
                      <a:avLst/>
                    </a:prstGeom>
                    <a:ln/>
                  </pic:spPr>
                </pic:pic>
              </a:graphicData>
            </a:graphic>
          </wp:inline>
        </w:drawing>
      </w:r>
    </w:p>
    <w:p w14:paraId="08DAB4C4" w14:textId="77777777" w:rsidR="005B39ED" w:rsidRDefault="00000000">
      <w:pPr>
        <w:rPr>
          <w:b/>
        </w:rPr>
      </w:pPr>
      <w:r>
        <w:rPr>
          <w:b/>
        </w:rPr>
        <w:t>Fig. S2. Forest areas and length variations across climate zones and continents from 2000 to 2020.</w:t>
      </w:r>
    </w:p>
    <w:p w14:paraId="495574BB" w14:textId="77777777" w:rsidR="005B39ED" w:rsidRDefault="00000000">
      <w:r>
        <w:t>A. Forest Areas and Length Variations Over Time in Different Climate Zones: Subpanels A.1 through A.6 show variations for Boreal, Cool Temperate, Polar, Subtropical, Tropics, and Warm Temperate zones, respectively. B. Forest Areas and Length Variations Over Time in Different Continents: Subpanels B.1 through B.6 show variations for Africa, Asia, North America, South America, Europe, and Oceania, respectively.</w:t>
      </w:r>
    </w:p>
    <w:p w14:paraId="6E6C063E" w14:textId="77777777" w:rsidR="005B39ED" w:rsidRDefault="00000000">
      <w:r>
        <w:rPr>
          <w:b/>
          <w:noProof/>
          <w:color w:val="000000"/>
        </w:rPr>
        <w:lastRenderedPageBreak/>
        <w:drawing>
          <wp:inline distT="0" distB="0" distL="0" distR="0" wp14:anchorId="7B3C3796" wp14:editId="502D6390">
            <wp:extent cx="5943598" cy="3005275"/>
            <wp:effectExtent l="0" t="0" r="0" b="0"/>
            <wp:docPr id="1558388883" name="image6.png" descr="图示&#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png" descr="图示&#10;&#10;AI-generated content may be incorrect."/>
                    <pic:cNvPicPr preferRelativeResize="0"/>
                  </pic:nvPicPr>
                  <pic:blipFill>
                    <a:blip r:embed="rId10"/>
                    <a:srcRect t="213" b="214"/>
                    <a:stretch>
                      <a:fillRect/>
                    </a:stretch>
                  </pic:blipFill>
                  <pic:spPr>
                    <a:xfrm>
                      <a:off x="0" y="0"/>
                      <a:ext cx="5943598" cy="3005275"/>
                    </a:xfrm>
                    <a:prstGeom prst="rect">
                      <a:avLst/>
                    </a:prstGeom>
                    <a:ln/>
                  </pic:spPr>
                </pic:pic>
              </a:graphicData>
            </a:graphic>
          </wp:inline>
        </w:drawing>
      </w:r>
    </w:p>
    <w:p w14:paraId="41387056" w14:textId="77777777" w:rsidR="005B39ED" w:rsidRDefault="00000000">
      <w:pPr>
        <w:rPr>
          <w:b/>
        </w:rPr>
      </w:pPr>
      <w:bookmarkStart w:id="2" w:name="_heading=h.1fob9te" w:colFirst="0" w:colLast="0"/>
      <w:bookmarkEnd w:id="2"/>
      <w:r>
        <w:rPr>
          <w:b/>
        </w:rPr>
        <w:t>Fig. S3. Global forest edge absolute difference from 2000 to 2020.</w:t>
      </w:r>
    </w:p>
    <w:p w14:paraId="2D3A57CE" w14:textId="3BD1E1E5" w:rsidR="005B39ED" w:rsidRDefault="00000000">
      <w:r>
        <w:t>Panels A through D provide a global overview of global forest edge dynamics across four periods: 2000–2005, 2005–2010, 2010–2015, and 2015–2020, with color gradients representing the absolute change in forest edges. The scale ranges from forest edges large decrease with areas decrease (in blue) or forest edges large decrease with areas large increase (in green) to forest edges large increase with areas large decrease (in red) or forest edges large increase with areas large increase (in yellow), indicating regions where forest boundaries have contracted or expanded; the edges with mild changes in length are shown in gray.</w:t>
      </w:r>
    </w:p>
    <w:p w14:paraId="32473508" w14:textId="77777777" w:rsidR="005B39ED" w:rsidRDefault="00000000">
      <w:r>
        <w:br w:type="page"/>
      </w:r>
    </w:p>
    <w:p w14:paraId="70CA3A69" w14:textId="77777777" w:rsidR="005B39ED" w:rsidRDefault="00000000">
      <w:r>
        <w:rPr>
          <w:noProof/>
          <w:color w:val="000000"/>
        </w:rPr>
        <w:lastRenderedPageBreak/>
        <w:drawing>
          <wp:inline distT="0" distB="0" distL="0" distR="0" wp14:anchorId="78515EB4" wp14:editId="64AB25F6">
            <wp:extent cx="5943185" cy="3018789"/>
            <wp:effectExtent l="0" t="0" r="0" b="0"/>
            <wp:docPr id="1558388886" name="image2.png" descr="图示&#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png" descr="图示&#10;&#10;AI-generated content may be incorrect."/>
                    <pic:cNvPicPr preferRelativeResize="0"/>
                  </pic:nvPicPr>
                  <pic:blipFill>
                    <a:blip r:embed="rId11"/>
                    <a:srcRect/>
                    <a:stretch>
                      <a:fillRect/>
                    </a:stretch>
                  </pic:blipFill>
                  <pic:spPr>
                    <a:xfrm>
                      <a:off x="0" y="0"/>
                      <a:ext cx="5943185" cy="3018789"/>
                    </a:xfrm>
                    <a:prstGeom prst="rect">
                      <a:avLst/>
                    </a:prstGeom>
                    <a:ln/>
                  </pic:spPr>
                </pic:pic>
              </a:graphicData>
            </a:graphic>
          </wp:inline>
        </w:drawing>
      </w:r>
    </w:p>
    <w:p w14:paraId="192FCB6D" w14:textId="77777777" w:rsidR="005B39ED" w:rsidRDefault="00000000">
      <w:pPr>
        <w:keepNext/>
        <w:pBdr>
          <w:top w:val="nil"/>
          <w:left w:val="nil"/>
          <w:bottom w:val="nil"/>
          <w:right w:val="nil"/>
          <w:between w:val="nil"/>
        </w:pBdr>
        <w:spacing w:before="240" w:after="60"/>
        <w:rPr>
          <w:b/>
        </w:rPr>
      </w:pPr>
      <w:r>
        <w:rPr>
          <w:b/>
        </w:rPr>
        <w:t>Fig. S4. Global forest edge relative difference from 2000 to 2020.</w:t>
      </w:r>
    </w:p>
    <w:p w14:paraId="599BE30C" w14:textId="77777777" w:rsidR="005B39ED" w:rsidRDefault="00000000">
      <w:pPr>
        <w:keepNext/>
        <w:pBdr>
          <w:top w:val="nil"/>
          <w:left w:val="nil"/>
          <w:bottom w:val="nil"/>
          <w:right w:val="nil"/>
          <w:between w:val="nil"/>
        </w:pBdr>
        <w:spacing w:before="240" w:after="60"/>
        <w:rPr>
          <w:color w:val="000000"/>
        </w:rPr>
      </w:pPr>
      <w:r>
        <w:t>Panels A through D provide a global overview of global forest edge dynamics across four periods: 2000–2005, 2005–2010, 2010–2015, and 2015–2020, with color gradients representing the relative change in forest edges. The scale ranges from forest edges large decrease with areas decrease (in blue) or forest edges large decrease with areas large increase (in green) to forest edges large increase with areas large decrease (in red) or forest edges large increase with areas large increase (in yellow), indicating regions where forest boundaries have contracted or expanded; the edges with mild changes in length are shown in gray.</w:t>
      </w:r>
      <w:r>
        <w:br w:type="column"/>
      </w:r>
      <w:r>
        <w:rPr>
          <w:noProof/>
          <w:color w:val="000000"/>
        </w:rPr>
        <w:lastRenderedPageBreak/>
        <w:drawing>
          <wp:inline distT="0" distB="0" distL="0" distR="0" wp14:anchorId="14DC30E7" wp14:editId="5E4CBBEC">
            <wp:extent cx="4298603" cy="3364084"/>
            <wp:effectExtent l="0" t="0" r="0" b="0"/>
            <wp:docPr id="1558388885" name="image1.png" descr="图表, 散点图&#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png" descr="图表, 散点图&#10;&#10;AI-generated content may be incorrect."/>
                    <pic:cNvPicPr preferRelativeResize="0"/>
                  </pic:nvPicPr>
                  <pic:blipFill>
                    <a:blip r:embed="rId12"/>
                    <a:srcRect/>
                    <a:stretch>
                      <a:fillRect/>
                    </a:stretch>
                  </pic:blipFill>
                  <pic:spPr>
                    <a:xfrm>
                      <a:off x="0" y="0"/>
                      <a:ext cx="4298603" cy="3364084"/>
                    </a:xfrm>
                    <a:prstGeom prst="rect">
                      <a:avLst/>
                    </a:prstGeom>
                    <a:ln/>
                  </pic:spPr>
                </pic:pic>
              </a:graphicData>
            </a:graphic>
          </wp:inline>
        </w:drawing>
      </w:r>
    </w:p>
    <w:p w14:paraId="4C622404" w14:textId="77777777" w:rsidR="005B39ED" w:rsidRDefault="00000000">
      <w:pPr>
        <w:keepNext/>
        <w:pBdr>
          <w:top w:val="nil"/>
          <w:left w:val="nil"/>
          <w:bottom w:val="nil"/>
          <w:right w:val="nil"/>
          <w:between w:val="nil"/>
        </w:pBdr>
        <w:spacing w:before="240" w:after="60"/>
        <w:rPr>
          <w:b/>
          <w:color w:val="000000"/>
        </w:rPr>
      </w:pPr>
      <w:r>
        <w:rPr>
          <w:b/>
          <w:color w:val="000000"/>
        </w:rPr>
        <w:t>Fig. S5. Forest edge length and area relation at country level.</w:t>
      </w:r>
    </w:p>
    <w:p w14:paraId="6C0C936E" w14:textId="72D81CF2" w:rsidR="005B39ED" w:rsidRDefault="00000000">
      <w:pPr>
        <w:pBdr>
          <w:top w:val="nil"/>
          <w:left w:val="nil"/>
          <w:bottom w:val="nil"/>
          <w:right w:val="nil"/>
          <w:between w:val="nil"/>
        </w:pBdr>
        <w:rPr>
          <w:color w:val="000000"/>
        </w:rPr>
      </w:pPr>
      <w:r>
        <w:rPr>
          <w:color w:val="000000"/>
        </w:rPr>
        <w:t>The scatter plot illustrates the logarithmically transformed relationship between forest edge length and forest area for countries globally. Data for the years 2000</w:t>
      </w:r>
      <w:r>
        <w:t xml:space="preserve"> </w:t>
      </w:r>
      <w:r>
        <w:rPr>
          <w:color w:val="000000"/>
        </w:rPr>
        <w:t>to 2020 are represented by orange, green, purple, gray and blue</w:t>
      </w:r>
      <w:r>
        <w:t xml:space="preserve"> </w:t>
      </w:r>
      <w:r>
        <w:rPr>
          <w:color w:val="000000"/>
        </w:rPr>
        <w:t>symbols, respectively. The black line represents the linear regression fit of the data for the year 2000</w:t>
      </w:r>
      <w:r w:rsidR="00681539">
        <w:rPr>
          <w:rFonts w:hint="eastAsia"/>
          <w:color w:val="000000"/>
        </w:rPr>
        <w:t xml:space="preserve"> (</w:t>
      </w:r>
      <w:r w:rsidR="00681539" w:rsidRPr="00681539">
        <w:rPr>
          <w:rFonts w:hint="eastAsia"/>
          <w:i/>
          <w:iCs/>
          <w:color w:val="000000"/>
        </w:rPr>
        <w:t>log</w:t>
      </w:r>
      <w:r w:rsidR="00681539">
        <w:rPr>
          <w:rFonts w:hint="eastAsia"/>
          <w:color w:val="000000"/>
        </w:rPr>
        <w:t>(</w:t>
      </w:r>
      <w:r w:rsidR="00681539" w:rsidRPr="00681539">
        <w:rPr>
          <w:rFonts w:hint="eastAsia"/>
          <w:i/>
          <w:iCs/>
          <w:color w:val="000000"/>
        </w:rPr>
        <w:t>Area</w:t>
      </w:r>
      <w:r w:rsidR="00681539">
        <w:rPr>
          <w:rFonts w:hint="eastAsia"/>
          <w:color w:val="000000"/>
        </w:rPr>
        <w:t>) = 1.12</w:t>
      </w:r>
      <w:r w:rsidR="00681539">
        <w:rPr>
          <w:color w:val="000000"/>
        </w:rPr>
        <w:t>×</w:t>
      </w:r>
      <w:r w:rsidR="00681539" w:rsidRPr="00681539">
        <w:rPr>
          <w:rFonts w:hint="eastAsia"/>
          <w:i/>
          <w:iCs/>
          <w:color w:val="000000"/>
        </w:rPr>
        <w:t>log</w:t>
      </w:r>
      <w:r w:rsidR="00681539">
        <w:rPr>
          <w:rFonts w:hint="eastAsia"/>
          <w:color w:val="000000"/>
        </w:rPr>
        <w:t>(</w:t>
      </w:r>
      <w:r w:rsidR="00681539" w:rsidRPr="00681539">
        <w:rPr>
          <w:rFonts w:hint="eastAsia"/>
          <w:i/>
          <w:iCs/>
          <w:color w:val="000000"/>
        </w:rPr>
        <w:t>Edge</w:t>
      </w:r>
      <w:r w:rsidR="00681539">
        <w:rPr>
          <w:rFonts w:hint="eastAsia"/>
          <w:color w:val="000000"/>
        </w:rPr>
        <w:t>)-3.95)</w:t>
      </w:r>
      <w:r>
        <w:rPr>
          <w:color w:val="000000"/>
        </w:rPr>
        <w:t>, with a coefficient of determination (</w:t>
      </w:r>
      <w:r w:rsidRPr="00681539">
        <w:rPr>
          <w:i/>
          <w:iCs/>
          <w:color w:val="000000"/>
        </w:rPr>
        <w:t>R²</w:t>
      </w:r>
      <w:r>
        <w:rPr>
          <w:color w:val="000000"/>
        </w:rPr>
        <w:t>) of 0.917. The statistical significance of this relationship is examined by a p-value of 2.38×</w:t>
      </w:r>
      <w:r w:rsidR="00681539">
        <w:rPr>
          <w:rFonts w:hint="eastAsia"/>
          <w:color w:val="000000"/>
        </w:rPr>
        <w:t>10</w:t>
      </w:r>
      <w:r w:rsidR="00681539" w:rsidRPr="00681539">
        <w:rPr>
          <w:rFonts w:hint="eastAsia"/>
          <w:color w:val="000000"/>
          <w:vertAlign w:val="superscript"/>
        </w:rPr>
        <w:t>-4</w:t>
      </w:r>
      <w:r w:rsidR="00681539">
        <w:rPr>
          <w:rFonts w:hint="eastAsia"/>
          <w:color w:val="000000"/>
        </w:rPr>
        <w:t>.</w:t>
      </w:r>
    </w:p>
    <w:p w14:paraId="3980C4F8" w14:textId="77777777" w:rsidR="005B39ED" w:rsidRDefault="00000000">
      <w:pPr>
        <w:pBdr>
          <w:top w:val="nil"/>
          <w:left w:val="nil"/>
          <w:bottom w:val="nil"/>
          <w:right w:val="nil"/>
          <w:between w:val="nil"/>
        </w:pBdr>
        <w:rPr>
          <w:color w:val="000000"/>
        </w:rPr>
      </w:pPr>
      <w:r>
        <w:br w:type="column"/>
      </w:r>
      <w:r>
        <w:rPr>
          <w:b/>
          <w:noProof/>
          <w:color w:val="222222"/>
        </w:rPr>
        <w:lastRenderedPageBreak/>
        <w:drawing>
          <wp:inline distT="0" distB="0" distL="0" distR="0" wp14:anchorId="40D23ACE" wp14:editId="5C26C428">
            <wp:extent cx="5711354" cy="3716129"/>
            <wp:effectExtent l="0" t="0" r="0" b="0"/>
            <wp:docPr id="1558388887" name="image4.png" descr="图表, 散点图&#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png" descr="图表, 散点图&#10;&#10;AI-generated content may be incorrect."/>
                    <pic:cNvPicPr preferRelativeResize="0"/>
                  </pic:nvPicPr>
                  <pic:blipFill>
                    <a:blip r:embed="rId13"/>
                    <a:srcRect/>
                    <a:stretch>
                      <a:fillRect/>
                    </a:stretch>
                  </pic:blipFill>
                  <pic:spPr>
                    <a:xfrm>
                      <a:off x="0" y="0"/>
                      <a:ext cx="5711354" cy="3716129"/>
                    </a:xfrm>
                    <a:prstGeom prst="rect">
                      <a:avLst/>
                    </a:prstGeom>
                    <a:ln/>
                  </pic:spPr>
                </pic:pic>
              </a:graphicData>
            </a:graphic>
          </wp:inline>
        </w:drawing>
      </w:r>
    </w:p>
    <w:p w14:paraId="1C11280D" w14:textId="77777777" w:rsidR="005B39ED" w:rsidRDefault="00000000">
      <w:pPr>
        <w:keepNext/>
        <w:pBdr>
          <w:top w:val="nil"/>
          <w:left w:val="nil"/>
          <w:bottom w:val="nil"/>
          <w:right w:val="nil"/>
          <w:between w:val="nil"/>
        </w:pBdr>
        <w:spacing w:before="240" w:after="60"/>
        <w:rPr>
          <w:b/>
          <w:color w:val="000000"/>
        </w:rPr>
      </w:pPr>
      <w:r>
        <w:rPr>
          <w:b/>
          <w:color w:val="000000"/>
        </w:rPr>
        <w:t>Fig. S6. Unequal development of forest landscape patterns.</w:t>
      </w:r>
    </w:p>
    <w:p w14:paraId="593A38E9" w14:textId="7714B72D" w:rsidR="005B39ED" w:rsidRDefault="00000000">
      <w:pPr>
        <w:pBdr>
          <w:top w:val="nil"/>
          <w:left w:val="nil"/>
          <w:bottom w:val="nil"/>
          <w:right w:val="nil"/>
          <w:between w:val="nil"/>
        </w:pBdr>
        <w:rPr>
          <w:color w:val="000000"/>
        </w:rPr>
      </w:pPr>
      <w:r>
        <w:rPr>
          <w:color w:val="000000"/>
        </w:rPr>
        <w:t>The scatter plot illustrates the relationship between the residuals (see “Materials and Methods” section) of each country in 2000 and their changes from 2000 to 2020. Colors indicate the continent to which countries belong, as defined by Natural Earth classifications</w:t>
      </w:r>
      <w:r w:rsidR="00681539">
        <w:rPr>
          <w:rFonts w:hint="eastAsia"/>
          <w:color w:val="000000"/>
        </w:rPr>
        <w:t xml:space="preserve"> (</w:t>
      </w:r>
      <w:hyperlink r:id="rId14" w:history="1">
        <w:r w:rsidR="00681539" w:rsidRPr="008A04AC">
          <w:rPr>
            <w:rStyle w:val="Hyperlink"/>
          </w:rPr>
          <w:t>https://www.naturalearthdata.com/</w:t>
        </w:r>
      </w:hyperlink>
      <w:r w:rsidR="00681539">
        <w:rPr>
          <w:rFonts w:hint="eastAsia"/>
          <w:color w:val="000000"/>
        </w:rPr>
        <w:t>)</w:t>
      </w:r>
      <w:r>
        <w:rPr>
          <w:color w:val="000000"/>
        </w:rPr>
        <w:t>.</w:t>
      </w:r>
    </w:p>
    <w:p w14:paraId="29A639B5" w14:textId="77777777" w:rsidR="005B39ED" w:rsidRDefault="005B39ED">
      <w:pPr>
        <w:pBdr>
          <w:top w:val="nil"/>
          <w:left w:val="nil"/>
          <w:bottom w:val="nil"/>
          <w:right w:val="nil"/>
          <w:between w:val="nil"/>
        </w:pBdr>
      </w:pPr>
    </w:p>
    <w:p w14:paraId="6900A048" w14:textId="77777777" w:rsidR="005B39ED" w:rsidRDefault="00000000">
      <w:pPr>
        <w:pBdr>
          <w:top w:val="nil"/>
          <w:left w:val="nil"/>
          <w:bottom w:val="nil"/>
          <w:right w:val="nil"/>
          <w:between w:val="nil"/>
        </w:pBdr>
        <w:rPr>
          <w:b/>
        </w:rPr>
      </w:pPr>
      <w:r>
        <w:rPr>
          <w:b/>
        </w:rPr>
        <w:t>Tab. S1. Forest area and edge dynamics across countries.</w:t>
      </w:r>
    </w:p>
    <w:p w14:paraId="5811C797" w14:textId="77777777" w:rsidR="005B39ED" w:rsidRDefault="00000000">
      <w:pPr>
        <w:pBdr>
          <w:top w:val="nil"/>
          <w:left w:val="nil"/>
          <w:bottom w:val="nil"/>
          <w:right w:val="nil"/>
          <w:between w:val="nil"/>
        </w:pBdr>
        <w:rPr>
          <w:color w:val="000000"/>
        </w:rPr>
      </w:pPr>
      <w:r>
        <w:rPr>
          <w:color w:val="000000"/>
        </w:rPr>
        <w:t>The table attached presents data on forest area and forest edge length at the country scale from 2000 to 2020 (with five-year intervals). It includes total forest area (km²), total forest edge length (km), and edge length dynamics (see classification details in “Materials and Methods” section), categorized into stable edges, increase-increase edges, increase-decrease edges, decrease-increase edges, decrease-decrease edges over consecutive time periods.</w:t>
      </w:r>
    </w:p>
    <w:sectPr w:rsidR="005B39ED">
      <w:headerReference w:type="default" r:id="rId15"/>
      <w:footerReference w:type="default" r:id="rId16"/>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5CDBB4" w14:textId="77777777" w:rsidR="00FE1ABB" w:rsidRDefault="00FE1ABB">
      <w:r>
        <w:separator/>
      </w:r>
    </w:p>
  </w:endnote>
  <w:endnote w:type="continuationSeparator" w:id="0">
    <w:p w14:paraId="6EC5102E" w14:textId="77777777" w:rsidR="00FE1ABB" w:rsidRDefault="00FE1A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embedRegular r:id="rId1" w:fontKey="{387B950D-0CB8-4D64-B79D-66744A51870A}"/>
    <w:embedBold r:id="rId2" w:fontKey="{8FF489EE-897D-4C96-B04E-0BA506CA19EF}"/>
    <w:embedBoldItalic r:id="rId3" w:fontKey="{51903F78-7DAE-41CC-A24E-2A714BC24BE5}"/>
  </w:font>
  <w:font w:name="Times">
    <w:panose1 w:val="02020603050405020304"/>
    <w:charset w:val="00"/>
    <w:family w:val="auto"/>
    <w:pitch w:val="default"/>
    <w:embedBold r:id="rId4" w:fontKey="{85DD830F-C1C7-4707-BFC7-802DF3308EF3}"/>
  </w:font>
  <w:font w:name="Calibri">
    <w:panose1 w:val="020F0502020204030204"/>
    <w:charset w:val="00"/>
    <w:family w:val="swiss"/>
    <w:pitch w:val="variable"/>
    <w:sig w:usb0="E4002EFF" w:usb1="C200247B" w:usb2="00000009" w:usb3="00000000" w:csb0="000001FF" w:csb1="00000000"/>
    <w:embedRegular r:id="rId5" w:fontKey="{A920B22E-4111-44E7-BACA-A7C0EF5E0F61}"/>
    <w:embedBold r:id="rId6" w:fontKey="{3A5E5DB0-39E4-4FFE-A1A1-A69799EE9EB0}"/>
    <w:embedItalic r:id="rId7" w:fontKey="{E4B50D28-4AB4-48FD-8A1B-3D845066896A}"/>
    <w:embedBoldItalic r:id="rId8" w:fontKey="{8DA9A67B-3266-40A6-81C1-042685D9775C}"/>
  </w:font>
  <w:font w:name="Tahoma">
    <w:panose1 w:val="020B0604030504040204"/>
    <w:charset w:val="00"/>
    <w:family w:val="swiss"/>
    <w:pitch w:val="variable"/>
    <w:sig w:usb0="E1002EFF" w:usb1="C000605B" w:usb2="00000029" w:usb3="00000000" w:csb0="000101FF" w:csb1="00000000"/>
    <w:embedRegular r:id="rId9" w:fontKey="{0D808A54-07B6-4767-8791-C288E27AA011}"/>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E2B6D0" w14:textId="77777777" w:rsidR="005B39ED" w:rsidRDefault="00000000">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sidR="00681539">
      <w:rPr>
        <w:noProof/>
        <w:color w:val="000000"/>
      </w:rPr>
      <w:t>1</w:t>
    </w:r>
    <w:r>
      <w:rPr>
        <w:color w:val="000000"/>
      </w:rPr>
      <w:fldChar w:fldCharType="end"/>
    </w:r>
  </w:p>
  <w:p w14:paraId="0D8C3709" w14:textId="77777777" w:rsidR="005B39ED" w:rsidRDefault="005B39ED">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61B504" w14:textId="77777777" w:rsidR="00FE1ABB" w:rsidRDefault="00FE1ABB">
      <w:r>
        <w:separator/>
      </w:r>
    </w:p>
  </w:footnote>
  <w:footnote w:type="continuationSeparator" w:id="0">
    <w:p w14:paraId="39D612EF" w14:textId="77777777" w:rsidR="00FE1ABB" w:rsidRDefault="00FE1AB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F4D036" w14:textId="77777777" w:rsidR="005B39ED" w:rsidRDefault="005B39ED">
    <w:pPr>
      <w:jc w:val="right"/>
      <w:rPr>
        <w:sz w:val="20"/>
        <w:szCs w:val="20"/>
      </w:rPr>
    </w:pPr>
  </w:p>
  <w:p w14:paraId="59E48008" w14:textId="77777777" w:rsidR="005B39ED" w:rsidRDefault="005B39E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AF777D3"/>
    <w:multiLevelType w:val="multilevel"/>
    <w:tmpl w:val="6952DBA8"/>
    <w:lvl w:ilvl="0">
      <w:start w:val="1"/>
      <w:numFmt w:val="decimal"/>
      <w:pStyle w:val="ListBulle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79090515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39ED"/>
    <w:rsid w:val="00283945"/>
    <w:rsid w:val="003B5D45"/>
    <w:rsid w:val="005B39ED"/>
    <w:rsid w:val="00681539"/>
    <w:rsid w:val="00822068"/>
    <w:rsid w:val="00CE6897"/>
    <w:rsid w:val="00FE1AB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F81177"/>
  <w15:docId w15:val="{12F3BDE0-904B-4C79-A9D4-50EB7C08F9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sz w:val="24"/>
        <w:szCs w:val="24"/>
        <w:lang w:val="en"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30EA"/>
  </w:style>
  <w:style w:type="paragraph" w:styleId="Heading1">
    <w:name w:val="heading 1"/>
    <w:basedOn w:val="Normal"/>
    <w:next w:val="Normal"/>
    <w:link w:val="Heading1Char"/>
    <w:uiPriority w:val="9"/>
    <w:qFormat/>
    <w:rsid w:val="00B43B31"/>
    <w:pPr>
      <w:keepNext/>
      <w:spacing w:before="240" w:after="60"/>
      <w:outlineLvl w:val="0"/>
    </w:pPr>
    <w:rPr>
      <w:b/>
      <w:bCs/>
      <w:kern w:val="32"/>
    </w:rPr>
  </w:style>
  <w:style w:type="paragraph" w:styleId="Heading2">
    <w:name w:val="heading 2"/>
    <w:basedOn w:val="Normal"/>
    <w:next w:val="Normal"/>
    <w:link w:val="Heading2Char"/>
    <w:uiPriority w:val="9"/>
    <w:semiHidden/>
    <w:unhideWhenUsed/>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uiPriority w:val="9"/>
    <w:semiHidden/>
    <w:unhideWhenUsed/>
    <w:qFormat/>
    <w:rsid w:val="00C600D9"/>
    <w:pPr>
      <w:keepNext/>
      <w:spacing w:line="480" w:lineRule="auto"/>
      <w:outlineLvl w:val="2"/>
    </w:pPr>
    <w:rPr>
      <w:rFonts w:ascii="Times" w:eastAsia="Times" w:hAnsi="Times"/>
      <w:b/>
    </w:rPr>
  </w:style>
  <w:style w:type="paragraph" w:styleId="Heading4">
    <w:name w:val="heading 4"/>
    <w:basedOn w:val="Normal"/>
    <w:next w:val="Normal"/>
    <w:uiPriority w:val="9"/>
    <w:semiHidden/>
    <w:unhideWhenUsed/>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uiPriority w:val="9"/>
    <w:semiHidden/>
    <w:unhideWhenUsed/>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uiPriority w:val="9"/>
    <w:semiHidden/>
    <w:unhideWhenUsed/>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rPr>
  </w:style>
  <w:style w:type="paragraph" w:styleId="Heading8">
    <w:name w:val="heading 8"/>
    <w:basedOn w:val="Normal"/>
    <w:next w:val="Normal"/>
    <w:link w:val="Heading8Char"/>
    <w:semiHidden/>
    <w:qFormat/>
    <w:rsid w:val="007411A1"/>
    <w:pPr>
      <w:spacing w:before="240" w:after="60"/>
      <w:outlineLvl w:val="7"/>
    </w:pPr>
    <w:rPr>
      <w:rFonts w:ascii="Calibri" w:hAnsi="Calibri"/>
      <w:i/>
      <w:iCs/>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05336"/>
    <w:pPr>
      <w:spacing w:before="240" w:after="60"/>
      <w:jc w:val="center"/>
      <w:outlineLvl w:val="0"/>
    </w:pPr>
    <w:rPr>
      <w:rFonts w:ascii="Cambria" w:hAnsi="Cambria"/>
      <w:b/>
      <w:bCs/>
      <w:kern w:val="28"/>
      <w:sz w:val="32"/>
      <w:szCs w:val="32"/>
    </w:rPr>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tabs>
        <w:tab w:val="num" w:pos="720"/>
      </w:tabs>
      <w:ind w:left="720" w:hanging="720"/>
      <w:contextualSpacing/>
    </w:pPr>
  </w:style>
  <w:style w:type="paragraph" w:styleId="ListBullet3">
    <w:name w:val="List Bullet 3"/>
    <w:basedOn w:val="Normal"/>
    <w:semiHidden/>
    <w:rsid w:val="00405336"/>
    <w:pPr>
      <w:tabs>
        <w:tab w:val="num" w:pos="720"/>
      </w:tabs>
      <w:ind w:left="720" w:hanging="720"/>
      <w:contextualSpacing/>
    </w:pPr>
  </w:style>
  <w:style w:type="paragraph" w:styleId="ListBullet4">
    <w:name w:val="List Bullet 4"/>
    <w:basedOn w:val="Normal"/>
    <w:semiHidden/>
    <w:rsid w:val="00405336"/>
    <w:pPr>
      <w:tabs>
        <w:tab w:val="num" w:pos="720"/>
      </w:tabs>
      <w:ind w:left="720" w:hanging="720"/>
      <w:contextualSpacing/>
    </w:pPr>
  </w:style>
  <w:style w:type="paragraph" w:styleId="ListBullet5">
    <w:name w:val="List Bullet 5"/>
    <w:basedOn w:val="Normal"/>
    <w:semiHidden/>
    <w:rsid w:val="00405336"/>
    <w:pPr>
      <w:tabs>
        <w:tab w:val="num" w:pos="720"/>
      </w:tabs>
      <w:ind w:left="720" w:hanging="720"/>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tabs>
        <w:tab w:val="num" w:pos="720"/>
      </w:tabs>
      <w:ind w:left="720" w:hanging="720"/>
      <w:contextualSpacing/>
    </w:pPr>
  </w:style>
  <w:style w:type="paragraph" w:styleId="ListNumber2">
    <w:name w:val="List Number 2"/>
    <w:basedOn w:val="Normal"/>
    <w:semiHidden/>
    <w:rsid w:val="00405336"/>
    <w:pPr>
      <w:tabs>
        <w:tab w:val="num" w:pos="720"/>
      </w:tabs>
      <w:ind w:left="720" w:hanging="720"/>
      <w:contextualSpacing/>
    </w:pPr>
  </w:style>
  <w:style w:type="paragraph" w:styleId="ListNumber3">
    <w:name w:val="List Number 3"/>
    <w:basedOn w:val="Normal"/>
    <w:semiHidden/>
    <w:rsid w:val="00405336"/>
    <w:pPr>
      <w:tabs>
        <w:tab w:val="num" w:pos="720"/>
      </w:tabs>
      <w:ind w:left="720" w:hanging="720"/>
      <w:contextualSpacing/>
    </w:pPr>
  </w:style>
  <w:style w:type="paragraph" w:styleId="ListNumber4">
    <w:name w:val="List Number 4"/>
    <w:basedOn w:val="Normal"/>
    <w:semiHidden/>
    <w:rsid w:val="00405336"/>
    <w:pPr>
      <w:tabs>
        <w:tab w:val="num" w:pos="720"/>
      </w:tabs>
      <w:ind w:left="720" w:hanging="720"/>
      <w:contextualSpacing/>
    </w:pPr>
  </w:style>
  <w:style w:type="paragraph" w:styleId="ListNumber5">
    <w:name w:val="List Number 5"/>
    <w:basedOn w:val="Normal"/>
    <w:semiHidden/>
    <w:rsid w:val="00405336"/>
    <w:pPr>
      <w:tabs>
        <w:tab w:val="num" w:pos="720"/>
      </w:tabs>
      <w:ind w:left="720" w:hanging="720"/>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style>
  <w:style w:type="paragraph" w:styleId="NormalWeb">
    <w:name w:val="Normal (Web)"/>
    <w:basedOn w:val="Normal"/>
    <w:semiHidden/>
    <w:rsid w:val="00405336"/>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uiPriority w:val="11"/>
    <w:qFormat/>
    <w:pPr>
      <w:spacing w:after="60"/>
      <w:jc w:val="center"/>
    </w:pPr>
    <w:rPr>
      <w:rFonts w:ascii="Cambria" w:eastAsia="Cambria" w:hAnsi="Cambria" w:cs="Cambria"/>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semiHidden/>
    <w:rsid w:val="007402FC"/>
    <w:rPr>
      <w:color w:val="0000FF"/>
      <w:u w:val="single"/>
    </w:rPr>
  </w:style>
  <w:style w:type="character" w:styleId="FollowedHyperlink">
    <w:name w:val="FollowedHyperlink"/>
    <w:semiHidden/>
    <w:unhideWhenUsed/>
    <w:rsid w:val="00793072"/>
    <w:rPr>
      <w:color w:val="800080"/>
      <w:u w:val="single"/>
    </w:rPr>
  </w:style>
  <w:style w:type="character" w:styleId="CommentReference">
    <w:name w:val="annotation reference"/>
    <w:semiHidden/>
    <w:unhideWhenUsed/>
    <w:rsid w:val="00793072"/>
    <w:rPr>
      <w:sz w:val="16"/>
      <w:szCs w:val="16"/>
    </w:rPr>
  </w:style>
  <w:style w:type="character" w:styleId="UnresolvedMention">
    <w:name w:val="Unresolved Mention"/>
    <w:basedOn w:val="DefaultParagraphFont"/>
    <w:uiPriority w:val="99"/>
    <w:semiHidden/>
    <w:unhideWhenUsed/>
    <w:rsid w:val="008218C4"/>
    <w:rPr>
      <w:color w:val="808080"/>
      <w:shd w:val="clear" w:color="auto" w:fill="E6E6E6"/>
    </w:rPr>
  </w:style>
  <w:style w:type="paragraph" w:styleId="Revision">
    <w:name w:val="Revision"/>
    <w:hidden/>
    <w:uiPriority w:val="99"/>
    <w:semiHidden/>
    <w:rsid w:val="003227A1"/>
  </w:style>
  <w:style w:type="paragraph" w:customStyle="1" w:styleId="Acknowledgement">
    <w:name w:val="Acknowledgement"/>
    <w:basedOn w:val="Normal"/>
    <w:rsid w:val="00934C7A"/>
    <w:pPr>
      <w:spacing w:before="120"/>
      <w:ind w:left="720" w:hanging="720"/>
    </w:pPr>
  </w:style>
  <w:style w:type="character" w:styleId="PlaceholderText">
    <w:name w:val="Placeholder Text"/>
    <w:basedOn w:val="DefaultParagraphFont"/>
    <w:uiPriority w:val="99"/>
    <w:semiHidden/>
    <w:rsid w:val="007E5725"/>
    <w:rPr>
      <w:color w:val="666666"/>
    </w:rPr>
  </w:style>
  <w:style w:type="paragraph" w:customStyle="1" w:styleId="Authors">
    <w:name w:val="Authors"/>
    <w:basedOn w:val="Normal"/>
    <w:rsid w:val="00260010"/>
    <w:pPr>
      <w:spacing w:before="120" w:after="360"/>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naturalearthdata.co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ih7Ho+EVn92L8F9RNhkh1yMu8Zw==">CgMxLjAyCmlkLjMwajB6bGwyCWlkLmdqZGd4czIJaC4xZm9iOXRlOAByITFyMmJrVHVwNDd5Z2VoRHlnby0yZy1vbVB1Z3dBeFlaZw==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7</Pages>
  <Words>617</Words>
  <Characters>3522</Characters>
  <Application>Microsoft Office Word</Application>
  <DocSecurity>0</DocSecurity>
  <Lines>29</Lines>
  <Paragraphs>8</Paragraphs>
  <ScaleCrop>false</ScaleCrop>
  <Company/>
  <LinksUpToDate>false</LinksUpToDate>
  <CharactersWithSpaces>4131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hyou34@wisc.edu</dc:creator>
  <cp:lastModifiedBy>MIN CHEN</cp:lastModifiedBy>
  <cp:revision>3</cp:revision>
  <dcterms:created xsi:type="dcterms:W3CDTF">2022-11-11T22:05:00Z</dcterms:created>
  <dcterms:modified xsi:type="dcterms:W3CDTF">2025-05-29T15:56:00Z</dcterms:modified>
</cp:coreProperties>
</file>