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58556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b/>
          <w:bCs/>
          <w:sz w:val="21"/>
          <w:szCs w:val="21"/>
        </w:rPr>
      </w:pPr>
      <w:r w:rsidRPr="002A2EBD">
        <w:rPr>
          <w:rFonts w:ascii="Arial" w:hAnsi="Arial" w:cs="Arial"/>
          <w:b/>
          <w:bCs/>
          <w:sz w:val="21"/>
          <w:szCs w:val="21"/>
        </w:rPr>
        <w:t>Supplementary Figure 1.</w:t>
      </w:r>
      <w:r w:rsidRPr="002A2EBD">
        <w:rPr>
          <w:rFonts w:ascii="Arial" w:hAnsi="Arial" w:cs="Arial"/>
          <w:sz w:val="21"/>
          <w:szCs w:val="21"/>
        </w:rPr>
        <w:t xml:space="preserve"> </w:t>
      </w:r>
      <w:r w:rsidRPr="002A2EBD">
        <w:rPr>
          <w:rFonts w:ascii="Arial" w:hAnsi="Arial" w:cs="Arial"/>
          <w:b/>
          <w:bCs/>
          <w:sz w:val="21"/>
          <w:szCs w:val="21"/>
        </w:rPr>
        <w:t xml:space="preserve">Bioinformatic analysis showed that </w:t>
      </w:r>
      <w:r w:rsidRPr="002A2EBD">
        <w:rPr>
          <w:rFonts w:ascii="Arial" w:hAnsi="Arial" w:cs="Arial"/>
          <w:b/>
          <w:bCs/>
          <w:i/>
          <w:iCs/>
          <w:sz w:val="21"/>
          <w:szCs w:val="21"/>
        </w:rPr>
        <w:t>SATB1</w:t>
      </w:r>
      <w:r w:rsidRPr="002A2EBD">
        <w:rPr>
          <w:rFonts w:ascii="Arial" w:hAnsi="Arial" w:cs="Arial"/>
          <w:b/>
          <w:bCs/>
          <w:sz w:val="21"/>
          <w:szCs w:val="21"/>
        </w:rPr>
        <w:t xml:space="preserve"> is downregulated in tumor-infiltrating exhausted T cells.</w:t>
      </w:r>
    </w:p>
    <w:p w14:paraId="5358ED69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sz w:val="21"/>
          <w:szCs w:val="21"/>
        </w:rPr>
      </w:pPr>
      <w:r w:rsidRPr="002A2EBD">
        <w:rPr>
          <w:rFonts w:ascii="Arial" w:hAnsi="Arial" w:cs="Arial"/>
          <w:sz w:val="21"/>
          <w:szCs w:val="21"/>
        </w:rPr>
        <w:t>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>) Heatmap of differentially expressed genes in naive T cells, effector T cells, B78ChOVA melanoma-infiltrating early (D4ex) or late (D14ex) exhausted T cells.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>) Heatmap showing differentially expressed genes in P14 naive T cells, effector T cells and exhausted T cells from LCMV Arm5 lentivirus-infected mice. (</w:t>
      </w:r>
      <w:r w:rsidRPr="002A2EBD">
        <w:rPr>
          <w:rFonts w:ascii="Arial" w:hAnsi="Arial" w:cs="Arial"/>
          <w:b/>
          <w:bCs/>
          <w:sz w:val="21"/>
          <w:szCs w:val="21"/>
        </w:rPr>
        <w:t>C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Heatmap showing differentially expressed genes in PD-1 high (PD-1 hi) and PD-1</w:t>
      </w:r>
      <w:r w:rsidRPr="002A2EBD">
        <w:rPr>
          <w:rFonts w:ascii="Arial" w:eastAsiaTheme="minorEastAsia" w:hAnsi="Arial" w:cs="Arial"/>
          <w:sz w:val="21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intermediate (PD-1 int) tumor-infiltrating T cells from six liver cancer patients. (</w:t>
      </w:r>
      <w:r w:rsidRPr="002A2EBD">
        <w:rPr>
          <w:rFonts w:ascii="Arial" w:hAnsi="Arial" w:cs="Arial"/>
          <w:b/>
          <w:bCs/>
          <w:sz w:val="21"/>
          <w:szCs w:val="21"/>
        </w:rPr>
        <w:t>D</w:t>
      </w:r>
      <w:r w:rsidRPr="002A2EBD">
        <w:rPr>
          <w:rFonts w:ascii="Arial" w:hAnsi="Arial" w:cs="Arial"/>
          <w:sz w:val="21"/>
          <w:szCs w:val="21"/>
        </w:rPr>
        <w:t>) SATB1 expression and distribution in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tumor-infiltrating CD4</w:t>
      </w:r>
      <w:r w:rsidRPr="002A2EBD">
        <w:rPr>
          <w:rFonts w:ascii="Arial" w:hAnsi="Arial" w:cs="Arial"/>
          <w:sz w:val="21"/>
          <w:szCs w:val="21"/>
          <w:vertAlign w:val="superscript"/>
        </w:rPr>
        <w:t xml:space="preserve">+ </w:t>
      </w:r>
      <w:r w:rsidRPr="002A2EBD">
        <w:rPr>
          <w:rFonts w:ascii="Arial" w:hAnsi="Arial" w:cs="Arial"/>
          <w:sz w:val="21"/>
          <w:szCs w:val="21"/>
        </w:rPr>
        <w:t>T cell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subsets from human pan-cancer. (</w:t>
      </w:r>
      <w:r w:rsidRPr="002A2EBD">
        <w:rPr>
          <w:rFonts w:ascii="Arial" w:hAnsi="Arial" w:cs="Arial"/>
          <w:b/>
          <w:bCs/>
          <w:sz w:val="21"/>
          <w:szCs w:val="21"/>
        </w:rPr>
        <w:t>E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SATB1 expression and distribution in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tumor-infiltrating CD8</w:t>
      </w:r>
      <w:r w:rsidRPr="002A2EBD">
        <w:rPr>
          <w:rFonts w:ascii="Arial" w:hAnsi="Arial" w:cs="Arial"/>
          <w:sz w:val="21"/>
          <w:szCs w:val="21"/>
          <w:vertAlign w:val="superscript"/>
        </w:rPr>
        <w:t xml:space="preserve">+ </w:t>
      </w:r>
      <w:r w:rsidRPr="002A2EBD">
        <w:rPr>
          <w:rFonts w:ascii="Arial" w:hAnsi="Arial" w:cs="Arial"/>
          <w:sz w:val="21"/>
          <w:szCs w:val="21"/>
        </w:rPr>
        <w:t>T cell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 xml:space="preserve">subsets from human pan-cancer. </w:t>
      </w:r>
    </w:p>
    <w:p w14:paraId="1598C5B1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b/>
          <w:bCs/>
          <w:sz w:val="21"/>
          <w:szCs w:val="21"/>
        </w:rPr>
      </w:pPr>
      <w:r w:rsidRPr="002A2EBD">
        <w:rPr>
          <w:rFonts w:ascii="Arial" w:hAnsi="Arial" w:cs="Arial"/>
          <w:b/>
          <w:bCs/>
          <w:sz w:val="21"/>
          <w:szCs w:val="21"/>
        </w:rPr>
        <w:t>Supplementary Figure 2. Establishment of CAR-T cells targeting hepatocellular carcinoma antigen GPC3.</w:t>
      </w:r>
    </w:p>
    <w:p w14:paraId="20E4C409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sz w:val="21"/>
          <w:szCs w:val="21"/>
        </w:rPr>
      </w:pPr>
      <w:r w:rsidRPr="002A2EBD">
        <w:rPr>
          <w:rFonts w:ascii="Arial" w:hAnsi="Arial" w:cs="Arial"/>
          <w:sz w:val="21"/>
          <w:szCs w:val="21"/>
        </w:rPr>
        <w:t>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>) GPC3 expression on human HCC cell lines SK-HEP-1, Huh7, HepG2 and Hep3B was detected by flow cytometry.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>) Schematic of the FUW-EF1α-GPC3CAR-P2A-eGFP vector. (</w:t>
      </w:r>
      <w:r w:rsidRPr="002A2EBD">
        <w:rPr>
          <w:rFonts w:ascii="Arial" w:hAnsi="Arial" w:cs="Arial"/>
          <w:b/>
          <w:bCs/>
          <w:sz w:val="21"/>
          <w:szCs w:val="21"/>
        </w:rPr>
        <w:t>C</w:t>
      </w:r>
      <w:r w:rsidRPr="002A2EBD">
        <w:rPr>
          <w:rFonts w:ascii="Arial" w:hAnsi="Arial" w:cs="Arial"/>
          <w:sz w:val="21"/>
          <w:szCs w:val="21"/>
        </w:rPr>
        <w:t>) The transfection efficiency of the GPC3-CAR lentiviral vector. (</w:t>
      </w:r>
      <w:r w:rsidRPr="002A2EBD">
        <w:rPr>
          <w:rFonts w:ascii="Arial" w:hAnsi="Arial" w:cs="Arial"/>
          <w:b/>
          <w:bCs/>
          <w:sz w:val="21"/>
          <w:szCs w:val="21"/>
        </w:rPr>
        <w:t>D</w:t>
      </w:r>
      <w:r w:rsidRPr="002A2EBD">
        <w:rPr>
          <w:rFonts w:ascii="Arial" w:hAnsi="Arial" w:cs="Arial"/>
          <w:sz w:val="21"/>
          <w:szCs w:val="21"/>
        </w:rPr>
        <w:t xml:space="preserve">) GPC3-CAR-T cells secrete high levels of IFN-γ and IL-2 when co-cultured with GPC3-positive HCC tumor cells. Data are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=3; ***,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0.001; Student’s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 (</w:t>
      </w:r>
      <w:r w:rsidRPr="002A2EBD">
        <w:rPr>
          <w:rFonts w:ascii="Arial" w:hAnsi="Arial" w:cs="Arial"/>
          <w:b/>
          <w:bCs/>
          <w:sz w:val="21"/>
          <w:szCs w:val="21"/>
        </w:rPr>
        <w:t>E</w:t>
      </w:r>
      <w:r w:rsidRPr="002A2EBD">
        <w:rPr>
          <w:rFonts w:ascii="Arial" w:hAnsi="Arial" w:cs="Arial"/>
          <w:sz w:val="21"/>
          <w:szCs w:val="21"/>
        </w:rPr>
        <w:t>) Construction of GFP/Luc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HCC tumor cell lines. (</w:t>
      </w:r>
      <w:r w:rsidRPr="002A2EBD">
        <w:rPr>
          <w:rFonts w:ascii="Arial" w:hAnsi="Arial" w:cs="Arial"/>
          <w:b/>
          <w:bCs/>
          <w:sz w:val="21"/>
          <w:szCs w:val="21"/>
        </w:rPr>
        <w:t>F</w:t>
      </w:r>
      <w:r w:rsidRPr="002A2EBD">
        <w:rPr>
          <w:rFonts w:ascii="Arial" w:hAnsi="Arial" w:cs="Arial"/>
          <w:sz w:val="21"/>
          <w:szCs w:val="21"/>
        </w:rPr>
        <w:t>) Cytotoxicity of Ctrl-T and CAR-T cells against GFP/Luc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HCC tumor cell lines. Data are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=3; ***,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0.001; Student’s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 (</w:t>
      </w:r>
      <w:r w:rsidRPr="002A2EBD">
        <w:rPr>
          <w:rFonts w:ascii="Arial" w:hAnsi="Arial" w:cs="Arial"/>
          <w:b/>
          <w:bCs/>
          <w:sz w:val="21"/>
          <w:szCs w:val="21"/>
        </w:rPr>
        <w:t>G</w:t>
      </w:r>
      <w:r w:rsidRPr="002A2EBD">
        <w:rPr>
          <w:rFonts w:ascii="Arial" w:hAnsi="Arial" w:cs="Arial"/>
          <w:sz w:val="21"/>
          <w:szCs w:val="21"/>
        </w:rPr>
        <w:t>) Schematic of GPC3-CAR-T cells treating GFP/Luc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Huh7-derived CDX model. (</w:t>
      </w:r>
      <w:r w:rsidRPr="002A2EBD">
        <w:rPr>
          <w:rFonts w:ascii="Arial" w:hAnsi="Arial" w:cs="Arial"/>
          <w:b/>
          <w:bCs/>
          <w:sz w:val="21"/>
          <w:szCs w:val="21"/>
        </w:rPr>
        <w:t>H</w:t>
      </w:r>
      <w:r w:rsidRPr="002A2EBD">
        <w:rPr>
          <w:rFonts w:ascii="Arial" w:hAnsi="Arial" w:cs="Arial"/>
          <w:sz w:val="21"/>
          <w:szCs w:val="21"/>
        </w:rPr>
        <w:t>) Bioluminescence images of tumor in CDX model after treatment of Ctrl-T or GPC3-CAR-T cells at the indicated time points. (</w:t>
      </w:r>
      <w:r w:rsidRPr="002A2EBD">
        <w:rPr>
          <w:rFonts w:ascii="Arial" w:hAnsi="Arial" w:cs="Arial"/>
          <w:b/>
          <w:bCs/>
          <w:sz w:val="21"/>
          <w:szCs w:val="21"/>
        </w:rPr>
        <w:t>I</w:t>
      </w:r>
      <w:r w:rsidRPr="002A2EBD">
        <w:rPr>
          <w:rFonts w:ascii="Arial" w:hAnsi="Arial" w:cs="Arial"/>
          <w:sz w:val="21"/>
          <w:szCs w:val="21"/>
        </w:rPr>
        <w:t>) The bioluminescence signal from (</w:t>
      </w:r>
      <w:r w:rsidRPr="002A2EBD">
        <w:rPr>
          <w:rFonts w:ascii="Arial" w:hAnsi="Arial" w:cs="Arial"/>
          <w:b/>
          <w:bCs/>
          <w:sz w:val="21"/>
          <w:szCs w:val="21"/>
        </w:rPr>
        <w:t>H</w:t>
      </w:r>
      <w:r w:rsidRPr="002A2EBD">
        <w:rPr>
          <w:rFonts w:ascii="Arial" w:hAnsi="Arial" w:cs="Arial"/>
          <w:sz w:val="21"/>
          <w:szCs w:val="21"/>
        </w:rPr>
        <w:t xml:space="preserve">) </w:t>
      </w:r>
      <w:r w:rsidRPr="002A2EBD">
        <w:rPr>
          <w:rFonts w:ascii="Arial" w:hAnsi="Arial" w:cs="Arial"/>
          <w:sz w:val="21"/>
          <w:szCs w:val="21"/>
        </w:rPr>
        <w:lastRenderedPageBreak/>
        <w:t>was recorded at the indicated time points. (</w:t>
      </w:r>
      <w:r w:rsidRPr="002A2EBD">
        <w:rPr>
          <w:rFonts w:ascii="Arial" w:hAnsi="Arial" w:cs="Arial"/>
          <w:b/>
          <w:bCs/>
          <w:sz w:val="21"/>
          <w:szCs w:val="21"/>
        </w:rPr>
        <w:t>J</w:t>
      </w:r>
      <w:r w:rsidRPr="002A2EBD">
        <w:rPr>
          <w:rFonts w:ascii="Arial" w:hAnsi="Arial" w:cs="Arial"/>
          <w:sz w:val="21"/>
          <w:szCs w:val="21"/>
        </w:rPr>
        <w:t>) The survival curves for GFP/Luc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Huh7-derived CDX mice receiving Ctrl-T or GPC3-CAR-T cells. Ctrl-T: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=6; CAR-T: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=6; 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0.05; log-rank test.</w:t>
      </w:r>
    </w:p>
    <w:p w14:paraId="0341519C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b/>
          <w:bCs/>
          <w:sz w:val="21"/>
          <w:szCs w:val="21"/>
        </w:rPr>
      </w:pPr>
      <w:r w:rsidRPr="002A2EBD">
        <w:rPr>
          <w:rFonts w:ascii="Arial" w:hAnsi="Arial" w:cs="Arial"/>
          <w:b/>
          <w:bCs/>
          <w:sz w:val="21"/>
          <w:szCs w:val="21"/>
        </w:rPr>
        <w:t>Supplementary Figure 3. SATB1 overexpression did not affect the distribution of T cell subsets.</w:t>
      </w:r>
    </w:p>
    <w:p w14:paraId="7BE473F5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sz w:val="21"/>
          <w:szCs w:val="21"/>
        </w:rPr>
      </w:pPr>
      <w:r w:rsidRPr="002A2EBD">
        <w:rPr>
          <w:rFonts w:ascii="Arial" w:hAnsi="Arial" w:cs="Arial"/>
          <w:sz w:val="21"/>
          <w:szCs w:val="21"/>
        </w:rPr>
        <w:t>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>) SATB1 overexpression does not affect the subpopulations of CD4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and CD8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CAR-T cells.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>) Flow cytometry was used to detect FOXP3 expression on CD4</w:t>
      </w:r>
      <w:r w:rsidRPr="002A2EBD">
        <w:rPr>
          <w:rFonts w:ascii="Arial" w:hAnsi="Arial" w:cs="Arial"/>
          <w:sz w:val="21"/>
          <w:szCs w:val="21"/>
          <w:vertAlign w:val="superscript"/>
        </w:rPr>
        <w:t xml:space="preserve">+ </w:t>
      </w:r>
      <w:r w:rsidRPr="002A2EBD">
        <w:rPr>
          <w:rFonts w:ascii="Arial" w:hAnsi="Arial" w:cs="Arial"/>
          <w:sz w:val="21"/>
          <w:szCs w:val="21"/>
        </w:rPr>
        <w:t>CAR-T and SATB1-CAR-T cells. (</w:t>
      </w:r>
      <w:r w:rsidRPr="002A2EBD">
        <w:rPr>
          <w:rFonts w:ascii="Arial" w:hAnsi="Arial" w:cs="Arial"/>
          <w:b/>
          <w:bCs/>
          <w:sz w:val="21"/>
          <w:szCs w:val="21"/>
        </w:rPr>
        <w:t>C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Statistics of Foxp3</w:t>
      </w:r>
      <w:r w:rsidRPr="002A2EBD">
        <w:rPr>
          <w:rFonts w:ascii="Arial" w:hAnsi="Arial" w:cs="Arial"/>
          <w:sz w:val="21"/>
          <w:szCs w:val="21"/>
          <w:vertAlign w:val="superscript"/>
        </w:rPr>
        <w:t xml:space="preserve">+ </w:t>
      </w:r>
      <w:r w:rsidRPr="002A2EBD">
        <w:rPr>
          <w:rFonts w:ascii="Arial" w:hAnsi="Arial" w:cs="Arial"/>
          <w:sz w:val="21"/>
          <w:szCs w:val="21"/>
        </w:rPr>
        <w:t>CD4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T cell percentage in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 xml:space="preserve">). Data was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=3; ns, no significant difference; Student’s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 xml:space="preserve">-test. </w:t>
      </w:r>
    </w:p>
    <w:p w14:paraId="0641773E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b/>
          <w:bCs/>
          <w:sz w:val="21"/>
          <w:szCs w:val="21"/>
        </w:rPr>
      </w:pPr>
      <w:r w:rsidRPr="002A2EBD">
        <w:rPr>
          <w:rFonts w:ascii="Arial" w:hAnsi="Arial" w:cs="Arial"/>
          <w:b/>
          <w:bCs/>
          <w:sz w:val="21"/>
          <w:szCs w:val="21"/>
        </w:rPr>
        <w:t>Supplementary Figure 4. SATB1 mitigated the immunosuppression induced by TGF-β treatment.</w:t>
      </w:r>
    </w:p>
    <w:p w14:paraId="18884C09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sz w:val="21"/>
          <w:szCs w:val="21"/>
        </w:rPr>
      </w:pPr>
      <w:r w:rsidRPr="002A2EBD">
        <w:rPr>
          <w:rFonts w:ascii="Arial" w:hAnsi="Arial" w:cs="Arial"/>
          <w:sz w:val="21"/>
          <w:szCs w:val="21"/>
        </w:rPr>
        <w:t>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>) Background PD-1 expression on Ctrl-T and SATB1-T cells was detected by flow cytometry.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>) Statistics of PD-1 MFI in 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 xml:space="preserve">). Data are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=5; 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0.05; paired two-tailed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 (</w:t>
      </w:r>
      <w:r w:rsidRPr="002A2EBD">
        <w:rPr>
          <w:rFonts w:ascii="Arial" w:hAnsi="Arial" w:cs="Arial"/>
          <w:b/>
          <w:bCs/>
          <w:sz w:val="21"/>
          <w:szCs w:val="21"/>
        </w:rPr>
        <w:t>C</w:t>
      </w:r>
      <w:r w:rsidRPr="002A2EBD">
        <w:rPr>
          <w:rFonts w:ascii="Arial" w:hAnsi="Arial" w:cs="Arial"/>
          <w:sz w:val="21"/>
          <w:szCs w:val="21"/>
        </w:rPr>
        <w:t xml:space="preserve">) Background CTLA-4, TIM3 and LAG-3 expression on Ctrl-T and SATB1-T cells was detected by flow cytometry. Data are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=5; ns, no significant difference; paired two-tailed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 (</w:t>
      </w:r>
      <w:r w:rsidRPr="002A2EBD">
        <w:rPr>
          <w:rFonts w:ascii="Arial" w:hAnsi="Arial" w:cs="Arial"/>
          <w:b/>
          <w:bCs/>
          <w:sz w:val="21"/>
          <w:szCs w:val="21"/>
        </w:rPr>
        <w:t>D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SATB1 expression in Ctrl-T and SATB1-T cells after treatment with or without TGF-β1 (5 ng/mL) for 48 h.</w:t>
      </w:r>
      <w:r w:rsidRPr="002A2EBD">
        <w:rPr>
          <w:rFonts w:ascii="Arial" w:hAnsi="Arial" w:cs="Arial"/>
          <w:sz w:val="21"/>
          <w:szCs w:val="21"/>
        </w:rPr>
        <w:t xml:space="preserve"> (</w:t>
      </w:r>
      <w:r w:rsidRPr="002A2EBD">
        <w:rPr>
          <w:rFonts w:ascii="Arial" w:hAnsi="Arial" w:cs="Arial"/>
          <w:b/>
          <w:bCs/>
          <w:sz w:val="21"/>
          <w:szCs w:val="21"/>
        </w:rPr>
        <w:t>E</w:t>
      </w:r>
      <w:r w:rsidRPr="002A2EBD">
        <w:rPr>
          <w:rFonts w:ascii="Arial" w:hAnsi="Arial" w:cs="Arial"/>
          <w:sz w:val="21"/>
          <w:szCs w:val="21"/>
        </w:rPr>
        <w:t xml:space="preserve">) Quantifications of relative SATB1 MFI were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=4; ***,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0.001; **,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0.01, 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0.05; Student’s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 (</w:t>
      </w:r>
      <w:r w:rsidRPr="002A2EBD">
        <w:rPr>
          <w:rFonts w:ascii="Arial" w:hAnsi="Arial" w:cs="Arial"/>
          <w:b/>
          <w:bCs/>
          <w:sz w:val="21"/>
          <w:szCs w:val="21"/>
        </w:rPr>
        <w:t>F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PD-1 expression in Ctrl-T and SATB1-T cells after treatment with or without TGF-β1 (5 ng/mL) for 48 h.</w:t>
      </w:r>
      <w:r w:rsidRPr="002A2EBD">
        <w:rPr>
          <w:rFonts w:ascii="Arial" w:hAnsi="Arial" w:cs="Arial"/>
          <w:sz w:val="21"/>
          <w:szCs w:val="21"/>
        </w:rPr>
        <w:t xml:space="preserve"> (</w:t>
      </w:r>
      <w:r w:rsidRPr="002A2EBD">
        <w:rPr>
          <w:rFonts w:ascii="Arial" w:hAnsi="Arial" w:cs="Arial"/>
          <w:b/>
          <w:bCs/>
          <w:sz w:val="21"/>
          <w:szCs w:val="21"/>
        </w:rPr>
        <w:t>G</w:t>
      </w:r>
      <w:r w:rsidRPr="002A2EBD">
        <w:rPr>
          <w:rFonts w:ascii="Arial" w:hAnsi="Arial" w:cs="Arial"/>
          <w:sz w:val="21"/>
          <w:szCs w:val="21"/>
        </w:rPr>
        <w:t xml:space="preserve">) Quantifications of PD-1 MFI were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=3; ****,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0.0001; ***,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0.001; **,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0.01; 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0.05; Student’s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</w:t>
      </w:r>
    </w:p>
    <w:p w14:paraId="3FD9A5D3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b/>
          <w:bCs/>
          <w:i/>
          <w:iCs/>
          <w:sz w:val="21"/>
          <w:szCs w:val="21"/>
        </w:rPr>
      </w:pPr>
      <w:r w:rsidRPr="002A2EBD">
        <w:rPr>
          <w:rFonts w:ascii="Arial" w:hAnsi="Arial" w:cs="Arial"/>
          <w:b/>
          <w:bCs/>
          <w:sz w:val="21"/>
          <w:szCs w:val="21"/>
        </w:rPr>
        <w:t>Supplementary Figure 5. SATB1 ameliorates CAR-T cell exhaustion</w:t>
      </w:r>
      <w:r w:rsidRPr="002A2EBD">
        <w:rPr>
          <w:rFonts w:ascii="Arial" w:hAnsi="Arial" w:cs="Arial"/>
          <w:b/>
          <w:bCs/>
          <w:i/>
          <w:iCs/>
          <w:sz w:val="21"/>
          <w:szCs w:val="21"/>
        </w:rPr>
        <w:t xml:space="preserve"> in vitro.</w:t>
      </w:r>
    </w:p>
    <w:p w14:paraId="1BBB5E1B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sz w:val="21"/>
          <w:szCs w:val="21"/>
        </w:rPr>
      </w:pPr>
      <w:r w:rsidRPr="002A2EBD">
        <w:rPr>
          <w:rFonts w:ascii="Arial" w:hAnsi="Arial" w:cs="Arial"/>
          <w:sz w:val="21"/>
          <w:szCs w:val="21"/>
        </w:rPr>
        <w:lastRenderedPageBreak/>
        <w:t>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 xml:space="preserve">) Schematic showing the CAR-T cell exhaustion model </w:t>
      </w:r>
      <w:r w:rsidRPr="002A2EBD">
        <w:rPr>
          <w:rFonts w:ascii="Arial" w:hAnsi="Arial" w:cs="Arial"/>
          <w:i/>
          <w:iCs/>
          <w:sz w:val="21"/>
          <w:szCs w:val="21"/>
        </w:rPr>
        <w:t>in vitro</w:t>
      </w:r>
      <w:r w:rsidRPr="002A2EBD">
        <w:rPr>
          <w:rFonts w:ascii="Arial" w:hAnsi="Arial" w:cs="Arial"/>
          <w:sz w:val="21"/>
          <w:szCs w:val="21"/>
        </w:rPr>
        <w:t xml:space="preserve"> by co-incubation with Huh7 tumor cells.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>) PD-1 expression on CAR-T cells after co-incubation was detected by flow cytometry. (</w:t>
      </w:r>
      <w:r w:rsidRPr="002A2EBD">
        <w:rPr>
          <w:rFonts w:ascii="Arial" w:hAnsi="Arial" w:cs="Arial"/>
          <w:b/>
          <w:bCs/>
          <w:sz w:val="21"/>
          <w:szCs w:val="21"/>
        </w:rPr>
        <w:t>C</w:t>
      </w:r>
      <w:r w:rsidRPr="002A2EBD">
        <w:rPr>
          <w:rFonts w:ascii="Arial" w:hAnsi="Arial" w:cs="Arial"/>
          <w:sz w:val="21"/>
          <w:szCs w:val="21"/>
        </w:rPr>
        <w:t>) CTLA-4 expression on CAR-T cells after co-incubation was detected. (</w:t>
      </w:r>
      <w:r w:rsidRPr="002A2EBD">
        <w:rPr>
          <w:rFonts w:ascii="Arial" w:hAnsi="Arial" w:cs="Arial"/>
          <w:b/>
          <w:bCs/>
          <w:sz w:val="21"/>
          <w:szCs w:val="21"/>
        </w:rPr>
        <w:t>D</w:t>
      </w:r>
      <w:r w:rsidRPr="002A2EBD">
        <w:rPr>
          <w:rFonts w:ascii="Arial" w:hAnsi="Arial" w:cs="Arial"/>
          <w:sz w:val="21"/>
          <w:szCs w:val="21"/>
        </w:rPr>
        <w:t>) TIM3 expression on CAR-T cells after co-incubation was detected. (</w:t>
      </w:r>
      <w:r w:rsidRPr="002A2EBD">
        <w:rPr>
          <w:rFonts w:ascii="Arial" w:hAnsi="Arial" w:cs="Arial"/>
          <w:b/>
          <w:bCs/>
          <w:sz w:val="21"/>
          <w:szCs w:val="21"/>
        </w:rPr>
        <w:t>E</w:t>
      </w:r>
      <w:r w:rsidRPr="002A2EBD">
        <w:rPr>
          <w:rFonts w:ascii="Arial" w:hAnsi="Arial" w:cs="Arial"/>
          <w:sz w:val="21"/>
          <w:szCs w:val="21"/>
        </w:rPr>
        <w:t>) LAG-3 expression on CAR-T cells after co-incubation was detected. (</w:t>
      </w:r>
      <w:r w:rsidRPr="002A2EBD">
        <w:rPr>
          <w:rFonts w:ascii="Arial" w:hAnsi="Arial" w:cs="Arial"/>
          <w:b/>
          <w:bCs/>
          <w:sz w:val="21"/>
          <w:szCs w:val="21"/>
        </w:rPr>
        <w:t>F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PD-1 expression on CAR-T and SATB1-CAR-T cells after co-incubation was detected. (</w:t>
      </w:r>
      <w:r w:rsidRPr="002A2EBD">
        <w:rPr>
          <w:rFonts w:ascii="Arial" w:hAnsi="Arial" w:cs="Arial"/>
          <w:b/>
          <w:bCs/>
          <w:sz w:val="21"/>
          <w:szCs w:val="21"/>
        </w:rPr>
        <w:t>G</w:t>
      </w:r>
      <w:r w:rsidRPr="002A2EBD">
        <w:rPr>
          <w:rFonts w:ascii="Arial" w:hAnsi="Arial" w:cs="Arial"/>
          <w:sz w:val="21"/>
          <w:szCs w:val="21"/>
        </w:rPr>
        <w:t>) CTLA-4 expression on CAR-T and SATB1-CAR-T cells after co-incubation was detected. (</w:t>
      </w:r>
      <w:r w:rsidRPr="002A2EBD">
        <w:rPr>
          <w:rFonts w:ascii="Arial" w:hAnsi="Arial" w:cs="Arial"/>
          <w:b/>
          <w:bCs/>
          <w:sz w:val="21"/>
          <w:szCs w:val="21"/>
        </w:rPr>
        <w:t>H</w:t>
      </w:r>
      <w:r w:rsidRPr="002A2EBD">
        <w:rPr>
          <w:rFonts w:ascii="Arial" w:hAnsi="Arial" w:cs="Arial"/>
          <w:sz w:val="21"/>
          <w:szCs w:val="21"/>
        </w:rPr>
        <w:t>) TIM3 expression on CAR-T and SATB1-CAR-T cells after co-incubation was detected. (</w:t>
      </w:r>
      <w:r w:rsidRPr="002A2EBD">
        <w:rPr>
          <w:rFonts w:ascii="Arial" w:hAnsi="Arial" w:cs="Arial"/>
          <w:b/>
          <w:bCs/>
          <w:sz w:val="21"/>
          <w:szCs w:val="21"/>
        </w:rPr>
        <w:t>I</w:t>
      </w:r>
      <w:r w:rsidRPr="002A2EBD">
        <w:rPr>
          <w:rFonts w:ascii="Arial" w:hAnsi="Arial" w:cs="Arial"/>
          <w:sz w:val="21"/>
          <w:szCs w:val="21"/>
        </w:rPr>
        <w:t xml:space="preserve">) LAG-3 expression on CAR-T and SATB1-CAR-T cells after co-incubation was detected. Data was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=5; **,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0.01; 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0.05; paired two-tailed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>-test.</w:t>
      </w:r>
    </w:p>
    <w:p w14:paraId="7E15EC19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b/>
          <w:bCs/>
          <w:sz w:val="21"/>
          <w:szCs w:val="21"/>
        </w:rPr>
      </w:pPr>
      <w:r w:rsidRPr="002A2EBD">
        <w:rPr>
          <w:rFonts w:ascii="Arial" w:hAnsi="Arial" w:cs="Arial"/>
          <w:b/>
          <w:bCs/>
          <w:sz w:val="21"/>
          <w:szCs w:val="21"/>
        </w:rPr>
        <w:t xml:space="preserve">Supplementary Figure 6. Overexpression of SATB1 ameliorated CAR-T cell exhaustion </w:t>
      </w:r>
      <w:r w:rsidRPr="002A2EBD">
        <w:rPr>
          <w:rFonts w:ascii="Arial" w:hAnsi="Arial" w:cs="Arial"/>
          <w:b/>
          <w:bCs/>
          <w:i/>
          <w:iCs/>
          <w:sz w:val="21"/>
          <w:szCs w:val="21"/>
        </w:rPr>
        <w:t>in vivo</w:t>
      </w:r>
      <w:r w:rsidRPr="002A2EBD">
        <w:rPr>
          <w:rFonts w:ascii="Arial" w:hAnsi="Arial" w:cs="Arial"/>
          <w:b/>
          <w:bCs/>
          <w:sz w:val="21"/>
          <w:szCs w:val="21"/>
        </w:rPr>
        <w:t>.</w:t>
      </w:r>
    </w:p>
    <w:p w14:paraId="2A0F876D" w14:textId="77777777" w:rsidR="00F91796" w:rsidRPr="002A2EBD" w:rsidRDefault="00F91796" w:rsidP="00F91796">
      <w:pPr>
        <w:pStyle w:val="EndNoteBibliography"/>
        <w:spacing w:line="480" w:lineRule="auto"/>
        <w:rPr>
          <w:rFonts w:ascii="Arial" w:hAnsi="Arial" w:cs="Arial"/>
          <w:sz w:val="21"/>
          <w:szCs w:val="21"/>
        </w:rPr>
      </w:pPr>
      <w:r w:rsidRPr="002A2EBD">
        <w:rPr>
          <w:rFonts w:ascii="Arial" w:hAnsi="Arial" w:cs="Arial"/>
          <w:sz w:val="21"/>
          <w:szCs w:val="21"/>
        </w:rPr>
        <w:t>(</w:t>
      </w:r>
      <w:r w:rsidRPr="002A2EBD">
        <w:rPr>
          <w:rFonts w:ascii="Arial" w:hAnsi="Arial" w:cs="Arial"/>
          <w:b/>
          <w:bCs/>
          <w:sz w:val="21"/>
          <w:szCs w:val="21"/>
        </w:rPr>
        <w:t>A</w:t>
      </w:r>
      <w:r w:rsidRPr="002A2EBD">
        <w:rPr>
          <w:rFonts w:ascii="Arial" w:hAnsi="Arial" w:cs="Arial"/>
          <w:sz w:val="21"/>
          <w:szCs w:val="21"/>
        </w:rPr>
        <w:t>) PD-1 expression on CD4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and CD8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CAR-T and SATB1-CAR-T cells isolated from tumors was detected. (</w:t>
      </w:r>
      <w:r w:rsidRPr="002A2EBD">
        <w:rPr>
          <w:rFonts w:ascii="Arial" w:hAnsi="Arial" w:cs="Arial"/>
          <w:b/>
          <w:bCs/>
          <w:sz w:val="21"/>
          <w:szCs w:val="21"/>
        </w:rPr>
        <w:t>B</w:t>
      </w:r>
      <w:r w:rsidRPr="002A2EBD">
        <w:rPr>
          <w:rFonts w:ascii="Arial" w:hAnsi="Arial" w:cs="Arial"/>
          <w:sz w:val="21"/>
          <w:szCs w:val="21"/>
        </w:rPr>
        <w:t>) CTLA-4 expression on CD4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and CD8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CAR-T and SATB1-CAR-T cells isolated from tumors was detected. (</w:t>
      </w:r>
      <w:r w:rsidRPr="002A2EBD">
        <w:rPr>
          <w:rFonts w:ascii="Arial" w:hAnsi="Arial" w:cs="Arial"/>
          <w:b/>
          <w:bCs/>
          <w:sz w:val="21"/>
          <w:szCs w:val="21"/>
        </w:rPr>
        <w:t>C</w:t>
      </w:r>
      <w:r w:rsidRPr="002A2EBD">
        <w:rPr>
          <w:rFonts w:ascii="Arial" w:hAnsi="Arial" w:cs="Arial"/>
          <w:sz w:val="21"/>
          <w:szCs w:val="21"/>
        </w:rPr>
        <w:t>)</w:t>
      </w:r>
      <w:r w:rsidRPr="002A2EBD">
        <w:rPr>
          <w:rFonts w:ascii="Arial" w:hAnsi="Arial" w:cs="Arial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>TIM3 expression on CD4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and CD8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CAR-T and SATB1-CAR-T cells isolated from tumors was detected. (</w:t>
      </w:r>
      <w:r w:rsidRPr="002A2EBD">
        <w:rPr>
          <w:rFonts w:ascii="Arial" w:hAnsi="Arial" w:cs="Arial"/>
          <w:b/>
          <w:bCs/>
          <w:sz w:val="21"/>
          <w:szCs w:val="21"/>
        </w:rPr>
        <w:t>D</w:t>
      </w:r>
      <w:r w:rsidRPr="002A2EBD">
        <w:rPr>
          <w:rFonts w:ascii="Arial" w:hAnsi="Arial" w:cs="Arial"/>
          <w:sz w:val="21"/>
          <w:szCs w:val="21"/>
        </w:rPr>
        <w:t>) LAG-3 expression on CD4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and CD8</w:t>
      </w:r>
      <w:r w:rsidRPr="002A2EBD">
        <w:rPr>
          <w:rFonts w:ascii="Arial" w:hAnsi="Arial" w:cs="Arial"/>
          <w:sz w:val="21"/>
          <w:szCs w:val="21"/>
          <w:vertAlign w:val="superscript"/>
        </w:rPr>
        <w:t>+</w:t>
      </w:r>
      <w:r w:rsidRPr="002A2EBD">
        <w:rPr>
          <w:rFonts w:ascii="Arial" w:hAnsi="Arial" w:cs="Arial"/>
          <w:sz w:val="21"/>
          <w:szCs w:val="21"/>
        </w:rPr>
        <w:t xml:space="preserve"> CAR-T and SATB1-CAR-T cells isolated from tumors was detected.</w:t>
      </w:r>
      <w:r w:rsidRPr="002A2EBD">
        <w:rPr>
          <w:rFonts w:ascii="Arial" w:hAnsi="Arial" w:cs="Arial"/>
          <w:szCs w:val="21"/>
        </w:rPr>
        <w:t xml:space="preserve"> </w:t>
      </w:r>
      <w:r w:rsidRPr="002A2EBD">
        <w:rPr>
          <w:rFonts w:ascii="Arial" w:hAnsi="Arial" w:cs="Arial"/>
          <w:sz w:val="21"/>
          <w:szCs w:val="21"/>
        </w:rPr>
        <w:t xml:space="preserve">Data was shown as mean ± SD, </w:t>
      </w:r>
      <w:r w:rsidRPr="002A2EBD">
        <w:rPr>
          <w:rFonts w:ascii="Arial" w:hAnsi="Arial" w:cs="Arial"/>
          <w:i/>
          <w:iCs/>
          <w:sz w:val="21"/>
          <w:szCs w:val="21"/>
        </w:rPr>
        <w:t>n</w:t>
      </w:r>
      <w:r w:rsidRPr="002A2EBD">
        <w:rPr>
          <w:rFonts w:ascii="Arial" w:hAnsi="Arial" w:cs="Arial"/>
          <w:sz w:val="21"/>
          <w:szCs w:val="21"/>
        </w:rPr>
        <w:t xml:space="preserve">=4; ***, </w:t>
      </w:r>
      <w:r w:rsidRPr="002A2EBD">
        <w:rPr>
          <w:rFonts w:ascii="Arial" w:hAnsi="Arial" w:cs="Arial"/>
          <w:i/>
          <w:iCs/>
          <w:sz w:val="21"/>
          <w:szCs w:val="21"/>
        </w:rPr>
        <w:t>P</w:t>
      </w:r>
      <w:r w:rsidRPr="002A2EBD">
        <w:rPr>
          <w:rFonts w:ascii="Arial" w:hAnsi="Arial" w:cs="Arial"/>
          <w:sz w:val="21"/>
          <w:szCs w:val="21"/>
        </w:rPr>
        <w:t xml:space="preserve"> &lt; 0.001; **,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0.01; *, </w:t>
      </w:r>
      <w:r w:rsidRPr="002A2EBD">
        <w:rPr>
          <w:rFonts w:ascii="Arial" w:hAnsi="Arial" w:cs="Arial"/>
          <w:i/>
          <w:iCs/>
          <w:sz w:val="21"/>
          <w:szCs w:val="21"/>
        </w:rPr>
        <w:t xml:space="preserve">P </w:t>
      </w:r>
      <w:r w:rsidRPr="002A2EBD">
        <w:rPr>
          <w:rFonts w:ascii="Arial" w:hAnsi="Arial" w:cs="Arial"/>
          <w:sz w:val="21"/>
          <w:szCs w:val="21"/>
        </w:rPr>
        <w:t xml:space="preserve">&lt; 0.05; Student’s </w:t>
      </w:r>
      <w:r w:rsidRPr="002A2EBD">
        <w:rPr>
          <w:rFonts w:ascii="Arial" w:hAnsi="Arial" w:cs="Arial"/>
          <w:i/>
          <w:iCs/>
          <w:sz w:val="21"/>
          <w:szCs w:val="21"/>
        </w:rPr>
        <w:t>t</w:t>
      </w:r>
      <w:r w:rsidRPr="002A2EBD">
        <w:rPr>
          <w:rFonts w:ascii="Arial" w:hAnsi="Arial" w:cs="Arial"/>
          <w:sz w:val="21"/>
          <w:szCs w:val="21"/>
        </w:rPr>
        <w:t xml:space="preserve">-test. </w:t>
      </w:r>
    </w:p>
    <w:p w14:paraId="30CB1C51" w14:textId="77777777" w:rsidR="00F91796" w:rsidRPr="002A2EBD" w:rsidRDefault="00F91796" w:rsidP="00F91796">
      <w:pPr>
        <w:spacing w:line="480" w:lineRule="auto"/>
        <w:ind w:firstLineChars="200" w:firstLine="422"/>
        <w:rPr>
          <w:rFonts w:ascii="Arial" w:hAnsi="Arial" w:cs="Arial"/>
          <w:b/>
          <w:bCs/>
        </w:rPr>
      </w:pPr>
    </w:p>
    <w:p w14:paraId="4F8906B3" w14:textId="77777777" w:rsidR="00865217" w:rsidRDefault="00865217"/>
    <w:sectPr w:rsidR="00865217" w:rsidSect="00F9179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96"/>
    <w:rsid w:val="002E281E"/>
    <w:rsid w:val="003201BB"/>
    <w:rsid w:val="00865217"/>
    <w:rsid w:val="00E34449"/>
    <w:rsid w:val="00F9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CFD39"/>
  <w15:chartTrackingRefBased/>
  <w15:docId w15:val="{0792F4D8-1263-4591-9ABB-29C9EFAB6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79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179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179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179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179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179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79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79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79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79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17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17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17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17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17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179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1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179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1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179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1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179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17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179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17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1796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qFormat/>
    <w:rsid w:val="00F91796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F91796"/>
    <w:rPr>
      <w:rFonts w:ascii="DengXian" w:eastAsia="DengXian" w:hAnsi="DengXian"/>
      <w:sz w:val="20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917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723</Words>
  <Characters>4126</Characters>
  <Application>Microsoft Office Word</Application>
  <DocSecurity>0</DocSecurity>
  <Lines>34</Lines>
  <Paragraphs>9</Paragraphs>
  <ScaleCrop>false</ScaleCrop>
  <Company>Springer Nature</Company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2025-06-18T11:47:00Z</dcterms:created>
  <dcterms:modified xsi:type="dcterms:W3CDTF">2025-06-18T11:47:00Z</dcterms:modified>
</cp:coreProperties>
</file>