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CBD" w:rsidRDefault="00D32CBD" w:rsidP="00D32CBD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proofErr w:type="gramStart"/>
      <w:r w:rsidRPr="001F6ED8">
        <w:rPr>
          <w:rFonts w:ascii="Times New Roman" w:hAnsi="Times New Roman"/>
          <w:b/>
          <w:sz w:val="24"/>
          <w:szCs w:val="24"/>
        </w:rPr>
        <w:t xml:space="preserve">Supplementary </w:t>
      </w:r>
      <w:r w:rsidRPr="001F6ED8">
        <w:rPr>
          <w:rFonts w:ascii="Times New Roman" w:hAnsi="Times New Roman" w:hint="eastAsia"/>
          <w:b/>
          <w:sz w:val="24"/>
          <w:szCs w:val="24"/>
        </w:rPr>
        <w:t xml:space="preserve">Table </w:t>
      </w:r>
      <w:r w:rsidRPr="001F6ED8">
        <w:rPr>
          <w:rFonts w:ascii="Times New Roman" w:hAnsi="Times New Roman"/>
          <w:b/>
          <w:sz w:val="24"/>
          <w:szCs w:val="24"/>
        </w:rPr>
        <w:t>1a</w:t>
      </w:r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NOS criteria for cohort study</w:t>
      </w:r>
    </w:p>
    <w:tbl>
      <w:tblPr>
        <w:tblW w:w="13958" w:type="dxa"/>
        <w:shd w:val="clear" w:color="000000" w:fill="auto"/>
        <w:tblLayout w:type="fixed"/>
        <w:tblLook w:val="04A0" w:firstRow="1" w:lastRow="0" w:firstColumn="1" w:lastColumn="0" w:noHBand="0" w:noVBand="1"/>
      </w:tblPr>
      <w:tblGrid>
        <w:gridCol w:w="1973"/>
        <w:gridCol w:w="1826"/>
        <w:gridCol w:w="1220"/>
        <w:gridCol w:w="1441"/>
        <w:gridCol w:w="1604"/>
        <w:gridCol w:w="1430"/>
        <w:gridCol w:w="1208"/>
        <w:gridCol w:w="1358"/>
        <w:gridCol w:w="1068"/>
        <w:gridCol w:w="830"/>
      </w:tblGrid>
      <w:tr w:rsidR="00D32CBD" w:rsidTr="001126C5">
        <w:trPr>
          <w:trHeight w:val="1500"/>
        </w:trPr>
        <w:tc>
          <w:tcPr>
            <w:tcW w:w="1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Study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Representativeness of the exposed cohort 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Selection of the non-exposed cohort 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Ascertainment of exposure 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Demonstration that outcome of interest was not present at start of study 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Comparability of cohorts on the basis of the design or analysis 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Assessment of outcome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Was follow-up long enough for outcomes to occur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Adequacy of follow up of cohorts 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Total quality scores</w:t>
            </w:r>
          </w:p>
        </w:tc>
      </w:tr>
      <w:tr w:rsidR="00D32CBD" w:rsidTr="001126C5">
        <w:trPr>
          <w:trHeight w:val="330"/>
        </w:trPr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Cookson, 2009</w:t>
            </w:r>
          </w:p>
        </w:tc>
        <w:tc>
          <w:tcPr>
            <w:tcW w:w="1826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604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☆☆</w:t>
            </w:r>
          </w:p>
        </w:tc>
        <w:tc>
          <w:tcPr>
            <w:tcW w:w="120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06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</w:p>
        </w:tc>
      </w:tr>
      <w:tr w:rsidR="00D32CBD" w:rsidTr="001126C5">
        <w:trPr>
          <w:trHeight w:val="330"/>
        </w:trPr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Magnus, 2017</w:t>
            </w:r>
          </w:p>
        </w:tc>
        <w:tc>
          <w:tcPr>
            <w:tcW w:w="1826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604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☆☆</w:t>
            </w:r>
          </w:p>
        </w:tc>
        <w:tc>
          <w:tcPr>
            <w:tcW w:w="120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06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</w:p>
        </w:tc>
      </w:tr>
      <w:tr w:rsidR="00D32CBD" w:rsidTr="001126C5">
        <w:trPr>
          <w:trHeight w:val="330"/>
        </w:trPr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Letourneau, 2017</w:t>
            </w:r>
          </w:p>
        </w:tc>
        <w:tc>
          <w:tcPr>
            <w:tcW w:w="1826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604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☆☆</w:t>
            </w:r>
          </w:p>
        </w:tc>
        <w:tc>
          <w:tcPr>
            <w:tcW w:w="120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06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</w:tr>
      <w:tr w:rsidR="00D32CBD" w:rsidTr="001126C5">
        <w:trPr>
          <w:trHeight w:val="330"/>
        </w:trPr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Elbert, 2017</w:t>
            </w:r>
          </w:p>
        </w:tc>
        <w:tc>
          <w:tcPr>
            <w:tcW w:w="1826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604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☆☆</w:t>
            </w:r>
          </w:p>
        </w:tc>
        <w:tc>
          <w:tcPr>
            <w:tcW w:w="120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06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</w:p>
        </w:tc>
      </w:tr>
      <w:tr w:rsidR="00D32CBD" w:rsidTr="001126C5">
        <w:trPr>
          <w:trHeight w:val="330"/>
        </w:trPr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Brew, 2018</w:t>
            </w:r>
          </w:p>
        </w:tc>
        <w:tc>
          <w:tcPr>
            <w:tcW w:w="1826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604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☆☆</w:t>
            </w:r>
          </w:p>
        </w:tc>
        <w:tc>
          <w:tcPr>
            <w:tcW w:w="120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06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</w:p>
        </w:tc>
      </w:tr>
      <w:tr w:rsidR="00D32CBD" w:rsidTr="001126C5">
        <w:trPr>
          <w:trHeight w:val="330"/>
        </w:trPr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Liu, 2019</w:t>
            </w:r>
          </w:p>
        </w:tc>
        <w:tc>
          <w:tcPr>
            <w:tcW w:w="1826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604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☆☆</w:t>
            </w:r>
          </w:p>
        </w:tc>
        <w:tc>
          <w:tcPr>
            <w:tcW w:w="120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-</w:t>
            </w:r>
          </w:p>
        </w:tc>
        <w:tc>
          <w:tcPr>
            <w:tcW w:w="106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</w:tr>
      <w:tr w:rsidR="00D32CBD" w:rsidTr="001126C5">
        <w:trPr>
          <w:trHeight w:val="330"/>
        </w:trPr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Radhakrishnan,2018</w:t>
            </w:r>
          </w:p>
        </w:tc>
        <w:tc>
          <w:tcPr>
            <w:tcW w:w="1826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-</w:t>
            </w:r>
          </w:p>
        </w:tc>
        <w:tc>
          <w:tcPr>
            <w:tcW w:w="1604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☆☆</w:t>
            </w:r>
          </w:p>
        </w:tc>
        <w:tc>
          <w:tcPr>
            <w:tcW w:w="120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068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</w:tr>
      <w:tr w:rsidR="00D32CBD" w:rsidTr="001126C5">
        <w:trPr>
          <w:trHeight w:val="330"/>
        </w:trPr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van der leek, 2020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☆☆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☆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</w:p>
        </w:tc>
      </w:tr>
    </w:tbl>
    <w:p w:rsidR="00D32CBD" w:rsidRDefault="00D32CBD" w:rsidP="00D32CBD">
      <w:pPr>
        <w:spacing w:line="360" w:lineRule="auto"/>
        <w:rPr>
          <w:rFonts w:ascii="Times New Roman" w:hAnsi="Times New Roman"/>
        </w:rPr>
      </w:pPr>
    </w:p>
    <w:p w:rsidR="00D32CBD" w:rsidRDefault="00D32CBD" w:rsidP="00D32CBD">
      <w:pPr>
        <w:spacing w:line="360" w:lineRule="auto"/>
        <w:rPr>
          <w:rFonts w:ascii="Times New Roman" w:hAnsi="Times New Roman" w:hint="eastAsia"/>
        </w:rPr>
      </w:pPr>
    </w:p>
    <w:p w:rsidR="001F6ED8" w:rsidRDefault="001F6ED8" w:rsidP="00D32CBD">
      <w:pPr>
        <w:spacing w:line="360" w:lineRule="auto"/>
        <w:rPr>
          <w:rFonts w:ascii="Times New Roman" w:hAnsi="Times New Roman"/>
        </w:rPr>
      </w:pPr>
      <w:bookmarkStart w:id="0" w:name="_GoBack"/>
      <w:bookmarkEnd w:id="0"/>
    </w:p>
    <w:p w:rsidR="00D32CBD" w:rsidRPr="00A5450A" w:rsidRDefault="00D32CBD" w:rsidP="00D32CBD">
      <w:pPr>
        <w:spacing w:line="360" w:lineRule="auto"/>
        <w:rPr>
          <w:rFonts w:ascii="Times New Roman" w:hAnsi="Times New Roman"/>
          <w:sz w:val="24"/>
          <w:szCs w:val="24"/>
        </w:rPr>
      </w:pPr>
      <w:proofErr w:type="gramStart"/>
      <w:r w:rsidRPr="001F6ED8">
        <w:rPr>
          <w:rFonts w:ascii="Times New Roman" w:hAnsi="Times New Roman"/>
          <w:b/>
          <w:sz w:val="24"/>
          <w:szCs w:val="24"/>
        </w:rPr>
        <w:lastRenderedPageBreak/>
        <w:t xml:space="preserve">Supplementary </w:t>
      </w:r>
      <w:r w:rsidRPr="001F6ED8">
        <w:rPr>
          <w:rFonts w:ascii="Times New Roman" w:hAnsi="Times New Roman" w:hint="eastAsia"/>
          <w:b/>
          <w:sz w:val="24"/>
          <w:szCs w:val="24"/>
        </w:rPr>
        <w:t xml:space="preserve">Table </w:t>
      </w:r>
      <w:r w:rsidRPr="001F6ED8">
        <w:rPr>
          <w:rFonts w:ascii="Times New Roman" w:hAnsi="Times New Roman"/>
          <w:b/>
          <w:sz w:val="24"/>
          <w:szCs w:val="24"/>
        </w:rPr>
        <w:t>1b</w:t>
      </w:r>
      <w:r w:rsidRPr="00A5450A">
        <w:rPr>
          <w:rFonts w:ascii="Times New Roman" w:hAnsi="Times New Roman"/>
          <w:sz w:val="24"/>
          <w:szCs w:val="24"/>
        </w:rPr>
        <w:t>.</w:t>
      </w:r>
      <w:proofErr w:type="gramEnd"/>
      <w:r w:rsidRPr="00A5450A">
        <w:rPr>
          <w:rFonts w:ascii="Times New Roman" w:hAnsi="Times New Roman"/>
          <w:sz w:val="24"/>
          <w:szCs w:val="24"/>
        </w:rPr>
        <w:t xml:space="preserve"> NOS criteria for quality of case-control study</w:t>
      </w:r>
    </w:p>
    <w:tbl>
      <w:tblPr>
        <w:tblW w:w="13996" w:type="dxa"/>
        <w:shd w:val="clear" w:color="000000" w:fill="auto"/>
        <w:tblLayout w:type="fixed"/>
        <w:tblLook w:val="04A0" w:firstRow="1" w:lastRow="0" w:firstColumn="1" w:lastColumn="0" w:noHBand="0" w:noVBand="1"/>
      </w:tblPr>
      <w:tblGrid>
        <w:gridCol w:w="1477"/>
        <w:gridCol w:w="1160"/>
        <w:gridCol w:w="1903"/>
        <w:gridCol w:w="1272"/>
        <w:gridCol w:w="1172"/>
        <w:gridCol w:w="1805"/>
        <w:gridCol w:w="1559"/>
        <w:gridCol w:w="1834"/>
        <w:gridCol w:w="986"/>
        <w:gridCol w:w="828"/>
      </w:tblGrid>
      <w:tr w:rsidR="00D32CBD" w:rsidTr="001126C5">
        <w:trPr>
          <w:trHeight w:val="1088"/>
        </w:trPr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Study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Is the case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difinition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adequate?</w:t>
            </w:r>
          </w:p>
        </w:tc>
        <w:tc>
          <w:tcPr>
            <w:tcW w:w="19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Representativeness of the cases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Selection of controls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Definition of controls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Comparablity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of cases and controls on the basis of the design or analysis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Ascertainment of intervention 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Same method of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acrertainment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 for cases and controls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Non-response rate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Total quality scores</w:t>
            </w:r>
          </w:p>
        </w:tc>
      </w:tr>
      <w:tr w:rsidR="00D32CBD" w:rsidTr="001126C5">
        <w:trPr>
          <w:trHeight w:val="299"/>
        </w:trPr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Pr="00D32CBD" w:rsidRDefault="00D32CBD" w:rsidP="001126C5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proofErr w:type="spellStart"/>
            <w:r w:rsidRPr="00D32CBD">
              <w:rPr>
                <w:rFonts w:ascii="Times New Roman" w:hAnsi="Times New Roman"/>
                <w:color w:val="000000"/>
                <w:sz w:val="22"/>
              </w:rPr>
              <w:t>Hamann</w:t>
            </w:r>
            <w:proofErr w:type="spellEnd"/>
            <w:r w:rsidRPr="00D32CBD">
              <w:rPr>
                <w:rFonts w:ascii="Times New Roman" w:hAnsi="Times New Roman"/>
                <w:color w:val="000000"/>
                <w:sz w:val="22"/>
              </w:rPr>
              <w:t>, 2018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☆</w:t>
            </w: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☆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☆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☆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☆☆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☆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☆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☆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:rsidR="00D32CBD" w:rsidRDefault="00D32CBD" w:rsidP="001126C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9</w:t>
            </w:r>
          </w:p>
        </w:tc>
      </w:tr>
    </w:tbl>
    <w:p w:rsidR="00C6598A" w:rsidRDefault="00A25A8B"/>
    <w:sectPr w:rsidR="00C6598A" w:rsidSect="00D32C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A8B" w:rsidRDefault="00A25A8B" w:rsidP="00D32CBD">
      <w:r>
        <w:separator/>
      </w:r>
    </w:p>
  </w:endnote>
  <w:endnote w:type="continuationSeparator" w:id="0">
    <w:p w:rsidR="00A25A8B" w:rsidRDefault="00A25A8B" w:rsidP="00D32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A8B" w:rsidRDefault="00A25A8B" w:rsidP="00D32CBD">
      <w:r>
        <w:separator/>
      </w:r>
    </w:p>
  </w:footnote>
  <w:footnote w:type="continuationSeparator" w:id="0">
    <w:p w:rsidR="00A25A8B" w:rsidRDefault="00A25A8B" w:rsidP="00D32C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894"/>
    <w:rsid w:val="0019184D"/>
    <w:rsid w:val="001F6ED8"/>
    <w:rsid w:val="00841894"/>
    <w:rsid w:val="009375CA"/>
    <w:rsid w:val="00A25A8B"/>
    <w:rsid w:val="00CB49C5"/>
    <w:rsid w:val="00D32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CB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2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2C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2C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2C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CB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2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2C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2C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2C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168</Words>
  <Characters>961</Characters>
  <Application>Microsoft Office Word</Application>
  <DocSecurity>0</DocSecurity>
  <Lines>8</Lines>
  <Paragraphs>2</Paragraphs>
  <ScaleCrop>false</ScaleCrop>
  <Company>Microsoft</Company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赵立娟</dc:creator>
  <cp:keywords/>
  <dc:description/>
  <cp:lastModifiedBy>ZLJ</cp:lastModifiedBy>
  <cp:revision>3</cp:revision>
  <dcterms:created xsi:type="dcterms:W3CDTF">2020-08-14T08:06:00Z</dcterms:created>
  <dcterms:modified xsi:type="dcterms:W3CDTF">2021-01-15T03:07:00Z</dcterms:modified>
</cp:coreProperties>
</file>