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36B7" w14:textId="678C1AFE" w:rsidR="007058FA" w:rsidRPr="00283D24" w:rsidRDefault="00283D24" w:rsidP="00283D24">
      <w:pPr>
        <w:pStyle w:val="target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color w:val="2A2B2E"/>
          <w:sz w:val="20"/>
          <w:szCs w:val="20"/>
        </w:rPr>
      </w:pPr>
      <w:r w:rsidRPr="00283D24">
        <w:rPr>
          <w:rFonts w:ascii="Times New Roman" w:hAnsi="Times New Roman" w:cs="Times New Roman"/>
          <w:sz w:val="20"/>
          <w:szCs w:val="20"/>
        </w:rPr>
        <w:t xml:space="preserve">Table S1 </w:t>
      </w:r>
      <w:r w:rsidRPr="00283D24">
        <w:rPr>
          <w:rFonts w:ascii="Times New Roman" w:hAnsi="Times New Roman" w:cs="Times New Roman"/>
          <w:color w:val="2A2B2E"/>
          <w:sz w:val="20"/>
          <w:szCs w:val="20"/>
        </w:rPr>
        <w:t>Sensitivity analysis before and after interpolation of missing data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1645"/>
        <w:gridCol w:w="1645"/>
        <w:gridCol w:w="1028"/>
        <w:gridCol w:w="935"/>
      </w:tblGrid>
      <w:tr w:rsidR="00283D24" w:rsidRPr="00283D24" w14:paraId="09EC5F62" w14:textId="77777777" w:rsidTr="00283D24">
        <w:trPr>
          <w:cantSplit/>
          <w:tblHeader/>
          <w:jc w:val="center"/>
        </w:trPr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64ACBC28" w14:textId="77777777" w:rsidR="00283D24" w:rsidRPr="00283D24" w:rsidRDefault="00283D24" w:rsidP="00283D24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51BB420B" w14:textId="137611E3" w:rsidR="00283D24" w:rsidRPr="00283D24" w:rsidRDefault="00283D24" w:rsidP="00283D24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After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imputation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17E16EF9" w14:textId="1AFDB826" w:rsidR="00283D24" w:rsidRPr="00283D24" w:rsidRDefault="00283D24" w:rsidP="00283D24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Before imputation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3E6B0B2B" w14:textId="77777777" w:rsidR="00283D24" w:rsidRPr="00283D24" w:rsidRDefault="00283D24" w:rsidP="00283D24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Statistics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2B9839C1" w14:textId="77777777" w:rsidR="00283D24" w:rsidRPr="00283D24" w:rsidRDefault="00283D24" w:rsidP="00283D24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D2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283D24" w:rsidRPr="00283D24" w14:paraId="2AC1113C" w14:textId="77777777" w:rsidTr="00283D24">
        <w:trPr>
          <w:cantSplit/>
          <w:jc w:val="center"/>
        </w:trPr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14:paraId="4C13E3E7" w14:textId="314EAACC" w:rsidR="00283D24" w:rsidRPr="00283D24" w:rsidRDefault="00283D24" w:rsidP="00283D24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Weight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kg</w:t>
            </w:r>
            <w:r w:rsidRPr="00283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Mean ± SD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14:paraId="321B02B0" w14:textId="77777777" w:rsidR="00283D24" w:rsidRPr="00283D24" w:rsidRDefault="00283D24" w:rsidP="00283D24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81.06 ± 22.28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14:paraId="5142F7BF" w14:textId="77777777" w:rsidR="00283D24" w:rsidRPr="00283D24" w:rsidRDefault="00283D24" w:rsidP="00283D24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81.07 ± 22.30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14:paraId="1127441D" w14:textId="77777777" w:rsidR="00283D24" w:rsidRPr="00283D24" w:rsidRDefault="00283D24" w:rsidP="00283D24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t=-0.02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14:paraId="2A6CCB54" w14:textId="77777777" w:rsidR="00283D24" w:rsidRPr="00283D24" w:rsidRDefault="00283D24" w:rsidP="00283D24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3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0.986</w:t>
            </w:r>
          </w:p>
        </w:tc>
      </w:tr>
    </w:tbl>
    <w:p w14:paraId="0650CBF2" w14:textId="39AFE86E" w:rsidR="00321140" w:rsidRDefault="00283D24" w:rsidP="00283D2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SD, standard deviation.</w:t>
      </w:r>
    </w:p>
    <w:p w14:paraId="2C7489B8" w14:textId="77777777" w:rsidR="00321140" w:rsidRDefault="00321140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64FAD16" w14:textId="7AA241AE" w:rsidR="00283D24" w:rsidRDefault="00321140" w:rsidP="00283D2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Table S2 Univariates analysis results</w:t>
      </w:r>
    </w:p>
    <w:tbl>
      <w:tblPr>
        <w:tblW w:w="99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1779"/>
        <w:gridCol w:w="853"/>
        <w:gridCol w:w="1569"/>
        <w:gridCol w:w="807"/>
        <w:gridCol w:w="1680"/>
        <w:gridCol w:w="1027"/>
      </w:tblGrid>
      <w:tr w:rsidR="00321140" w:rsidRPr="00321140" w14:paraId="277141F7" w14:textId="77777777" w:rsidTr="00321140">
        <w:trPr>
          <w:cantSplit/>
          <w:tblHeader/>
          <w:jc w:val="center"/>
        </w:trPr>
        <w:tc>
          <w:tcPr>
            <w:tcW w:w="2257" w:type="dxa"/>
            <w:vMerge w:val="restart"/>
            <w:tcBorders>
              <w:top w:val="single" w:sz="10" w:space="0" w:color="000000"/>
              <w:left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C4E7F3" w14:textId="3CA51D80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Variables </w:t>
            </w:r>
          </w:p>
        </w:tc>
        <w:tc>
          <w:tcPr>
            <w:tcW w:w="2632" w:type="dxa"/>
            <w:gridSpan w:val="2"/>
            <w:tcBorders>
              <w:top w:val="single" w:sz="10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5034718" w14:textId="3D9C620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In-hospital death</w:t>
            </w:r>
          </w:p>
        </w:tc>
        <w:tc>
          <w:tcPr>
            <w:tcW w:w="2376" w:type="dxa"/>
            <w:gridSpan w:val="2"/>
            <w:tcBorders>
              <w:top w:val="single" w:sz="10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9CB3A42" w14:textId="3CFC209A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1-year mortality</w:t>
            </w:r>
          </w:p>
        </w:tc>
        <w:tc>
          <w:tcPr>
            <w:tcW w:w="2707" w:type="dxa"/>
            <w:gridSpan w:val="2"/>
            <w:tcBorders>
              <w:top w:val="single" w:sz="10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486EE4F" w14:textId="2F7B92F5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Severe </w:t>
            </w:r>
            <w:r w:rsidRPr="00321140">
              <w:rPr>
                <w:rFonts w:ascii="Times New Roman" w:eastAsia="PingFang SC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consciousness</w:t>
            </w:r>
            <w:r w:rsidRPr="00321140">
              <w:rPr>
                <w:rFonts w:ascii="Times New Roman" w:eastAsia="PingFang SC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21140">
              <w:rPr>
                <w:rFonts w:ascii="Times New Roman" w:eastAsia="PingFang SC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disturbance</w:t>
            </w:r>
          </w:p>
        </w:tc>
      </w:tr>
      <w:tr w:rsidR="00321140" w:rsidRPr="00321140" w14:paraId="28CF4B6C" w14:textId="77777777" w:rsidTr="00321140">
        <w:trPr>
          <w:cantSplit/>
          <w:tblHeader/>
          <w:jc w:val="center"/>
        </w:trPr>
        <w:tc>
          <w:tcPr>
            <w:tcW w:w="2257" w:type="dxa"/>
            <w:vMerge/>
            <w:tcBorders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EFC5E79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10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C11535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(95%CI)</w:t>
            </w:r>
          </w:p>
        </w:tc>
        <w:tc>
          <w:tcPr>
            <w:tcW w:w="853" w:type="dxa"/>
            <w:tcBorders>
              <w:top w:val="single" w:sz="10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4577681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569" w:type="dxa"/>
            <w:tcBorders>
              <w:top w:val="single" w:sz="10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A6A346A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(95%CI)</w:t>
            </w:r>
          </w:p>
        </w:tc>
        <w:tc>
          <w:tcPr>
            <w:tcW w:w="807" w:type="dxa"/>
            <w:tcBorders>
              <w:top w:val="single" w:sz="10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69A298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680" w:type="dxa"/>
            <w:tcBorders>
              <w:top w:val="single" w:sz="10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8F841F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 (95%CI)</w:t>
            </w:r>
          </w:p>
        </w:tc>
        <w:tc>
          <w:tcPr>
            <w:tcW w:w="1027" w:type="dxa"/>
            <w:tcBorders>
              <w:top w:val="single" w:sz="10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ECC907A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321140" w:rsidRPr="00321140" w14:paraId="147912BC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38D436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D609A9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 (1.00-1.02)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E17859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6C0F6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 (1.01-1.02)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97A255" w14:textId="6E53B350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3B6E6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0.99 (0.98-0.99)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606F88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321140" w:rsidRPr="00321140" w14:paraId="57F88EAF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3D078E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FBB487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ED8553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4B458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EB623D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C895E2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CEE95E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03C1FA59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586C762" w14:textId="24CAFC8E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emale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E9BE57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DBE475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7C4ABC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EFEC7D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F452EB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1DF161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001960D5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3ADCF38" w14:textId="4BD1B664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DF37B9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0.83 (0.67-1.04)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D977C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D49CA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0.83 (0.70-0.98)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48A959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39904C1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0.98 (0.78-1.22)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05821E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0.833</w:t>
            </w:r>
          </w:p>
        </w:tc>
      </w:tr>
      <w:tr w:rsidR="00321140" w:rsidRPr="00321140" w14:paraId="013F5A1C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8A46A9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Race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69B4C2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EC534F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E8E5F9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F61EF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B0EADE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32CF1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0291DC8A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7092D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White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7BE9541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70BEB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15280F4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529C2C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E21C6E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D83C6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22B7B518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0C6588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Black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43FE3F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1.27 (0.86-1.89)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19318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0.236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8E6334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1.57 (1.17-2.10)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80CD8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85AB09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1.59 (1.05-2.41)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A35F2F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</w:tr>
      <w:tr w:rsidR="00321140" w:rsidRPr="00321140" w14:paraId="0397117C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CAB23B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Other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8741E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1.95 (1.54-2.46)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F8544B" w14:textId="717FC304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C6BA7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1.71 (1.42-2.05)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ECD67A" w14:textId="323675D8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2ECDF5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1.46 (1.15-1.86)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440C374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321140" w:rsidRPr="00321140" w14:paraId="3F128853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5867B71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Weight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33A7D2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 (0.99-1.00)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DF6E7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9CF73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0.99 (0.99-0.99)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BC5A14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7C7CFA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 (1.00-1.01)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776AE8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0.753</w:t>
            </w:r>
          </w:p>
        </w:tc>
      </w:tr>
      <w:tr w:rsidR="00321140" w:rsidRPr="00321140" w14:paraId="77DC9EC6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04A7B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Smoking status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A360A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C0284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2D639C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F738F8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F5576F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C1F4E4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46ADA2A7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C40AD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CE1A092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D9C42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B47C29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B012FA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78E5C8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B819E9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67F8BDDC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E45C96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64CE52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 (0.68-1.46)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F00472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0.984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B7C87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1.30 (1.00-1.71)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934B5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6BDF9A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0.81 (0.54-1.24)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20877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0.336</w:t>
            </w:r>
          </w:p>
        </w:tc>
      </w:tr>
      <w:tr w:rsidR="00321140" w:rsidRPr="00321140" w14:paraId="0FE47E42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98898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Diabetes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E0A30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EDB637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82B15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DDAB89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E84C1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CBC53B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6C261798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BCC574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93E476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46A5E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57FE5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4C42A0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8CA4F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2A12C1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7A40EC20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C6411D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0E177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0.85 (0.67-1.07)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A7E5D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0.169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290AE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0.95 (0.79-1.13)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93F052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07760AB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0.76 (0.60-0.96)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EC442BB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</w:tr>
      <w:tr w:rsidR="00321140" w:rsidRPr="00321140" w14:paraId="04657693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7AF92EB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Congestive heart failure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A40EA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D1CE04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D94AA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311519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A73E9C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BDCE5B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44690504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38297C1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404A35B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FB7E2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244CF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AA906D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178CDB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7883E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58D60AB7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F24AF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932976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1.04 (0.83-1.31)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E75B0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0.727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A9C0B1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1.24 (1.04-1.49)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F631CC4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53851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1.03 (0.80-1.31)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267151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0.840</w:t>
            </w:r>
          </w:p>
        </w:tc>
      </w:tr>
      <w:tr w:rsidR="00321140" w:rsidRPr="00321140" w14:paraId="4521FBFA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665E39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Hypertension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D94B9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436702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79186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BAAF76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8E1C9D1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9080E8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3B2E2C0A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3CC82C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7C302A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48ECF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BB7EA6B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9A8DC2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133A8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B9563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461424DB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55C593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D78E2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 (0.77-1.19)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75AC6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0.701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764192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0.76 (0.64-0.90)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626B5C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6196D3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 (0.78-1.21)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88088F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0.778</w:t>
            </w:r>
          </w:p>
        </w:tc>
      </w:tr>
      <w:tr w:rsidR="00321140" w:rsidRPr="00321140" w14:paraId="2E85E106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DD6C25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Sepsis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2E998B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69343B2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98E08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E9815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14B81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E6DBA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34728154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1167BF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69EBC4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2AA9C5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3C31DB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E519B9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CBCCF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8243D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4063F087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7D839A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286FB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1.24 (0.94-1.63)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353AF1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70710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1.82 (1.47-2.26)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ADD0F3" w14:textId="02207508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735C0D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3.06 (2.31-4.05)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43495CF" w14:textId="1C12FEB9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001</w:t>
            </w:r>
          </w:p>
        </w:tc>
      </w:tr>
      <w:tr w:rsidR="00321140" w:rsidRPr="00321140" w14:paraId="53536A90" w14:textId="77777777" w:rsidTr="00321140">
        <w:trPr>
          <w:cantSplit/>
          <w:trHeight w:val="242"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50F4C1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Mechanical ventilation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6E6575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DB231D4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82E377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0133CA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09C94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B7A7124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6399EE87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22BF32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1BD4AB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BA721F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B8EC7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D54B64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5E2615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8BE323B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0D696D7E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3609CD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6EB2B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2.26 (1.57-3.27)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DCBB814" w14:textId="4D696424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B61B2A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1.29 (1.05-1.58)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E1087C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3539C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4.61 (3.19-6.68)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3F65D63" w14:textId="1FC2C006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</w:tr>
      <w:tr w:rsidR="00321140" w:rsidRPr="00321140" w14:paraId="5C694C57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9A3C0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RRT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7FE072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643901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EBC82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6A9CD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F0FDD1C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EA288D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20BE3DED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EA29F7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FCB72D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B0266B2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62A8F6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CC735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71429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B149C5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70BC8714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5A66CB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264E5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1.23 (0.88-1.71)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8983C3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0.233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34AF74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1.54 (1.17-2.03)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FE1F5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905025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1.92 (1.30-2.82)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37336C" w14:textId="0D4D5E3B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</w:tr>
      <w:tr w:rsidR="00321140" w:rsidRPr="00321140" w14:paraId="698D00D6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970A1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Antihypertensive drugs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6B0FE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4E4BA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B89EE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B5EDE7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74577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D4B371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7599D6B5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165F44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58F5C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2DA812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39A9509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542D25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54CB1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4002BB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1140" w:rsidRPr="00321140" w14:paraId="5124E292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CEC5AE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C827BA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0.29 (0.23-0.37)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4CE8E89" w14:textId="5F33A44D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3EE194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0.42 (0.35-0.51)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E60D35D" w14:textId="03662EDD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99868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0.66 (0.51-0.86)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3C9D60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321140" w:rsidRPr="00321140" w14:paraId="620BE241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F14E9F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blood glucose measurements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05F4912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0.90 (0.87-0.95)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8309CF" w14:textId="5B32F50A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81C34FA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0.87 (0.83-0.90)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290814" w14:textId="762EFB28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27B603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 (0.94-1.01)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7E8DA0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0.103</w:t>
            </w:r>
          </w:p>
        </w:tc>
      </w:tr>
      <w:tr w:rsidR="00321140" w:rsidRPr="00321140" w14:paraId="36FCEDE9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CF3BB1D" w14:textId="7489C7F9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baseline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5E5022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 (1.01-1.01)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634E0ED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A59CE6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 (1.01-1.01)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80CAE4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F47488" w14:textId="77777777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 (1.01-1.01)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D2747DF" w14:textId="6C24ABD0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</w:tr>
      <w:tr w:rsidR="00321140" w:rsidRPr="00321140" w14:paraId="433F7400" w14:textId="77777777" w:rsidTr="00321140">
        <w:trPr>
          <w:cantSplit/>
          <w:jc w:val="center"/>
        </w:trPr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3FCA74" w14:textId="5E4761CD" w:rsidR="00321140" w:rsidRPr="00321140" w:rsidRDefault="00321140" w:rsidP="00321140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Glucose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baseline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A469091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 (1.01-1.01)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24EF02" w14:textId="4CEF5D05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F1DB84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 (1.01-1.01)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7F5536" w14:textId="15D0613C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FF4AEA4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 (1.01-1.01)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DCA1FE" w14:textId="77777777" w:rsidR="00321140" w:rsidRPr="00321140" w:rsidRDefault="00321140" w:rsidP="00321140">
            <w:pPr>
              <w:keepNext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1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</w:tbl>
    <w:p w14:paraId="7D386D45" w14:textId="533348E1" w:rsidR="00321140" w:rsidRPr="00283D24" w:rsidRDefault="00321140" w:rsidP="00283D2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711">
        <w:rPr>
          <w:rFonts w:ascii="Times New Roman" w:hAnsi="Times New Roman" w:cs="Times New Roman"/>
          <w:sz w:val="20"/>
          <w:szCs w:val="20"/>
        </w:rPr>
        <w:t>RRT, renal replacement therapy; SBP, systolic blood pressure</w:t>
      </w:r>
      <w:r w:rsidRPr="00991711">
        <w:rPr>
          <w:rFonts w:ascii="Times New Roman" w:hAnsi="Times New Roman" w:cs="Times New Roman"/>
          <w:sz w:val="20"/>
          <w:szCs w:val="20"/>
        </w:rPr>
        <w:t>；</w:t>
      </w:r>
      <w:r w:rsidRPr="00991711">
        <w:rPr>
          <w:rFonts w:ascii="Times New Roman" w:hAnsi="Times New Roman" w:cs="Times New Roman"/>
          <w:sz w:val="20"/>
          <w:szCs w:val="20"/>
        </w:rPr>
        <w:t xml:space="preserve">GV, glycemic variability; SBPV, systolic blood pressure variability; </w:t>
      </w:r>
      <w:r>
        <w:rPr>
          <w:rFonts w:ascii="Times New Roman" w:hAnsi="Times New Roman" w:cs="Times New Roman"/>
          <w:sz w:val="20"/>
          <w:szCs w:val="20"/>
        </w:rPr>
        <w:t xml:space="preserve">HR, hazard ratio; OR, odd ratio; CI, confidence interval; Ref, reference. </w:t>
      </w:r>
    </w:p>
    <w:sectPr w:rsidR="00321140" w:rsidRPr="00283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24"/>
    <w:rsid w:val="00177537"/>
    <w:rsid w:val="00283D24"/>
    <w:rsid w:val="00315B92"/>
    <w:rsid w:val="00321140"/>
    <w:rsid w:val="00531C9A"/>
    <w:rsid w:val="00575111"/>
    <w:rsid w:val="00697341"/>
    <w:rsid w:val="007058FA"/>
    <w:rsid w:val="008D1D2A"/>
    <w:rsid w:val="00B36A7A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9B765"/>
  <w15:chartTrackingRefBased/>
  <w15:docId w15:val="{3E561ACE-D10F-3043-A446-C4FBAF83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D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D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D2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D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D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D2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D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D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D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3D24"/>
    <w:rPr>
      <w:b/>
      <w:bCs/>
      <w:smallCaps/>
      <w:color w:val="0F4761" w:themeColor="accent1" w:themeShade="BF"/>
      <w:spacing w:val="5"/>
    </w:rPr>
  </w:style>
  <w:style w:type="paragraph" w:customStyle="1" w:styleId="target">
    <w:name w:val="target"/>
    <w:basedOn w:val="a"/>
    <w:rsid w:val="00283D24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dcterms:created xsi:type="dcterms:W3CDTF">2025-04-17T08:13:00Z</dcterms:created>
  <dcterms:modified xsi:type="dcterms:W3CDTF">2025-04-17T13:11:00Z</dcterms:modified>
</cp:coreProperties>
</file>