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7C551" w14:textId="77777777" w:rsidR="00AC49BE" w:rsidRPr="003043B6" w:rsidRDefault="00AC49BE" w:rsidP="00AC49BE">
      <w:pPr>
        <w:spacing w:after="0" w:line="360" w:lineRule="auto"/>
        <w:ind w:left="1"/>
        <w:jc w:val="center"/>
        <w:rPr>
          <w:rFonts w:ascii="Times New Roman" w:hAnsi="Times New Roman"/>
          <w:b/>
          <w:lang w:val="en-US"/>
        </w:rPr>
      </w:pPr>
      <w:r w:rsidRPr="003043B6">
        <w:rPr>
          <w:rFonts w:ascii="Times New Roman" w:hAnsi="Times New Roman"/>
          <w:b/>
          <w:lang w:val="en-US"/>
        </w:rPr>
        <w:t xml:space="preserve">Table 1. Relative change of parameters for strain elements of the TDC crystal at a pressure </w:t>
      </w:r>
      <w:r>
        <w:rPr>
          <w:rFonts w:ascii="Times New Roman" w:hAnsi="Times New Roman"/>
          <w:b/>
          <w:lang w:val="en-US"/>
        </w:rPr>
        <w:t xml:space="preserve">                 </w:t>
      </w:r>
      <w:r w:rsidRPr="003043B6">
        <w:rPr>
          <w:rFonts w:ascii="Times New Roman" w:hAnsi="Times New Roman"/>
          <w:b/>
          <w:lang w:val="en-US"/>
        </w:rPr>
        <w:t>P = 100 kPa from the side of the membrane</w:t>
      </w:r>
    </w:p>
    <w:p w14:paraId="50295877" w14:textId="77777777" w:rsidR="00AC49BE" w:rsidRPr="000D6E42" w:rsidRDefault="00AC49BE" w:rsidP="00AC49BE">
      <w:pPr>
        <w:spacing w:line="360" w:lineRule="auto"/>
        <w:ind w:left="1"/>
        <w:jc w:val="center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5D33B53B" wp14:editId="23BC76C5">
            <wp:extent cx="2470961" cy="2228193"/>
            <wp:effectExtent l="0" t="0" r="5715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1839" cy="2265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B028824" w14:textId="10253158" w:rsidR="00386883" w:rsidRDefault="00AC49BE"/>
    <w:p w14:paraId="4E9C186D" w14:textId="77777777" w:rsidR="00AC49BE" w:rsidRPr="003043B6" w:rsidRDefault="00AC49BE" w:rsidP="00AC49BE">
      <w:pPr>
        <w:spacing w:after="0" w:line="360" w:lineRule="auto"/>
        <w:ind w:left="1" w:hanging="1"/>
        <w:jc w:val="center"/>
        <w:rPr>
          <w:rFonts w:ascii="Times New Roman" w:hAnsi="Times New Roman"/>
          <w:i/>
          <w:lang w:val="en-US"/>
        </w:rPr>
      </w:pPr>
      <w:r w:rsidRPr="003043B6">
        <w:rPr>
          <w:rFonts w:ascii="Times New Roman" w:hAnsi="Times New Roman"/>
          <w:b/>
          <w:lang w:val="en-US"/>
        </w:rPr>
        <w:t>Table 2.  Die’s electrical and mechanical parameters</w:t>
      </w:r>
      <w:r w:rsidRPr="003043B6">
        <w:rPr>
          <w:rFonts w:ascii="Times New Roman" w:hAnsi="Times New Roman"/>
          <w:i/>
          <w:lang w:val="en-US"/>
        </w:rPr>
        <w:t xml:space="preserve"> </w:t>
      </w:r>
    </w:p>
    <w:p w14:paraId="5561DE85" w14:textId="77777777" w:rsidR="00AC49BE" w:rsidRDefault="00AC49BE" w:rsidP="00AC49BE">
      <w:pPr>
        <w:spacing w:line="360" w:lineRule="auto"/>
        <w:ind w:left="1"/>
        <w:jc w:val="center"/>
        <w:rPr>
          <w:rFonts w:ascii="Times New Roman" w:hAnsi="Times New Roman"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26A274C0" wp14:editId="4165BAD3">
            <wp:extent cx="2719137" cy="5015653"/>
            <wp:effectExtent l="0" t="0" r="508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3683" cy="50240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DE2C545" w14:textId="77777777" w:rsidR="00AC49BE" w:rsidRDefault="00AC49BE"/>
    <w:sectPr w:rsidR="00AC49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9BE"/>
    <w:rsid w:val="003107CE"/>
    <w:rsid w:val="00316534"/>
    <w:rsid w:val="00373D83"/>
    <w:rsid w:val="00622525"/>
    <w:rsid w:val="006B2C4D"/>
    <w:rsid w:val="007A60A6"/>
    <w:rsid w:val="00A0389B"/>
    <w:rsid w:val="00AC49BE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E74ED2"/>
  <w15:chartTrackingRefBased/>
  <w15:docId w15:val="{92C2C3F0-AE43-461A-8F85-7D37F836A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49BE"/>
    <w:pPr>
      <w:spacing w:after="200" w:line="276" w:lineRule="auto"/>
    </w:pPr>
    <w:rPr>
      <w:rFonts w:ascii="Calibri" w:eastAsia="Times New Roman" w:hAnsi="Calibri" w:cs="Times New Roman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2021-07-02T16:28:00Z</dcterms:created>
  <dcterms:modified xsi:type="dcterms:W3CDTF">2021-07-02T16:29:00Z</dcterms:modified>
</cp:coreProperties>
</file>