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DAC5" w14:textId="2EAF57CA" w:rsidR="003B035D" w:rsidRPr="00165501" w:rsidRDefault="00F3444C" w:rsidP="00165501">
      <w:pPr>
        <w:jc w:val="both"/>
        <w:rPr>
          <w:rFonts w:ascii="Helvetica" w:hAnsi="Helvetica"/>
          <w:b/>
          <w:bCs/>
          <w:sz w:val="22"/>
          <w:szCs w:val="22"/>
          <w:lang w:val="es-ES_tradnl"/>
        </w:rPr>
      </w:pPr>
      <w:r w:rsidRPr="00165501">
        <w:rPr>
          <w:rFonts w:ascii="Helvetica" w:hAnsi="Helvetica"/>
          <w:b/>
          <w:bCs/>
          <w:sz w:val="22"/>
          <w:szCs w:val="22"/>
          <w:lang w:val="es-ES_tradnl"/>
        </w:rPr>
        <w:t>SUPPLEMENTARY FIGURE LEGENDS</w:t>
      </w:r>
    </w:p>
    <w:p w14:paraId="6C56B5C7" w14:textId="77777777" w:rsidR="00F3444C" w:rsidRPr="00165501" w:rsidRDefault="00F3444C" w:rsidP="00165501">
      <w:pPr>
        <w:jc w:val="both"/>
        <w:rPr>
          <w:sz w:val="22"/>
          <w:szCs w:val="22"/>
          <w:lang w:val="es-ES_tradnl"/>
        </w:rPr>
      </w:pPr>
    </w:p>
    <w:p w14:paraId="584E8ED2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1. CRC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PDX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 xml:space="preserve">V600E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models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recapitulate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patients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’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genomics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>.</w:t>
      </w:r>
    </w:p>
    <w:p w14:paraId="58CA02F4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Oncoplot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displaying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frequently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above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27% in 32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PDXs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Duplicated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samples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per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condition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were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counted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Mutational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frequency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per gene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four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conditions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TCGA-COADREAD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cohort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are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depicted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left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top, Tumor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Mutational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Burden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(TMB)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variants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per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megabase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provided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individual case. 'Multi-hit'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refers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to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more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than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once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sample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Black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circles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variant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allele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frequencies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equal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below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25%. MSS: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microsatellite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stability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MSI: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microsatellite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instability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Top 5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prevalent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COSMIC v3.4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signatures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naive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resistant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, and TCGA COADREAD BRAF</w:t>
      </w:r>
      <w:r w:rsidRPr="00165501">
        <w:rPr>
          <w:rStyle w:val="toptext"/>
          <w:rFonts w:ascii="Helvetica" w:hAnsi="Helvetica" w:cs="Helvetica"/>
          <w:sz w:val="22"/>
          <w:szCs w:val="22"/>
          <w:vertAlign w:val="superscript"/>
        </w:rPr>
        <w:t>V600E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CRC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samples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p w14:paraId="58E01D5C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</w:p>
    <w:p w14:paraId="28D340A5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2.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PDX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 xml:space="preserve">V600E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models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recapitulate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patients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’ response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to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treatment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>.</w:t>
      </w:r>
    </w:p>
    <w:p w14:paraId="4B63B4D6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left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side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tumor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growth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curves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M64-N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naive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doublet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encorafenib+cetuximab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treatments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n= 9-39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per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condition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Values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are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presented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mean ± SEM.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right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side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progression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-free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survival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curves (PFS),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median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survival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group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graph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Waterfall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plot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depicting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best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response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individual tumor</w:t>
      </w:r>
      <w:r w:rsidRPr="00165501">
        <w:rPr>
          <w:rFonts w:ascii="Helvetica" w:hAnsi="Helvetica" w:cs="Helvetica"/>
          <w:iCs/>
          <w:sz w:val="22"/>
          <w:szCs w:val="22"/>
        </w:rPr>
        <w:t xml:space="preserve">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greater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than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20% (red line)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progressive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disease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(PD).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lower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than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30% (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green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line)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partial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response (PR).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between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these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values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stabilized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disease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(SD). CR: complete responses.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>C,</w:t>
      </w:r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DUSP6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left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) and SPRY4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right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(ST),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(LT)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-PCR (n= 3-6). Mean ± SEM. r. u.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units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D, 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Individual tumor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growth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curves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therapy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E,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Venn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diagram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common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specifics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between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 PDX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tumors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those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therapy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p w14:paraId="4B1D46BD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</w:p>
    <w:p w14:paraId="3D2FA810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sz w:val="22"/>
          <w:szCs w:val="22"/>
        </w:rPr>
      </w:pPr>
      <w:bookmarkStart w:id="0" w:name="_Hlk167960512"/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3. MAPK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pathway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inhibition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dominates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whole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gene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in BRAF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  <w:vertAlign w:val="superscript"/>
        </w:rPr>
        <w:t xml:space="preserve">V600E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CRC. </w:t>
      </w:r>
    </w:p>
    <w:p w14:paraId="684F3AC3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Heatmap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differentially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any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conditions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Right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panel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shows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cluster</w:t>
      </w:r>
      <w:proofErr w:type="spellEnd"/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grouped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-time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top 5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significantly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enriched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 sets.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GSEA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results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gene sets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selected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categories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term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(LT).</w:t>
      </w:r>
      <w:bookmarkEnd w:id="0"/>
    </w:p>
    <w:p w14:paraId="428E3996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</w:p>
    <w:p w14:paraId="6543F4CD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4.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Methylation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gram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status</w:t>
      </w:r>
      <w:proofErr w:type="gram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upon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treatment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.</w:t>
      </w:r>
    </w:p>
    <w:p w14:paraId="7B1336FC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Density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comparing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general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methylation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status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TCGA-COAD BRAF</w:t>
      </w:r>
      <w:r w:rsidRPr="00165501">
        <w:rPr>
          <w:rStyle w:val="toptext"/>
          <w:rFonts w:ascii="Helvetica" w:hAnsi="Helvetica" w:cs="Helvetica"/>
          <w:sz w:val="22"/>
          <w:szCs w:val="22"/>
          <w:vertAlign w:val="superscript"/>
        </w:rPr>
        <w:t xml:space="preserve">V600E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samples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versus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our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depicting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frequency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genomic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regions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methylation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changes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over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after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treatment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>C,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Scatter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relationship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between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methylation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levels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their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promoters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(TSS200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region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M64-N PDX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Top, at short time. Bottom,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Scatter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relationship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between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methylation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levels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their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promoters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(TSS200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region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C, D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red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squares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highlight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demethylated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higher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upon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treatment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Some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following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this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pattern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are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red.</w:t>
      </w:r>
    </w:p>
    <w:p w14:paraId="2B314B92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1D2CFAC8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5.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MAPK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pathway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inhibition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promotes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mucinous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differentiation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of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tumor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cells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in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/>
          <w:sz w:val="22"/>
          <w:szCs w:val="22"/>
          <w:vertAlign w:val="superscript"/>
        </w:rPr>
        <w:t>V600E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CRC.</w:t>
      </w:r>
    </w:p>
    <w:p w14:paraId="619D7CDB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Basal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CLCA1 (top), MUC2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middle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) and MUC4 (bottom) at control short time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-PCR (n= 3). Mean ± SEM.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CLCA1 (top), MUC2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middle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and MUC4 (bottom)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(ST),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(LT)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-PCR (n= 3). Mean ± SEM.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C,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Schematic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intestinal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secretory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pathway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r. u.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units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</w:t>
      </w:r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p w14:paraId="71CBD238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34CA76E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bookmarkStart w:id="1" w:name="_Hlk167960748"/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6.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MAPK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pathway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inhibition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promotes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mucinous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differentiation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of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tumor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cells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in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>V600E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CRC.</w:t>
      </w:r>
    </w:p>
    <w:p w14:paraId="1EBFEED2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pictures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alcian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blue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staining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treatment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B,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Heat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map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depicting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mucinous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across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various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PDX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therapy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assessed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pathologist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numerical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scale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degree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mucinous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ranging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from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0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absence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mucinous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to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5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maximum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grade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mucinous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). MS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status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Microsatellite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status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C,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images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hematoxylin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eosin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alcian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blue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staining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treatment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CRC BRAF</w:t>
      </w:r>
      <w:r w:rsidRPr="00165501">
        <w:rPr>
          <w:rStyle w:val="toptext"/>
          <w:rFonts w:ascii="Helvetica" w:hAnsi="Helvetica" w:cs="Helvetica"/>
          <w:sz w:val="22"/>
          <w:szCs w:val="22"/>
          <w:vertAlign w:val="superscript"/>
        </w:rPr>
        <w:t>V600E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Fonts w:ascii="Helvetica" w:hAnsi="Helvetica" w:cs="Helvetica"/>
          <w:iCs/>
          <w:sz w:val="22"/>
          <w:szCs w:val="22"/>
        </w:rPr>
        <w:t>HCOX5238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Tumor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growth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curves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HCOX5438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(n=6).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Presented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Mean ± SD.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E,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Bubble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NES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adjusted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value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naive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goblet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Paneth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signatures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F,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</w:t>
      </w:r>
      <w:r w:rsidRPr="00165501">
        <w:rPr>
          <w:rFonts w:ascii="Helvetica" w:hAnsi="Helvetica" w:cs="Helvetica"/>
          <w:sz w:val="22"/>
          <w:szCs w:val="22"/>
        </w:rPr>
        <w:t>i</w:t>
      </w:r>
      <w:r w:rsidRPr="00165501">
        <w:rPr>
          <w:rStyle w:val="toptext"/>
          <w:rFonts w:ascii="Helvetica" w:hAnsi="Helvetica" w:cs="Helvetica"/>
          <w:sz w:val="22"/>
          <w:szCs w:val="22"/>
        </w:rPr>
        <w:t>agram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detailing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CRISPR-Cas9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system-based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strategy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GCNT1 and GCNT3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knockout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HT29 CRC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A GCNT1 and GCNT3-specific CRISPR guide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oligo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Style w:val="toptext"/>
          <w:rFonts w:ascii="Helvetica" w:hAnsi="Helvetica" w:cs="Helvetica"/>
          <w:sz w:val="22"/>
          <w:szCs w:val="22"/>
        </w:rPr>
        <w:lastRenderedPageBreak/>
        <w:t>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sequence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designed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to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gramStart"/>
      <w:r w:rsidRPr="00165501">
        <w:rPr>
          <w:rStyle w:val="toptext"/>
          <w:rFonts w:ascii="Helvetica" w:hAnsi="Helvetica" w:cs="Helvetica"/>
          <w:sz w:val="22"/>
          <w:szCs w:val="22"/>
        </w:rPr>
        <w:t>target</w:t>
      </w:r>
      <w:proofErr w:type="gram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third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genes. CRISPR/Cas9-derived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mutations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leaded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to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 stop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codon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(***)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both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alleles</w:t>
      </w:r>
      <w:proofErr w:type="spellEnd"/>
      <w:r w:rsidRPr="00165501" w:rsidDel="000C1578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GCNT1 and GCNT3 genes.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G,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Progression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-free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survival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curves (PFS)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groups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median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survival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each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group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graph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H,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Fonts w:ascii="Helvetica" w:hAnsi="Helvetica" w:cs="Helvetica"/>
          <w:iCs/>
          <w:sz w:val="22"/>
          <w:szCs w:val="22"/>
        </w:rPr>
        <w:t xml:space="preserve">Top,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Waterfall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plot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indicating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best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tumor response.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greater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than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20% (red line)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progressive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disease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(PD).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lower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than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30% (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green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line)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partial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response (PR). Scores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between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these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values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indicate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stabilized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disease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(SD). CR: Complete Response. Bottom,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summary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table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with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number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of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tumors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evaluated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.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>I,</w:t>
      </w:r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Bar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percentage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proliferation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(Ki67-positive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(n= 10). Mean ± SEM.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J,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percentage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mucinous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differentiation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measured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alcian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blue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staining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(n= 10). Mean ± SEM.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K,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proportion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goblet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(MUC2 positive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(n=10). Mean ± SEM. r. u.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units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panels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J 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and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K</w:t>
      </w:r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bookmarkEnd w:id="1"/>
    <w:p w14:paraId="4439A92F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</w:p>
    <w:p w14:paraId="731C4112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Figure7. 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Stroma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remodeling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is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required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for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the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acquisition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of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resistance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to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BRAFi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in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>V600E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CRC.</w:t>
      </w:r>
    </w:p>
    <w:p w14:paraId="1DF936F1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Western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MMP7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(ST)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(EP). GAPDH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loading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pictures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MMP7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immunostaining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ST and EP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Scale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bar, 100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μm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C,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Quantification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percentage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cancer-associated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fibroblasts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(%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CAFs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(n= 6 per PDX). Mean ± SEM. a-SMA: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alpha-smooth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muscle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CAF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specific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marker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p w14:paraId="7CBD8880" w14:textId="042460BC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pictures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α-SMA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immunohistochemical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staining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 in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(M64-N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). </w:t>
      </w:r>
    </w:p>
    <w:p w14:paraId="0E2A853F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10468733" w14:textId="3AB687B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b/>
          <w:bCs/>
          <w:iCs/>
          <w:sz w:val="22"/>
          <w:szCs w:val="22"/>
        </w:rPr>
      </w:pPr>
      <w:bookmarkStart w:id="2" w:name="_Hlk167960878"/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Figure 8. 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MAPK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pathway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inhibition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promotes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signaling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rewiring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in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 xml:space="preserve">V600E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CRC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tumors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>.</w:t>
      </w:r>
    </w:p>
    <w:p w14:paraId="7CBD63AD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iCs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Western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Fonts w:ascii="Helvetica" w:hAnsi="Helvetica" w:cs="Helvetica"/>
          <w:iCs/>
          <w:sz w:val="22"/>
          <w:szCs w:val="22"/>
        </w:rPr>
        <w:t>p-β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Catenin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>, β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Catenin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>, p-ERK, ERK, MMP7, p-GSK3β and GSK3β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HT29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line.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Laminin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B1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Vinculin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were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loading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controls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Representative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pictures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Fonts w:ascii="Helvetica" w:hAnsi="Helvetica" w:cs="Helvetica"/>
          <w:iCs/>
          <w:sz w:val="22"/>
          <w:szCs w:val="22"/>
        </w:rPr>
        <w:t>β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Catenin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at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long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term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(LT) 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Scale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bar, 100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μm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C,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quantification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Wnt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pathway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activation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by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the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percentage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of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cells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positive 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for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 xml:space="preserve"> nuclear β</w:t>
      </w:r>
      <w:proofErr w:type="spellStart"/>
      <w:r w:rsidRPr="00165501">
        <w:rPr>
          <w:rFonts w:ascii="Helvetica" w:hAnsi="Helvetica" w:cs="Helvetica"/>
          <w:iCs/>
          <w:sz w:val="22"/>
          <w:szCs w:val="22"/>
        </w:rPr>
        <w:t>catenin</w:t>
      </w:r>
      <w:proofErr w:type="spellEnd"/>
      <w:r w:rsidRPr="00165501">
        <w:rPr>
          <w:rFonts w:ascii="Helvetica" w:hAnsi="Helvetica" w:cs="Helvetica"/>
          <w:iCs/>
          <w:sz w:val="22"/>
          <w:szCs w:val="22"/>
        </w:rPr>
        <w:t>.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Control ST,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Control EP,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ST,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tLT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tEP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: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EP.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MMP7, OLMF4, DUSP6 and PROM1 in HT29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line,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-PCR (n= 3). Mean ± SEM. *p ≤ 0.05, **p ≤ 0.01, ***p ≤ 0.001, ****p ≤ 0.0001. r. u.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units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panel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</w:t>
      </w:r>
      <w:r w:rsidRPr="00165501">
        <w:rPr>
          <w:rStyle w:val="toptext"/>
          <w:rFonts w:ascii="Helvetica" w:hAnsi="Helvetica" w:cs="Helvetica"/>
          <w:sz w:val="22"/>
          <w:szCs w:val="22"/>
        </w:rPr>
        <w:t>.</w:t>
      </w:r>
    </w:p>
    <w:bookmarkEnd w:id="2"/>
    <w:p w14:paraId="08A5CDE0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5BD7BEC0" w14:textId="77777777" w:rsidR="00F3444C" w:rsidRPr="00165501" w:rsidRDefault="00F3444C" w:rsidP="00165501">
      <w:pPr>
        <w:spacing w:line="360" w:lineRule="auto"/>
        <w:jc w:val="both"/>
        <w:rPr>
          <w:rStyle w:val="toptext"/>
          <w:rFonts w:ascii="Helvetica" w:hAnsi="Helvetica" w:cs="Helvetica"/>
          <w:b/>
          <w:bCs/>
          <w:iCs/>
          <w:sz w:val="22"/>
          <w:szCs w:val="22"/>
        </w:rPr>
      </w:pPr>
      <w:proofErr w:type="spellStart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lastRenderedPageBreak/>
        <w:t>Supplementary</w:t>
      </w:r>
      <w:proofErr w:type="spellEnd"/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>Figure 9.</w:t>
      </w:r>
      <w:r w:rsidRPr="00165501">
        <w:rPr>
          <w:sz w:val="22"/>
          <w:szCs w:val="22"/>
        </w:rPr>
        <w:t xml:space="preserve"> 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BRAFi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therapies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promote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VEGFA </w:t>
      </w:r>
      <w:proofErr w:type="spellStart"/>
      <w:r w:rsidRPr="00165501">
        <w:rPr>
          <w:rFonts w:ascii="Helvetica" w:hAnsi="Helvetica" w:cs="Helvetica"/>
          <w:b/>
          <w:bCs/>
          <w:iCs/>
          <w:sz w:val="22"/>
          <w:szCs w:val="22"/>
        </w:rPr>
        <w:t>secretion</w:t>
      </w:r>
      <w:proofErr w:type="spellEnd"/>
      <w:r w:rsidRPr="00165501">
        <w:rPr>
          <w:rFonts w:ascii="Helvetica" w:hAnsi="Helvetica" w:cs="Helvetica"/>
          <w:b/>
          <w:bCs/>
          <w:iCs/>
          <w:sz w:val="22"/>
          <w:szCs w:val="22"/>
        </w:rPr>
        <w:t xml:space="preserve"> in </w:t>
      </w:r>
      <w:r w:rsidRPr="00165501">
        <w:rPr>
          <w:rFonts w:ascii="Helvetica" w:hAnsi="Helvetica" w:cs="Helvetica"/>
          <w:b/>
          <w:bCs/>
          <w:i/>
          <w:sz w:val="22"/>
          <w:szCs w:val="22"/>
        </w:rPr>
        <w:t>BRAF</w:t>
      </w:r>
      <w:r w:rsidRPr="00165501">
        <w:rPr>
          <w:rFonts w:ascii="Helvetica" w:hAnsi="Helvetica" w:cs="Helvetica"/>
          <w:b/>
          <w:bCs/>
          <w:iCs/>
          <w:sz w:val="22"/>
          <w:szCs w:val="22"/>
          <w:vertAlign w:val="superscript"/>
        </w:rPr>
        <w:t xml:space="preserve">V600E </w:t>
      </w:r>
      <w:r w:rsidRPr="00165501">
        <w:rPr>
          <w:rFonts w:ascii="Helvetica" w:hAnsi="Helvetica" w:cs="Helvetica"/>
          <w:b/>
          <w:bCs/>
          <w:iCs/>
          <w:sz w:val="22"/>
          <w:szCs w:val="22"/>
        </w:rPr>
        <w:t>CRC.</w:t>
      </w:r>
    </w:p>
    <w:p w14:paraId="7EBDA450" w14:textId="77777777" w:rsidR="00F3444C" w:rsidRPr="00165501" w:rsidRDefault="00F3444C" w:rsidP="00165501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Basal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samples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cST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-PCR (n= 3-6). Mean ± SEM.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(ST),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time (LT)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point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(EP),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evaluated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by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qRT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>-PCR (n= 3-6). Mean ± SEM.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 xml:space="preserve"> C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, UMAP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showing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expression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in tumor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based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scRNAseq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results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control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triplet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treated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M64-N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model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D,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Western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subcutaneous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xenografts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at Short Time (ST)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End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Point (EP). GAPDH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loading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E,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Schematic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representation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compartments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a 3D culture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with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embedded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Matrigel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F,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Western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present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supernatant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(SN) and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Matrigel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(M)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fractions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COLO205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line 3D cultures. Ponceau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loading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control.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G,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Western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blot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VEGFA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present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in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spheroid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fraction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of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the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indicated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cell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line in 3D cultures.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Vinculin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was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used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as a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loading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control.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r.u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relative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units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for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proofErr w:type="spellStart"/>
      <w:r w:rsidRPr="00165501">
        <w:rPr>
          <w:rStyle w:val="toptext"/>
          <w:rFonts w:ascii="Helvetica" w:hAnsi="Helvetica" w:cs="Helvetica"/>
          <w:sz w:val="22"/>
          <w:szCs w:val="22"/>
        </w:rPr>
        <w:t>panels</w:t>
      </w:r>
      <w:proofErr w:type="spellEnd"/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A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 and </w:t>
      </w:r>
      <w:r w:rsidRPr="00165501">
        <w:rPr>
          <w:rStyle w:val="toptext"/>
          <w:rFonts w:ascii="Helvetica" w:hAnsi="Helvetica" w:cs="Helvetica"/>
          <w:b/>
          <w:bCs/>
          <w:sz w:val="22"/>
          <w:szCs w:val="22"/>
        </w:rPr>
        <w:t>B</w:t>
      </w:r>
      <w:r w:rsidRPr="00165501">
        <w:rPr>
          <w:rStyle w:val="toptext"/>
          <w:rFonts w:ascii="Helvetica" w:hAnsi="Helvetica" w:cs="Helvetica"/>
          <w:sz w:val="22"/>
          <w:szCs w:val="22"/>
        </w:rPr>
        <w:t xml:space="preserve">. </w:t>
      </w:r>
    </w:p>
    <w:p w14:paraId="703C6729" w14:textId="77777777" w:rsidR="00F3444C" w:rsidRPr="00165501" w:rsidRDefault="00F3444C" w:rsidP="00165501">
      <w:pPr>
        <w:jc w:val="both"/>
        <w:rPr>
          <w:sz w:val="22"/>
          <w:szCs w:val="22"/>
          <w:lang w:val="es-ES_tradnl"/>
        </w:rPr>
      </w:pPr>
    </w:p>
    <w:sectPr w:rsidR="00F3444C" w:rsidRPr="00165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4C"/>
    <w:rsid w:val="00033521"/>
    <w:rsid w:val="00035179"/>
    <w:rsid w:val="00050269"/>
    <w:rsid w:val="00066C8C"/>
    <w:rsid w:val="000855DF"/>
    <w:rsid w:val="000A0E63"/>
    <w:rsid w:val="000C7E49"/>
    <w:rsid w:val="000F6AEB"/>
    <w:rsid w:val="001163F1"/>
    <w:rsid w:val="00154DAC"/>
    <w:rsid w:val="00164F5A"/>
    <w:rsid w:val="00165501"/>
    <w:rsid w:val="001853CB"/>
    <w:rsid w:val="001C3BAE"/>
    <w:rsid w:val="001C60EA"/>
    <w:rsid w:val="001C7D42"/>
    <w:rsid w:val="001F57F3"/>
    <w:rsid w:val="002356D0"/>
    <w:rsid w:val="00314E77"/>
    <w:rsid w:val="003265AD"/>
    <w:rsid w:val="00330713"/>
    <w:rsid w:val="00384F1D"/>
    <w:rsid w:val="003B035D"/>
    <w:rsid w:val="003B1EC0"/>
    <w:rsid w:val="003E0FF8"/>
    <w:rsid w:val="0044202B"/>
    <w:rsid w:val="0046374C"/>
    <w:rsid w:val="00490C47"/>
    <w:rsid w:val="00490DE1"/>
    <w:rsid w:val="00491570"/>
    <w:rsid w:val="004A1F25"/>
    <w:rsid w:val="004E1647"/>
    <w:rsid w:val="00544C00"/>
    <w:rsid w:val="00551643"/>
    <w:rsid w:val="00555482"/>
    <w:rsid w:val="005918F0"/>
    <w:rsid w:val="005A1B79"/>
    <w:rsid w:val="005C4000"/>
    <w:rsid w:val="005F165C"/>
    <w:rsid w:val="0060641A"/>
    <w:rsid w:val="00665CFE"/>
    <w:rsid w:val="006931F6"/>
    <w:rsid w:val="006D29FD"/>
    <w:rsid w:val="006D7CA4"/>
    <w:rsid w:val="006F4607"/>
    <w:rsid w:val="006F7BB3"/>
    <w:rsid w:val="00705A0C"/>
    <w:rsid w:val="00706774"/>
    <w:rsid w:val="0071313C"/>
    <w:rsid w:val="00717ABC"/>
    <w:rsid w:val="00720D57"/>
    <w:rsid w:val="00751F58"/>
    <w:rsid w:val="00770CEE"/>
    <w:rsid w:val="007B3A32"/>
    <w:rsid w:val="007D6A65"/>
    <w:rsid w:val="00815873"/>
    <w:rsid w:val="00826252"/>
    <w:rsid w:val="00831EF8"/>
    <w:rsid w:val="00836B36"/>
    <w:rsid w:val="008401D6"/>
    <w:rsid w:val="008456A3"/>
    <w:rsid w:val="00882F60"/>
    <w:rsid w:val="008C0C5C"/>
    <w:rsid w:val="008C3063"/>
    <w:rsid w:val="008C762F"/>
    <w:rsid w:val="008D516D"/>
    <w:rsid w:val="009216CC"/>
    <w:rsid w:val="00934E73"/>
    <w:rsid w:val="00945134"/>
    <w:rsid w:val="00954527"/>
    <w:rsid w:val="009642A0"/>
    <w:rsid w:val="00972029"/>
    <w:rsid w:val="009A2089"/>
    <w:rsid w:val="00A0096E"/>
    <w:rsid w:val="00A353BC"/>
    <w:rsid w:val="00A3759E"/>
    <w:rsid w:val="00A65253"/>
    <w:rsid w:val="00A70343"/>
    <w:rsid w:val="00A859FE"/>
    <w:rsid w:val="00AA25FE"/>
    <w:rsid w:val="00AB3705"/>
    <w:rsid w:val="00AC4C6F"/>
    <w:rsid w:val="00AD189E"/>
    <w:rsid w:val="00AF1D5E"/>
    <w:rsid w:val="00B102D3"/>
    <w:rsid w:val="00B11C89"/>
    <w:rsid w:val="00B25740"/>
    <w:rsid w:val="00B645BD"/>
    <w:rsid w:val="00B71C9F"/>
    <w:rsid w:val="00BA50E1"/>
    <w:rsid w:val="00BB0AAF"/>
    <w:rsid w:val="00BD0CFF"/>
    <w:rsid w:val="00BD10B3"/>
    <w:rsid w:val="00BD63A0"/>
    <w:rsid w:val="00C72E8C"/>
    <w:rsid w:val="00C9144C"/>
    <w:rsid w:val="00C9597E"/>
    <w:rsid w:val="00CB68C6"/>
    <w:rsid w:val="00CD5FBB"/>
    <w:rsid w:val="00CF74C4"/>
    <w:rsid w:val="00D00B0E"/>
    <w:rsid w:val="00D12ECE"/>
    <w:rsid w:val="00D170BC"/>
    <w:rsid w:val="00D35EAB"/>
    <w:rsid w:val="00D375F2"/>
    <w:rsid w:val="00D5094B"/>
    <w:rsid w:val="00D92976"/>
    <w:rsid w:val="00DA5C4E"/>
    <w:rsid w:val="00DA7399"/>
    <w:rsid w:val="00DC0BDD"/>
    <w:rsid w:val="00DC3532"/>
    <w:rsid w:val="00DE18D8"/>
    <w:rsid w:val="00E164DA"/>
    <w:rsid w:val="00E16D52"/>
    <w:rsid w:val="00E1710B"/>
    <w:rsid w:val="00E24D01"/>
    <w:rsid w:val="00E3500D"/>
    <w:rsid w:val="00E51F01"/>
    <w:rsid w:val="00E53837"/>
    <w:rsid w:val="00E57405"/>
    <w:rsid w:val="00E6552C"/>
    <w:rsid w:val="00E96788"/>
    <w:rsid w:val="00EA7C4A"/>
    <w:rsid w:val="00EC6FE3"/>
    <w:rsid w:val="00EE74B8"/>
    <w:rsid w:val="00EF2431"/>
    <w:rsid w:val="00F07F82"/>
    <w:rsid w:val="00F3444C"/>
    <w:rsid w:val="00F5473F"/>
    <w:rsid w:val="00F73D7D"/>
    <w:rsid w:val="00F754F2"/>
    <w:rsid w:val="00FD107F"/>
    <w:rsid w:val="00FE5519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3314A"/>
  <w15:chartTrackingRefBased/>
  <w15:docId w15:val="{DFD36250-3924-5949-8F12-5A489BD1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4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4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4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4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4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4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4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44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4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4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44C"/>
    <w:rPr>
      <w:b/>
      <w:bCs/>
      <w:smallCaps/>
      <w:color w:val="0F4761" w:themeColor="accent1" w:themeShade="BF"/>
      <w:spacing w:val="5"/>
    </w:rPr>
  </w:style>
  <w:style w:type="character" w:customStyle="1" w:styleId="toptext">
    <w:name w:val="top__text"/>
    <w:basedOn w:val="Fuentedeprrafopredeter"/>
    <w:rsid w:val="00F3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1321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GARCIA,HG HECTOR</dc:creator>
  <cp:keywords/>
  <dc:description/>
  <cp:lastModifiedBy>GARCIA,HG HECTOR</cp:lastModifiedBy>
  <cp:revision>3</cp:revision>
  <dcterms:created xsi:type="dcterms:W3CDTF">2025-03-22T12:12:00Z</dcterms:created>
  <dcterms:modified xsi:type="dcterms:W3CDTF">2025-05-26T16:13:00Z</dcterms:modified>
</cp:coreProperties>
</file>