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474" w:rsidRPr="002F6E46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before="100" w:after="100" w:line="480" w:lineRule="auto"/>
        <w:ind w:right="-576"/>
        <w:rPr>
          <w:rFonts w:ascii="Times New Roman" w:eastAsia="Helvetica Neue" w:hAnsi="Times New Roman" w:cs="Times New Roman"/>
          <w:color w:val="000000" w:themeColor="text1"/>
          <w:sz w:val="20"/>
          <w:szCs w:val="20"/>
        </w:rPr>
      </w:pPr>
      <w:r w:rsidRPr="002F6E46">
        <w:rPr>
          <w:rFonts w:ascii="Times New Roman" w:eastAsia="Helvetica Neue" w:hAnsi="Times New Roman" w:cs="Times New Roman"/>
          <w:b/>
          <w:color w:val="000000" w:themeColor="text1"/>
          <w:sz w:val="20"/>
          <w:szCs w:val="20"/>
        </w:rPr>
        <w:t>Table S</w:t>
      </w:r>
      <w:r>
        <w:rPr>
          <w:rFonts w:ascii="Times New Roman" w:eastAsia="Helvetica Neue" w:hAnsi="Times New Roman" w:cs="Times New Roman"/>
          <w:b/>
          <w:color w:val="000000" w:themeColor="text1"/>
          <w:sz w:val="20"/>
          <w:szCs w:val="20"/>
        </w:rPr>
        <w:t>1</w:t>
      </w:r>
      <w:r w:rsidRPr="002F6E46">
        <w:rPr>
          <w:rFonts w:ascii="Times New Roman" w:eastAsia="Helvetica Neue" w:hAnsi="Times New Roman" w:cs="Times New Roman"/>
          <w:b/>
          <w:color w:val="000000" w:themeColor="text1"/>
          <w:sz w:val="20"/>
          <w:szCs w:val="20"/>
        </w:rPr>
        <w:t xml:space="preserve">. </w:t>
      </w:r>
      <w:r w:rsidRPr="002F6E46">
        <w:rPr>
          <w:rFonts w:ascii="Times New Roman" w:eastAsia="Helvetica Neue" w:hAnsi="Times New Roman" w:cs="Times New Roman"/>
          <w:color w:val="000000" w:themeColor="text1"/>
          <w:sz w:val="20"/>
          <w:szCs w:val="20"/>
        </w:rPr>
        <w:t>The Specificity of RBD IgG ELISA among pre-COVID-19 pandemic sera (n=365)</w:t>
      </w:r>
    </w:p>
    <w:tbl>
      <w:tblPr>
        <w:tblStyle w:val="LightShading-Accent5"/>
        <w:tblW w:w="9288" w:type="dxa"/>
        <w:tblLayout w:type="fixed"/>
        <w:tblLook w:val="04A0" w:firstRow="1" w:lastRow="0" w:firstColumn="1" w:lastColumn="0" w:noHBand="0" w:noVBand="1"/>
      </w:tblPr>
      <w:tblGrid>
        <w:gridCol w:w="3168"/>
        <w:gridCol w:w="2250"/>
        <w:gridCol w:w="1080"/>
        <w:gridCol w:w="1620"/>
        <w:gridCol w:w="1170"/>
      </w:tblGrid>
      <w:tr w:rsidR="005B0474" w:rsidRPr="002F6E46" w:rsidTr="00D138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Negative Samples</w:t>
            </w:r>
          </w:p>
        </w:tc>
        <w:tc>
          <w:tcPr>
            <w:tcW w:w="225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number tested</w:t>
            </w:r>
          </w:p>
        </w:tc>
        <w:tc>
          <w:tcPr>
            <w:tcW w:w="108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162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Specificity (%)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Pre-COVID-19 pandemic sera</w:t>
            </w:r>
          </w:p>
        </w:tc>
        <w:tc>
          <w:tcPr>
            <w:tcW w:w="225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364</w:t>
            </w:r>
          </w:p>
        </w:tc>
        <w:tc>
          <w:tcPr>
            <w:tcW w:w="108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162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97.7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95.6-99.0</w:t>
            </w:r>
          </w:p>
        </w:tc>
      </w:tr>
      <w:tr w:rsidR="005B0474" w:rsidRPr="002F6E46" w:rsidTr="00D138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NIBS UK adults pooled plasma</w:t>
            </w:r>
          </w:p>
        </w:tc>
        <w:tc>
          <w:tcPr>
            <w:tcW w:w="225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2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25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</w:t>
            </w:r>
          </w:p>
        </w:tc>
        <w:tc>
          <w:tcPr>
            <w:tcW w:w="108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351</w:t>
            </w:r>
          </w:p>
        </w:tc>
        <w:tc>
          <w:tcPr>
            <w:tcW w:w="162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97.7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95.6-99.0</w:t>
            </w:r>
          </w:p>
        </w:tc>
      </w:tr>
    </w:tbl>
    <w:p w:rsidR="005B0474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B0474" w:rsidRPr="002F6E46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before="100" w:after="100" w:line="480" w:lineRule="auto"/>
        <w:ind w:right="-576"/>
        <w:rPr>
          <w:rFonts w:ascii="Times New Roman" w:eastAsia="Helvetica Neue" w:hAnsi="Times New Roman" w:cs="Times New Roman"/>
          <w:color w:val="000000"/>
          <w:sz w:val="20"/>
          <w:szCs w:val="20"/>
        </w:rPr>
      </w:pPr>
      <w:r w:rsidRPr="002F6E46">
        <w:rPr>
          <w:rFonts w:ascii="Times New Roman" w:eastAsia="Helvetica Neue" w:hAnsi="Times New Roman" w:cs="Times New Roman"/>
          <w:b/>
          <w:color w:val="000000"/>
          <w:sz w:val="20"/>
          <w:szCs w:val="20"/>
        </w:rPr>
        <w:t>Table S</w:t>
      </w:r>
      <w:r>
        <w:rPr>
          <w:rFonts w:ascii="Times New Roman" w:eastAsia="Helvetica Neue" w:hAnsi="Times New Roman" w:cs="Times New Roman"/>
          <w:b/>
          <w:color w:val="000000"/>
          <w:sz w:val="20"/>
          <w:szCs w:val="20"/>
        </w:rPr>
        <w:t>2</w:t>
      </w:r>
      <w:r w:rsidRPr="002F6E46">
        <w:rPr>
          <w:rFonts w:ascii="Times New Roman" w:eastAsia="Helvetica Neue" w:hAnsi="Times New Roman" w:cs="Times New Roman"/>
          <w:b/>
          <w:color w:val="000000"/>
          <w:sz w:val="20"/>
          <w:szCs w:val="20"/>
        </w:rPr>
        <w:t>.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</w:rPr>
        <w:t xml:space="preserve"> Sensitivity of RBD IgG ELISA among cohort COVID-19 patients (n=405) confirmed by RT-PCR. </w:t>
      </w:r>
    </w:p>
    <w:tbl>
      <w:tblPr>
        <w:tblStyle w:val="LightShading-Accent5"/>
        <w:tblW w:w="9288" w:type="dxa"/>
        <w:tblLook w:val="04A0" w:firstRow="1" w:lastRow="0" w:firstColumn="1" w:lastColumn="0" w:noHBand="0" w:noVBand="1"/>
      </w:tblPr>
      <w:tblGrid>
        <w:gridCol w:w="3078"/>
        <w:gridCol w:w="1800"/>
        <w:gridCol w:w="1260"/>
        <w:gridCol w:w="1710"/>
        <w:gridCol w:w="1440"/>
      </w:tblGrid>
      <w:tr w:rsidR="005B0474" w:rsidRPr="002F6E46" w:rsidTr="00D138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Sample collection</w:t>
            </w:r>
          </w:p>
        </w:tc>
        <w:tc>
          <w:tcPr>
            <w:tcW w:w="180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 N Tested</w:t>
            </w:r>
          </w:p>
        </w:tc>
        <w:tc>
          <w:tcPr>
            <w:tcW w:w="126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171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Sensitivity (%)</w:t>
            </w:r>
          </w:p>
        </w:tc>
        <w:tc>
          <w:tcPr>
            <w:tcW w:w="144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1-7dps</w:t>
            </w:r>
          </w:p>
        </w:tc>
        <w:tc>
          <w:tcPr>
            <w:tcW w:w="180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6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</w:t>
            </w:r>
          </w:p>
        </w:tc>
        <w:tc>
          <w:tcPr>
            <w:tcW w:w="171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67.3</w:t>
            </w:r>
          </w:p>
        </w:tc>
        <w:tc>
          <w:tcPr>
            <w:tcW w:w="144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</w:t>
            </w: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5B0474" w:rsidRPr="002F6E46" w:rsidTr="00D138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8-14dps</w:t>
            </w:r>
          </w:p>
        </w:tc>
        <w:tc>
          <w:tcPr>
            <w:tcW w:w="180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26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71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75.0</w:t>
            </w:r>
          </w:p>
        </w:tc>
        <w:tc>
          <w:tcPr>
            <w:tcW w:w="144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61.0-86.0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15-21dps</w:t>
            </w:r>
          </w:p>
        </w:tc>
        <w:tc>
          <w:tcPr>
            <w:tcW w:w="180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26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71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100.0</w:t>
            </w:r>
          </w:p>
        </w:tc>
        <w:tc>
          <w:tcPr>
            <w:tcW w:w="144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75.29-100.0</w:t>
            </w:r>
          </w:p>
        </w:tc>
      </w:tr>
      <w:tr w:rsidR="005B0474" w:rsidRPr="002F6E46" w:rsidTr="00D138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NIBSC UK COVID-19 convalescent plasma</w:t>
            </w:r>
          </w:p>
        </w:tc>
        <w:tc>
          <w:tcPr>
            <w:tcW w:w="180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71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100.0</w:t>
            </w:r>
          </w:p>
        </w:tc>
        <w:tc>
          <w:tcPr>
            <w:tcW w:w="144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Total Convalescent samples s</w:t>
            </w:r>
          </w:p>
        </w:tc>
        <w:tc>
          <w:tcPr>
            <w:tcW w:w="180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6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71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100.0</w:t>
            </w:r>
          </w:p>
        </w:tc>
        <w:tc>
          <w:tcPr>
            <w:tcW w:w="144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84.2-100</w:t>
            </w:r>
          </w:p>
        </w:tc>
      </w:tr>
    </w:tbl>
    <w:p w:rsidR="005B0474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B0474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B0474" w:rsidRPr="002F6E46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2F6E46">
        <w:rPr>
          <w:rFonts w:ascii="Times New Roman" w:hAnsi="Times New Roman" w:cs="Times New Roman"/>
          <w:b/>
          <w:color w:val="000000"/>
          <w:sz w:val="20"/>
          <w:szCs w:val="20"/>
        </w:rPr>
        <w:t>Table S3. Percentage of positive specimens (n=40) from patients who tested positive for SARS-CoV-2 by DAAn RT–PCR</w:t>
      </w:r>
    </w:p>
    <w:tbl>
      <w:tblPr>
        <w:tblStyle w:val="LightShading-Accent5"/>
        <w:tblW w:w="0" w:type="auto"/>
        <w:tblLayout w:type="fixed"/>
        <w:tblLook w:val="04A0" w:firstRow="1" w:lastRow="0" w:firstColumn="1" w:lastColumn="0" w:noHBand="0" w:noVBand="1"/>
      </w:tblPr>
      <w:tblGrid>
        <w:gridCol w:w="1638"/>
        <w:gridCol w:w="1350"/>
        <w:gridCol w:w="810"/>
        <w:gridCol w:w="1350"/>
        <w:gridCol w:w="900"/>
        <w:gridCol w:w="1170"/>
        <w:gridCol w:w="909"/>
        <w:gridCol w:w="1449"/>
      </w:tblGrid>
      <w:tr w:rsidR="005B0474" w:rsidRPr="002F6E46" w:rsidTr="00D138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Assay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Sample collection</w:t>
            </w:r>
          </w:p>
        </w:tc>
        <w:tc>
          <w:tcPr>
            <w:tcW w:w="2160" w:type="dxa"/>
            <w:gridSpan w:val="2"/>
          </w:tcPr>
          <w:p w:rsidR="005B0474" w:rsidRPr="002F6E46" w:rsidRDefault="005B0474" w:rsidP="00D138ED">
            <w:pPr>
              <w:tabs>
                <w:tab w:val="left" w:pos="864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IgM</w:t>
            </w:r>
          </w:p>
        </w:tc>
        <w:tc>
          <w:tcPr>
            <w:tcW w:w="2070" w:type="dxa"/>
            <w:gridSpan w:val="2"/>
          </w:tcPr>
          <w:p w:rsidR="005B0474" w:rsidRPr="002F6E46" w:rsidRDefault="005B0474" w:rsidP="00D13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IgG</w:t>
            </w:r>
          </w:p>
        </w:tc>
        <w:tc>
          <w:tcPr>
            <w:tcW w:w="2358" w:type="dxa"/>
            <w:gridSpan w:val="2"/>
          </w:tcPr>
          <w:p w:rsidR="005B0474" w:rsidRPr="002F6E46" w:rsidRDefault="005B0474" w:rsidP="00D13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Pan igs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95%</w:t>
            </w:r>
          </w:p>
        </w:tc>
      </w:tr>
      <w:tr w:rsidR="005B0474" w:rsidRPr="002F6E46" w:rsidTr="00D138ED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</w:pPr>
            <w:r w:rsidRPr="002F6E46"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  <w:t>In-house ELISA</w:t>
            </w:r>
            <w:r w:rsidRPr="002F6E46"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1-7 dps</w:t>
            </w: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73.3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44.9- 92.2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5B0474" w:rsidRPr="002F6E46" w:rsidTr="00D138ED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8-14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86.7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59.5- 98.3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14-21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69.1-100.0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5B0474" w:rsidRPr="002F6E46" w:rsidTr="00D138ED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  <w:t>Wantai ELISA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1-7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38.</w:t>
            </w: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4</w:t>
            </w: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-88.</w:t>
            </w: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5B0474" w:rsidRPr="002F6E46" w:rsidTr="00D138ED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8-14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86.7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59.5- 98.3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14-21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na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69.</w:t>
            </w: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2</w:t>
            </w: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-100.0</w:t>
            </w:r>
          </w:p>
        </w:tc>
      </w:tr>
      <w:tr w:rsidR="005B0474" w:rsidRPr="002F6E46" w:rsidTr="00D138ED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</w:pPr>
            <w:r w:rsidRPr="002F6E46"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  <w:t>REALY LFA</w:t>
            </w:r>
            <w:r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1-7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80.0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51.9- 95.7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80.0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51.9- 95.7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5B0474" w:rsidRPr="002F6E46" w:rsidTr="00D138ED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8-14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86.7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59.5- 98.3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80.0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51.9- 95.7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5B0474" w:rsidRPr="002F6E46" w:rsidRDefault="005B0474" w:rsidP="00D138ED">
            <w:pPr>
              <w:spacing w:line="360" w:lineRule="auto"/>
              <w:rPr>
                <w:rFonts w:ascii="Times New Roman" w:eastAsia="Helvetica Neue" w:hAnsi="Times New Roman" w:cs="Times New Roman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15-28 dps</w:t>
            </w:r>
          </w:p>
        </w:tc>
        <w:tc>
          <w:tcPr>
            <w:tcW w:w="81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90.0</w:t>
            </w:r>
          </w:p>
        </w:tc>
        <w:tc>
          <w:tcPr>
            <w:tcW w:w="135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55.5-99</w:t>
            </w: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.0</w:t>
            </w: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90.0</w:t>
            </w:r>
          </w:p>
        </w:tc>
        <w:tc>
          <w:tcPr>
            <w:tcW w:w="1170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55.5-99.</w:t>
            </w: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9" w:type="dxa"/>
          </w:tcPr>
          <w:p w:rsidR="005B0474" w:rsidRPr="002F6E46" w:rsidRDefault="005B0474" w:rsidP="00D13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</w:tbl>
    <w:p w:rsidR="005B0474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Helvetica Neue" w:hAnsi="Times New Roman" w:cs="Times New Roman"/>
          <w:b/>
          <w:color w:val="000000"/>
          <w:sz w:val="20"/>
          <w:szCs w:val="20"/>
        </w:rPr>
      </w:pPr>
      <w:r w:rsidRPr="000B4FD2">
        <w:rPr>
          <w:rFonts w:ascii="Times New Roman" w:hAnsi="Times New Roman" w:cs="Times New Roman"/>
          <w:vertAlign w:val="superscript"/>
        </w:rPr>
        <w:t>a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</w:rPr>
        <w:t>dps</w:t>
      </w:r>
      <w:r>
        <w:rPr>
          <w:rFonts w:ascii="Times New Roman" w:eastAsia="Helvetica Neue" w:hAnsi="Times New Roman" w:cs="Times New Roman"/>
          <w:color w:val="000000"/>
          <w:sz w:val="20"/>
          <w:szCs w:val="20"/>
        </w:rPr>
        <w:t>=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</w:rPr>
        <w:t xml:space="preserve">days post symptoms; 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  <w:vertAlign w:val="superscript"/>
        </w:rPr>
        <w:t>a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</w:rPr>
        <w:t xml:space="preserve"> ELISA=Enzyme-Linked Immunosorbent Assay; </w:t>
      </w:r>
      <w:r w:rsidRPr="000B4FD2">
        <w:rPr>
          <w:rFonts w:ascii="Times New Roman" w:eastAsia="Helvetica Neue" w:hAnsi="Times New Roman" w:cs="Times New Roman"/>
          <w:color w:val="000000"/>
          <w:sz w:val="20"/>
          <w:szCs w:val="20"/>
          <w:vertAlign w:val="superscript"/>
        </w:rPr>
        <w:t>b</w:t>
      </w:r>
      <w:r>
        <w:rPr>
          <w:rFonts w:ascii="Times New Roman" w:eastAsia="Helvetica Neue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eastAsia="Helvetica Neue" w:hAnsi="Times New Roman" w:cs="Times New Roman"/>
          <w:color w:val="000000"/>
          <w:sz w:val="20"/>
          <w:szCs w:val="20"/>
        </w:rPr>
        <w:t>na=not applicable;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  <w:vertAlign w:val="superscript"/>
        </w:rPr>
        <w:t>b</w:t>
      </w:r>
      <w:r>
        <w:rPr>
          <w:rFonts w:ascii="Times New Roman" w:eastAsia="Helvetica Neue" w:hAnsi="Times New Roman" w:cs="Times New Roman"/>
          <w:color w:val="000000"/>
          <w:sz w:val="20"/>
          <w:szCs w:val="20"/>
          <w:vertAlign w:val="superscript"/>
        </w:rPr>
        <w:t>c</w:t>
      </w:r>
      <w:r w:rsidRPr="002F6E46">
        <w:rPr>
          <w:rFonts w:ascii="Times New Roman" w:eastAsia="Helvetica Neue" w:hAnsi="Times New Roman" w:cs="Times New Roman"/>
          <w:color w:val="000000"/>
          <w:sz w:val="20"/>
          <w:szCs w:val="20"/>
        </w:rPr>
        <w:t xml:space="preserve"> LFA=Lateral Flow Assay</w:t>
      </w:r>
      <w:bookmarkStart w:id="0" w:name="_GoBack"/>
      <w:bookmarkEnd w:id="0"/>
    </w:p>
    <w:p w:rsidR="005B0474" w:rsidRPr="002F6E46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Helvetica Neue" w:hAnsi="Times New Roman" w:cs="Times New Roman"/>
          <w:b/>
          <w:color w:val="000000"/>
          <w:sz w:val="20"/>
          <w:szCs w:val="20"/>
        </w:rPr>
      </w:pPr>
      <w:r w:rsidRPr="002F6E46">
        <w:rPr>
          <w:rFonts w:ascii="Times New Roman" w:eastAsia="Helvetica Neue" w:hAnsi="Times New Roman" w:cs="Times New Roman"/>
          <w:b/>
          <w:color w:val="000000"/>
          <w:sz w:val="20"/>
          <w:szCs w:val="20"/>
        </w:rPr>
        <w:t>Table S4. Specificity of RBD IgG ELISA in pre-covid plasma/serum specimens (n=40) collected before COVID-19 pandemic</w:t>
      </w:r>
    </w:p>
    <w:tbl>
      <w:tblPr>
        <w:tblStyle w:val="LightShading-Accent5"/>
        <w:tblW w:w="8028" w:type="dxa"/>
        <w:tblLook w:val="04A0" w:firstRow="1" w:lastRow="0" w:firstColumn="1" w:lastColumn="0" w:noHBand="0" w:noVBand="1"/>
      </w:tblPr>
      <w:tblGrid>
        <w:gridCol w:w="2448"/>
        <w:gridCol w:w="2430"/>
        <w:gridCol w:w="3150"/>
      </w:tblGrid>
      <w:tr w:rsidR="005B0474" w:rsidRPr="002F6E46" w:rsidTr="00D138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Assay</w:t>
            </w:r>
          </w:p>
        </w:tc>
        <w:tc>
          <w:tcPr>
            <w:tcW w:w="243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Specificity (%)</w:t>
            </w:r>
          </w:p>
        </w:tc>
        <w:tc>
          <w:tcPr>
            <w:tcW w:w="3150" w:type="dxa"/>
          </w:tcPr>
          <w:p w:rsidR="005B0474" w:rsidRPr="002F6E46" w:rsidRDefault="005B0474" w:rsidP="00D138E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In-house ELISA</w:t>
            </w:r>
          </w:p>
        </w:tc>
        <w:tc>
          <w:tcPr>
            <w:tcW w:w="243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97.5</w:t>
            </w:r>
          </w:p>
        </w:tc>
        <w:tc>
          <w:tcPr>
            <w:tcW w:w="315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86.8- 99.9</w:t>
            </w:r>
          </w:p>
        </w:tc>
      </w:tr>
      <w:tr w:rsidR="005B0474" w:rsidRPr="002F6E46" w:rsidTr="00D138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Wantai ELISA</w:t>
            </w:r>
          </w:p>
        </w:tc>
        <w:tc>
          <w:tcPr>
            <w:tcW w:w="243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3150" w:type="dxa"/>
          </w:tcPr>
          <w:p w:rsidR="005B0474" w:rsidRPr="002F6E46" w:rsidRDefault="005B0474" w:rsidP="00D138E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89.72-100.0</w:t>
            </w:r>
          </w:p>
        </w:tc>
      </w:tr>
      <w:tr w:rsidR="005B0474" w:rsidRPr="002F6E46" w:rsidTr="00D13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5B0474" w:rsidRPr="002F6E46" w:rsidRDefault="005B0474" w:rsidP="00D138ED">
            <w:pP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2F6E46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Realty LFA</w:t>
            </w:r>
          </w:p>
        </w:tc>
        <w:tc>
          <w:tcPr>
            <w:tcW w:w="243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b/>
                <w:color w:val="000000"/>
                <w:sz w:val="20"/>
                <w:szCs w:val="20"/>
              </w:rPr>
              <w:t>92.5</w:t>
            </w:r>
          </w:p>
        </w:tc>
        <w:tc>
          <w:tcPr>
            <w:tcW w:w="3150" w:type="dxa"/>
          </w:tcPr>
          <w:p w:rsidR="005B0474" w:rsidRPr="002F6E46" w:rsidRDefault="005B0474" w:rsidP="00D138E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6E46">
              <w:rPr>
                <w:rFonts w:ascii="Times New Roman" w:eastAsia="Helvetica Neue" w:hAnsi="Times New Roman" w:cs="Times New Roman"/>
                <w:color w:val="000000"/>
                <w:sz w:val="20"/>
                <w:szCs w:val="20"/>
              </w:rPr>
              <w:t>79.6-98.4</w:t>
            </w:r>
          </w:p>
        </w:tc>
      </w:tr>
    </w:tbl>
    <w:p w:rsidR="005B0474" w:rsidRPr="002F6E46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5B0474" w:rsidRPr="00A02D94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02D94">
        <w:rPr>
          <w:rFonts w:ascii="Times New Roman" w:hAnsi="Times New Roman" w:cs="Times New Roman"/>
          <w:b/>
          <w:color w:val="000000"/>
          <w:sz w:val="20"/>
          <w:szCs w:val="20"/>
        </w:rPr>
        <w:t>Supplementary Method</w:t>
      </w:r>
    </w:p>
    <w:p w:rsidR="005B0474" w:rsidRPr="00E308F6" w:rsidRDefault="005B0474" w:rsidP="005B04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Microtiter plates were coated with </w:t>
      </w:r>
      <w:r>
        <w:rPr>
          <w:rFonts w:ascii="Times New Roman" w:hAnsi="Times New Roman" w:cs="Times New Roman"/>
          <w:color w:val="000000"/>
          <w:sz w:val="20"/>
          <w:szCs w:val="20"/>
        </w:rPr>
        <w:t>purified recombinant proteins of receptor binding domain of the spike protein of SARS-CoV-2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(100 μl/well) diluted in </w:t>
      </w:r>
      <w:r>
        <w:rPr>
          <w:rFonts w:ascii="Times New Roman" w:hAnsi="Times New Roman" w:cs="Times New Roman"/>
          <w:color w:val="000000"/>
          <w:sz w:val="20"/>
          <w:szCs w:val="20"/>
        </w:rPr>
        <w:t>phosphate buffered saline, PBS (pH 7.4) at concentration 1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μg/mL and incubated overnight at 4 °C. Next day, excess unbound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antigen 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was removed and thereafter </w:t>
      </w:r>
      <w:r>
        <w:rPr>
          <w:rFonts w:ascii="Times New Roman" w:hAnsi="Times New Roman" w:cs="Times New Roman"/>
          <w:color w:val="000000"/>
          <w:sz w:val="20"/>
          <w:szCs w:val="20"/>
        </w:rPr>
        <w:t>microtiter plates were blocked with 300 μl/well of 4% skimmed milk with PBS plus 0.1% Teween-20 (w/v) for 2 hours at room temperature (RT).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Following blocking step, 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>micro</w:t>
      </w:r>
      <w:r>
        <w:rPr>
          <w:rFonts w:ascii="Times New Roman" w:hAnsi="Times New Roman" w:cs="Times New Roman"/>
          <w:color w:val="000000"/>
          <w:sz w:val="20"/>
          <w:szCs w:val="20"/>
        </w:rPr>
        <w:t>titer plates washed 3X with PBS plus 0.05% Tween-20 (PBST)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and </w:t>
      </w:r>
      <w:r>
        <w:rPr>
          <w:rFonts w:ascii="Times New Roman" w:hAnsi="Times New Roman" w:cs="Times New Roman"/>
          <w:color w:val="000000"/>
          <w:sz w:val="20"/>
          <w:szCs w:val="20"/>
        </w:rPr>
        <w:t>thereafter 100 μl/ml of serum sample diluted at 1:200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in blocking buffer was added and incubated at RT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for 60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min. Following incubation and 5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>X washes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with PBST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>, 100 μl/well of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horseradish peroxidase-conjugated anti-human immunoglublunin G (IgG) (</w:t>
      </w:r>
      <w:r w:rsidRPr="001A2198">
        <w:rPr>
          <w:rFonts w:ascii="Times New Roman" w:hAnsi="Times New Roman" w:cs="Times New Roman"/>
          <w:color w:val="000000"/>
          <w:sz w:val="20"/>
          <w:szCs w:val="20"/>
        </w:rPr>
        <w:t>Invitrogen, USA</w:t>
      </w:r>
      <w:r>
        <w:rPr>
          <w:rFonts w:ascii="Times New Roman" w:hAnsi="Times New Roman" w:cs="Times New Roman"/>
          <w:color w:val="000000"/>
          <w:sz w:val="20"/>
          <w:szCs w:val="20"/>
        </w:rPr>
        <w:t>) diluted at 1:5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000 </w:t>
      </w:r>
      <w:r>
        <w:rPr>
          <w:rFonts w:ascii="Times New Roman" w:hAnsi="Times New Roman" w:cs="Times New Roman"/>
          <w:color w:val="000000"/>
          <w:sz w:val="20"/>
          <w:szCs w:val="20"/>
        </w:rPr>
        <w:t>in blocking buffer was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adde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 and incubated for 1 h at RT. 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>After 5X washes, the react</w:t>
      </w:r>
      <w:r>
        <w:rPr>
          <w:rFonts w:ascii="Times New Roman" w:hAnsi="Times New Roman" w:cs="Times New Roman"/>
          <w:color w:val="000000"/>
          <w:sz w:val="20"/>
          <w:szCs w:val="20"/>
        </w:rPr>
        <w:t>ion was visualized by adding 75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μl/well </w:t>
      </w:r>
      <w:r w:rsidRPr="00804631">
        <w:rPr>
          <w:rFonts w:ascii="Times New Roman" w:hAnsi="Times New Roman" w:cs="Times New Roman"/>
          <w:color w:val="000000"/>
          <w:sz w:val="20"/>
          <w:szCs w:val="20"/>
        </w:rPr>
        <w:t>3,3_,5,5_-Tetramethylbenzidine (TMB) liquid substrate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(BioRad, USA) 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and incubating at RT in the dark for </w:t>
      </w:r>
      <w:r>
        <w:rPr>
          <w:rFonts w:ascii="Times New Roman" w:hAnsi="Times New Roman" w:cs="Times New Roman"/>
          <w:color w:val="000000"/>
          <w:sz w:val="20"/>
          <w:szCs w:val="20"/>
        </w:rPr>
        <w:t>10-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>15 min. The re</w:t>
      </w:r>
      <w:r>
        <w:rPr>
          <w:rFonts w:ascii="Times New Roman" w:hAnsi="Times New Roman" w:cs="Times New Roman"/>
          <w:color w:val="000000"/>
          <w:sz w:val="20"/>
          <w:szCs w:val="20"/>
        </w:rPr>
        <w:t>action was then stopped with 75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μl/well TMB stop solution. The optical density (OD) was me</w:t>
      </w:r>
      <w:r>
        <w:rPr>
          <w:rFonts w:ascii="Times New Roman" w:hAnsi="Times New Roman" w:cs="Times New Roman"/>
          <w:color w:val="000000"/>
          <w:sz w:val="20"/>
          <w:szCs w:val="20"/>
        </w:rPr>
        <w:t>asured at 450 nm filter on ELISA LT-45000</w:t>
      </w:r>
      <w:r w:rsidRPr="00CA3653">
        <w:rPr>
          <w:rFonts w:ascii="Times New Roman" w:hAnsi="Times New Roman" w:cs="Times New Roman"/>
          <w:color w:val="000000"/>
          <w:sz w:val="20"/>
          <w:szCs w:val="20"/>
        </w:rPr>
        <w:t xml:space="preserve"> microplate reader. Each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sample was tested in duplicate.</w:t>
      </w:r>
    </w:p>
    <w:p w:rsidR="00796AB3" w:rsidRDefault="005B0474"/>
    <w:sectPr w:rsidR="00796AB3" w:rsidSect="003C15E6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Helvetica Neue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03118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838AA" w:rsidRDefault="005B047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838AA" w:rsidRDefault="005B047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474"/>
    <w:rsid w:val="005B0474"/>
    <w:rsid w:val="005D5836"/>
    <w:rsid w:val="00C8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47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B04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474"/>
  </w:style>
  <w:style w:type="table" w:styleId="LightShading-Accent5">
    <w:name w:val="Light Shading Accent 5"/>
    <w:basedOn w:val="TableNormal"/>
    <w:uiPriority w:val="60"/>
    <w:rsid w:val="005B0474"/>
    <w:pPr>
      <w:spacing w:after="0" w:line="240" w:lineRule="auto"/>
    </w:pPr>
    <w:rPr>
      <w:rFonts w:ascii="Calibri" w:eastAsia="Calibri" w:hAnsi="Calibri" w:cs="Calibri"/>
      <w:color w:val="31849B" w:themeColor="accent5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B04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47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B04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474"/>
  </w:style>
  <w:style w:type="table" w:styleId="LightShading-Accent5">
    <w:name w:val="Light Shading Accent 5"/>
    <w:basedOn w:val="TableNormal"/>
    <w:uiPriority w:val="60"/>
    <w:rsid w:val="005B0474"/>
    <w:pPr>
      <w:spacing w:after="0" w:line="240" w:lineRule="auto"/>
    </w:pPr>
    <w:rPr>
      <w:rFonts w:ascii="Calibri" w:eastAsia="Calibri" w:hAnsi="Calibri" w:cs="Calibri"/>
      <w:color w:val="31849B" w:themeColor="accent5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B0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4688A-AF98-45E5-8ECB-DC6FF9B87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2021-07-01T06:10:00Z</dcterms:created>
  <dcterms:modified xsi:type="dcterms:W3CDTF">2021-07-01T06:13:00Z</dcterms:modified>
</cp:coreProperties>
</file>