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EFF4A28" w14:textId="365449D3" w:rsidR="00134F21" w:rsidRDefault="003929BD" w:rsidP="00134F21">
      <w:pPr>
        <w:rPr>
          <w:rFonts w:cstheme="minorHAnsi"/>
          <w:b/>
          <w:sz w:val="20"/>
          <w:szCs w:val="20"/>
        </w:rPr>
      </w:pPr>
      <w:r>
        <w:rPr>
          <w:rFonts w:cstheme="minorHAnsi"/>
          <w:b/>
          <w:sz w:val="20"/>
          <w:szCs w:val="20"/>
        </w:rPr>
        <w:t>SUPPLEMENTAL DATA</w:t>
      </w:r>
    </w:p>
    <w:p w14:paraId="02CCD56C" w14:textId="77777777" w:rsidR="00134F21" w:rsidRDefault="00134F21" w:rsidP="00134F21">
      <w:pPr>
        <w:rPr>
          <w:rFonts w:cstheme="minorHAnsi"/>
          <w:b/>
          <w:sz w:val="20"/>
          <w:szCs w:val="20"/>
        </w:rPr>
      </w:pPr>
    </w:p>
    <w:p w14:paraId="07245180" w14:textId="77777777" w:rsidR="00134F21" w:rsidRPr="00B30B4F" w:rsidRDefault="00134F21" w:rsidP="000514B9">
      <w:pPr>
        <w:jc w:val="both"/>
        <w:rPr>
          <w:rFonts w:cstheme="minorHAnsi"/>
          <w:b/>
          <w:sz w:val="20"/>
          <w:szCs w:val="20"/>
        </w:rPr>
      </w:pPr>
      <w:r w:rsidRPr="00B30B4F">
        <w:rPr>
          <w:rFonts w:cstheme="minorHAnsi"/>
          <w:b/>
          <w:sz w:val="20"/>
          <w:szCs w:val="20"/>
        </w:rPr>
        <w:t>CONTENTS</w:t>
      </w:r>
    </w:p>
    <w:p w14:paraId="1E852566" w14:textId="3C39F020" w:rsidR="009C6811" w:rsidRPr="009C6811" w:rsidRDefault="009C6811" w:rsidP="000514B9">
      <w:pPr>
        <w:spacing w:line="360" w:lineRule="auto"/>
        <w:jc w:val="both"/>
        <w:rPr>
          <w:rFonts w:eastAsia="Times New Roman" w:cstheme="minorHAnsi"/>
          <w:b/>
          <w:bCs/>
          <w:kern w:val="0"/>
          <w:sz w:val="20"/>
          <w:szCs w:val="20"/>
          <w:lang w:eastAsia="en-US"/>
          <w14:ligatures w14:val="none"/>
        </w:rPr>
      </w:pPr>
      <w:r>
        <w:rPr>
          <w:rFonts w:eastAsia="Times New Roman" w:cstheme="minorHAnsi"/>
          <w:b/>
          <w:bCs/>
          <w:kern w:val="0"/>
          <w:sz w:val="20"/>
          <w:szCs w:val="20"/>
          <w:lang w:eastAsia="en-US"/>
          <w14:ligatures w14:val="none"/>
        </w:rPr>
        <w:t xml:space="preserve">1.0 </w:t>
      </w:r>
      <w:r w:rsidRPr="009C6811">
        <w:rPr>
          <w:rFonts w:eastAsia="Times New Roman" w:cstheme="minorHAnsi"/>
          <w:b/>
          <w:bCs/>
          <w:kern w:val="0"/>
          <w:sz w:val="20"/>
          <w:szCs w:val="20"/>
          <w:lang w:eastAsia="en-US"/>
          <w14:ligatures w14:val="none"/>
        </w:rPr>
        <w:t>Supplementary Figures</w:t>
      </w:r>
    </w:p>
    <w:p w14:paraId="74F886A1" w14:textId="3DEEDBD6"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Figure 1. Effect of BCV in NKT</w:t>
      </w:r>
      <w:r w:rsidR="00191E3F">
        <w:rPr>
          <w:rFonts w:eastAsia="Times New Roman" w:cstheme="minorHAnsi"/>
          <w:bCs/>
          <w:kern w:val="0"/>
          <w:sz w:val="20"/>
          <w:szCs w:val="20"/>
          <w:lang w:eastAsia="en-US"/>
          <w14:ligatures w14:val="none"/>
        </w:rPr>
        <w:t>C</w:t>
      </w:r>
      <w:r w:rsidRPr="009C6811">
        <w:rPr>
          <w:rFonts w:eastAsia="Times New Roman" w:cstheme="minorHAnsi"/>
          <w:bCs/>
          <w:kern w:val="0"/>
          <w:sz w:val="20"/>
          <w:szCs w:val="20"/>
          <w:lang w:eastAsia="en-US"/>
          <w14:ligatures w14:val="none"/>
        </w:rPr>
        <w:t>L cell lines</w:t>
      </w:r>
    </w:p>
    <w:p w14:paraId="7D51C0C0" w14:textId="0F74762A"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Figure 2. Activity of selected antivirals in NKT</w:t>
      </w:r>
      <w:r w:rsidR="00191E3F">
        <w:rPr>
          <w:rFonts w:eastAsia="Times New Roman" w:cstheme="minorHAnsi"/>
          <w:bCs/>
          <w:kern w:val="0"/>
          <w:sz w:val="20"/>
          <w:szCs w:val="20"/>
          <w:lang w:eastAsia="en-US"/>
          <w14:ligatures w14:val="none"/>
        </w:rPr>
        <w:t>C</w:t>
      </w:r>
      <w:r w:rsidRPr="009C6811">
        <w:rPr>
          <w:rFonts w:eastAsia="Times New Roman" w:cstheme="minorHAnsi"/>
          <w:bCs/>
          <w:kern w:val="0"/>
          <w:sz w:val="20"/>
          <w:szCs w:val="20"/>
          <w:lang w:eastAsia="en-US"/>
          <w14:ligatures w14:val="none"/>
        </w:rPr>
        <w:t>L cell lines</w:t>
      </w:r>
    </w:p>
    <w:p w14:paraId="445C861A" w14:textId="1DDDC41F"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Figure 3. Downstream mechanisms of BCV in NKT</w:t>
      </w:r>
      <w:r w:rsidR="00191E3F">
        <w:rPr>
          <w:rFonts w:eastAsia="Times New Roman" w:cstheme="minorHAnsi"/>
          <w:bCs/>
          <w:kern w:val="0"/>
          <w:sz w:val="20"/>
          <w:szCs w:val="20"/>
          <w:lang w:eastAsia="en-US"/>
          <w14:ligatures w14:val="none"/>
        </w:rPr>
        <w:t>C</w:t>
      </w:r>
      <w:r w:rsidRPr="009C6811">
        <w:rPr>
          <w:rFonts w:eastAsia="Times New Roman" w:cstheme="minorHAnsi"/>
          <w:bCs/>
          <w:kern w:val="0"/>
          <w:sz w:val="20"/>
          <w:szCs w:val="20"/>
          <w:lang w:eastAsia="en-US"/>
          <w14:ligatures w14:val="none"/>
        </w:rPr>
        <w:t>L cell lines</w:t>
      </w:r>
    </w:p>
    <w:p w14:paraId="2C917321" w14:textId="77777777"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Figure 4. Single cell transcriptomic sequencing reveals distinct cell states evoked by BCV treatment</w:t>
      </w:r>
    </w:p>
    <w:p w14:paraId="62FA911A" w14:textId="77777777"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Figure 5. Effect of BCV in T-cell lymphoma cell lines</w:t>
      </w:r>
    </w:p>
    <w:p w14:paraId="419D83AA" w14:textId="6C380846"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Figure 6. In vivo efficacy of BCV in PT</w:t>
      </w:r>
      <w:r w:rsidR="00BE58FB">
        <w:rPr>
          <w:rFonts w:eastAsia="Times New Roman" w:cstheme="minorHAnsi"/>
          <w:bCs/>
          <w:kern w:val="0"/>
          <w:sz w:val="20"/>
          <w:szCs w:val="20"/>
          <w:lang w:eastAsia="en-US"/>
          <w14:ligatures w14:val="none"/>
        </w:rPr>
        <w:t>CL</w:t>
      </w:r>
      <w:r w:rsidRPr="009C6811">
        <w:rPr>
          <w:rFonts w:eastAsia="Times New Roman" w:cstheme="minorHAnsi"/>
          <w:bCs/>
          <w:kern w:val="0"/>
          <w:sz w:val="20"/>
          <w:szCs w:val="20"/>
          <w:lang w:eastAsia="en-US"/>
          <w14:ligatures w14:val="none"/>
        </w:rPr>
        <w:t>-S2 xenograft model</w:t>
      </w:r>
    </w:p>
    <w:p w14:paraId="52D0D5D7" w14:textId="77777777"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Figure 7. NanoString pathway scores in EL4-C57BL/6 treatment groups</w:t>
      </w:r>
    </w:p>
    <w:p w14:paraId="30A88514" w14:textId="77777777"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Figure 8. NanoString cell-type scores in EL4-C57BL/6 treatment groups</w:t>
      </w:r>
    </w:p>
    <w:p w14:paraId="4C06204A" w14:textId="77777777"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Figure 9. Expression of selected genes in EL4-C57BL/6 treatment groups</w:t>
      </w:r>
    </w:p>
    <w:p w14:paraId="2211906D" w14:textId="77777777"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Figure 10. Effect of BCV in B-cell lymphoma cell lines</w:t>
      </w:r>
    </w:p>
    <w:p w14:paraId="6B651B90" w14:textId="70849770"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Figure 1</w:t>
      </w:r>
      <w:r w:rsidR="0063041B">
        <w:rPr>
          <w:rFonts w:eastAsia="Times New Roman" w:cstheme="minorHAnsi"/>
          <w:bCs/>
          <w:kern w:val="0"/>
          <w:sz w:val="20"/>
          <w:szCs w:val="20"/>
          <w:lang w:eastAsia="en-US"/>
          <w14:ligatures w14:val="none"/>
        </w:rPr>
        <w:t>1</w:t>
      </w:r>
      <w:r w:rsidRPr="009C6811">
        <w:rPr>
          <w:rFonts w:eastAsia="Times New Roman" w:cstheme="minorHAnsi"/>
          <w:bCs/>
          <w:kern w:val="0"/>
          <w:sz w:val="20"/>
          <w:szCs w:val="20"/>
          <w:lang w:eastAsia="en-US"/>
          <w14:ligatures w14:val="none"/>
        </w:rPr>
        <w:t>. Expanded Western blot images used in the manuscript</w:t>
      </w:r>
    </w:p>
    <w:p w14:paraId="69F264BF" w14:textId="44C1F986" w:rsidR="0063041B" w:rsidRPr="009C6811" w:rsidRDefault="0063041B" w:rsidP="0063041B">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Figure 1</w:t>
      </w:r>
      <w:r>
        <w:rPr>
          <w:rFonts w:eastAsia="Times New Roman" w:cstheme="minorHAnsi"/>
          <w:bCs/>
          <w:kern w:val="0"/>
          <w:sz w:val="20"/>
          <w:szCs w:val="20"/>
          <w:lang w:eastAsia="en-US"/>
          <w14:ligatures w14:val="none"/>
        </w:rPr>
        <w:t>2</w:t>
      </w:r>
      <w:r w:rsidRPr="009C6811">
        <w:rPr>
          <w:rFonts w:eastAsia="Times New Roman" w:cstheme="minorHAnsi"/>
          <w:bCs/>
          <w:kern w:val="0"/>
          <w:sz w:val="20"/>
          <w:szCs w:val="20"/>
          <w:lang w:eastAsia="en-US"/>
          <w14:ligatures w14:val="none"/>
        </w:rPr>
        <w:t>. FACS gating strategies</w:t>
      </w:r>
    </w:p>
    <w:p w14:paraId="20DF5668" w14:textId="63953EE7" w:rsidR="009C6811" w:rsidRPr="009C6811" w:rsidRDefault="009C6811" w:rsidP="000514B9">
      <w:pPr>
        <w:spacing w:line="360" w:lineRule="auto"/>
        <w:jc w:val="both"/>
        <w:rPr>
          <w:rFonts w:eastAsia="Times New Roman" w:cstheme="minorHAnsi"/>
          <w:b/>
          <w:bCs/>
          <w:kern w:val="0"/>
          <w:sz w:val="20"/>
          <w:szCs w:val="20"/>
          <w:lang w:eastAsia="en-US"/>
          <w14:ligatures w14:val="none"/>
        </w:rPr>
      </w:pPr>
      <w:r>
        <w:rPr>
          <w:rFonts w:eastAsia="Times New Roman" w:cstheme="minorHAnsi"/>
          <w:b/>
          <w:bCs/>
          <w:kern w:val="0"/>
          <w:sz w:val="20"/>
          <w:szCs w:val="20"/>
          <w:lang w:eastAsia="en-US"/>
          <w14:ligatures w14:val="none"/>
        </w:rPr>
        <w:t xml:space="preserve">2.0 </w:t>
      </w:r>
      <w:r w:rsidRPr="009C6811">
        <w:rPr>
          <w:rFonts w:eastAsia="Times New Roman" w:cstheme="minorHAnsi"/>
          <w:b/>
          <w:bCs/>
          <w:kern w:val="0"/>
          <w:sz w:val="20"/>
          <w:szCs w:val="20"/>
          <w:lang w:eastAsia="en-US"/>
          <w14:ligatures w14:val="none"/>
        </w:rPr>
        <w:t>Supplementary Tables</w:t>
      </w:r>
      <w:r>
        <w:rPr>
          <w:rFonts w:eastAsia="Times New Roman" w:cstheme="minorHAnsi"/>
          <w:b/>
          <w:bCs/>
          <w:kern w:val="0"/>
          <w:sz w:val="20"/>
          <w:szCs w:val="20"/>
          <w:lang w:eastAsia="en-US"/>
          <w14:ligatures w14:val="none"/>
        </w:rPr>
        <w:t xml:space="preserve"> (see excel file)</w:t>
      </w:r>
    </w:p>
    <w:p w14:paraId="33028742" w14:textId="4274FE03"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Table 1. Differentially regulated genes in sensitive versus resistant NKT</w:t>
      </w:r>
      <w:r w:rsidR="00191E3F">
        <w:rPr>
          <w:rFonts w:eastAsia="Times New Roman" w:cstheme="minorHAnsi"/>
          <w:bCs/>
          <w:kern w:val="0"/>
          <w:sz w:val="20"/>
          <w:szCs w:val="20"/>
          <w:lang w:eastAsia="en-US"/>
          <w14:ligatures w14:val="none"/>
        </w:rPr>
        <w:t>C</w:t>
      </w:r>
      <w:r w:rsidRPr="009C6811">
        <w:rPr>
          <w:rFonts w:eastAsia="Times New Roman" w:cstheme="minorHAnsi"/>
          <w:bCs/>
          <w:kern w:val="0"/>
          <w:sz w:val="20"/>
          <w:szCs w:val="20"/>
          <w:lang w:eastAsia="en-US"/>
          <w14:ligatures w14:val="none"/>
        </w:rPr>
        <w:t>L cell lines</w:t>
      </w:r>
    </w:p>
    <w:p w14:paraId="030BC0A7" w14:textId="2091B252"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Table 2. Differentially regulated pathways in sensitive versus resistant NKT</w:t>
      </w:r>
      <w:r w:rsidR="00191E3F">
        <w:rPr>
          <w:rFonts w:eastAsia="Times New Roman" w:cstheme="minorHAnsi"/>
          <w:bCs/>
          <w:kern w:val="0"/>
          <w:sz w:val="20"/>
          <w:szCs w:val="20"/>
          <w:lang w:eastAsia="en-US"/>
          <w14:ligatures w14:val="none"/>
        </w:rPr>
        <w:t>C</w:t>
      </w:r>
      <w:r w:rsidRPr="009C6811">
        <w:rPr>
          <w:rFonts w:eastAsia="Times New Roman" w:cstheme="minorHAnsi"/>
          <w:bCs/>
          <w:kern w:val="0"/>
          <w:sz w:val="20"/>
          <w:szCs w:val="20"/>
          <w:lang w:eastAsia="en-US"/>
          <w14:ligatures w14:val="none"/>
        </w:rPr>
        <w:t>L cell lines</w:t>
      </w:r>
    </w:p>
    <w:p w14:paraId="74EA79B1" w14:textId="1072CA09"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Table 3. Clinicopathological features of patient cohort with NKT</w:t>
      </w:r>
      <w:r w:rsidR="00191E3F">
        <w:rPr>
          <w:rFonts w:eastAsia="Times New Roman" w:cstheme="minorHAnsi"/>
          <w:bCs/>
          <w:kern w:val="0"/>
          <w:sz w:val="20"/>
          <w:szCs w:val="20"/>
          <w:lang w:eastAsia="en-US"/>
          <w14:ligatures w14:val="none"/>
        </w:rPr>
        <w:t>C</w:t>
      </w:r>
      <w:r w:rsidRPr="009C6811">
        <w:rPr>
          <w:rFonts w:eastAsia="Times New Roman" w:cstheme="minorHAnsi"/>
          <w:bCs/>
          <w:kern w:val="0"/>
          <w:sz w:val="20"/>
          <w:szCs w:val="20"/>
          <w:lang w:eastAsia="en-US"/>
          <w14:ligatures w14:val="none"/>
        </w:rPr>
        <w:t>L</w:t>
      </w:r>
    </w:p>
    <w:p w14:paraId="624B6FE4" w14:textId="1EBD715F"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Table 4. Differentially regulated genes in TLE1-low and TLE1-high NKT</w:t>
      </w:r>
      <w:r w:rsidR="00191E3F">
        <w:rPr>
          <w:rFonts w:eastAsia="Times New Roman" w:cstheme="minorHAnsi"/>
          <w:bCs/>
          <w:kern w:val="0"/>
          <w:sz w:val="20"/>
          <w:szCs w:val="20"/>
          <w:lang w:eastAsia="en-US"/>
          <w14:ligatures w14:val="none"/>
        </w:rPr>
        <w:t>C</w:t>
      </w:r>
      <w:r w:rsidRPr="009C6811">
        <w:rPr>
          <w:rFonts w:eastAsia="Times New Roman" w:cstheme="minorHAnsi"/>
          <w:bCs/>
          <w:kern w:val="0"/>
          <w:sz w:val="20"/>
          <w:szCs w:val="20"/>
          <w:lang w:eastAsia="en-US"/>
          <w14:ligatures w14:val="none"/>
        </w:rPr>
        <w:t xml:space="preserve">L </w:t>
      </w:r>
      <w:proofErr w:type="spellStart"/>
      <w:r w:rsidRPr="009C6811">
        <w:rPr>
          <w:rFonts w:eastAsia="Times New Roman" w:cstheme="minorHAnsi"/>
          <w:bCs/>
          <w:kern w:val="0"/>
          <w:sz w:val="20"/>
          <w:szCs w:val="20"/>
          <w:lang w:eastAsia="en-US"/>
          <w14:ligatures w14:val="none"/>
        </w:rPr>
        <w:t>tumor</w:t>
      </w:r>
      <w:proofErr w:type="spellEnd"/>
      <w:r w:rsidRPr="009C6811">
        <w:rPr>
          <w:rFonts w:eastAsia="Times New Roman" w:cstheme="minorHAnsi"/>
          <w:bCs/>
          <w:kern w:val="0"/>
          <w:sz w:val="20"/>
          <w:szCs w:val="20"/>
          <w:lang w:eastAsia="en-US"/>
          <w14:ligatures w14:val="none"/>
        </w:rPr>
        <w:t xml:space="preserve"> samples</w:t>
      </w:r>
    </w:p>
    <w:p w14:paraId="031060AA" w14:textId="64B30288"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Table 5. Differentially regulated pathways in TLE1-low and TLE1-high NKT</w:t>
      </w:r>
      <w:r w:rsidR="00191E3F">
        <w:rPr>
          <w:rFonts w:eastAsia="Times New Roman" w:cstheme="minorHAnsi"/>
          <w:bCs/>
          <w:kern w:val="0"/>
          <w:sz w:val="20"/>
          <w:szCs w:val="20"/>
          <w:lang w:eastAsia="en-US"/>
          <w14:ligatures w14:val="none"/>
        </w:rPr>
        <w:t>C</w:t>
      </w:r>
      <w:r w:rsidRPr="009C6811">
        <w:rPr>
          <w:rFonts w:eastAsia="Times New Roman" w:cstheme="minorHAnsi"/>
          <w:bCs/>
          <w:kern w:val="0"/>
          <w:sz w:val="20"/>
          <w:szCs w:val="20"/>
          <w:lang w:eastAsia="en-US"/>
          <w14:ligatures w14:val="none"/>
        </w:rPr>
        <w:t xml:space="preserve">L </w:t>
      </w:r>
      <w:proofErr w:type="spellStart"/>
      <w:r w:rsidRPr="009C6811">
        <w:rPr>
          <w:rFonts w:eastAsia="Times New Roman" w:cstheme="minorHAnsi"/>
          <w:bCs/>
          <w:kern w:val="0"/>
          <w:sz w:val="20"/>
          <w:szCs w:val="20"/>
          <w:lang w:eastAsia="en-US"/>
          <w14:ligatures w14:val="none"/>
        </w:rPr>
        <w:t>tumor</w:t>
      </w:r>
      <w:proofErr w:type="spellEnd"/>
      <w:r w:rsidRPr="009C6811">
        <w:rPr>
          <w:rFonts w:eastAsia="Times New Roman" w:cstheme="minorHAnsi"/>
          <w:bCs/>
          <w:kern w:val="0"/>
          <w:sz w:val="20"/>
          <w:szCs w:val="20"/>
          <w:lang w:eastAsia="en-US"/>
          <w14:ligatures w14:val="none"/>
        </w:rPr>
        <w:t xml:space="preserve"> samples</w:t>
      </w:r>
    </w:p>
    <w:p w14:paraId="2658FD47" w14:textId="35B4F375"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Table 6. Differentially regulated genes in NK-S1 cel</w:t>
      </w:r>
      <w:r w:rsidR="00A40B00">
        <w:rPr>
          <w:rFonts w:eastAsia="Times New Roman" w:cstheme="minorHAnsi"/>
          <w:bCs/>
          <w:kern w:val="0"/>
          <w:sz w:val="20"/>
          <w:szCs w:val="20"/>
          <w:lang w:eastAsia="en-US"/>
          <w14:ligatures w14:val="none"/>
        </w:rPr>
        <w:t>l line following BCV treatment</w:t>
      </w:r>
    </w:p>
    <w:p w14:paraId="3EF94405" w14:textId="3CCBEF07"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Table 7. Differentially regulated genes in KAI-3 cel</w:t>
      </w:r>
      <w:r w:rsidR="00A40B00">
        <w:rPr>
          <w:rFonts w:eastAsia="Times New Roman" w:cstheme="minorHAnsi"/>
          <w:bCs/>
          <w:kern w:val="0"/>
          <w:sz w:val="20"/>
          <w:szCs w:val="20"/>
          <w:lang w:eastAsia="en-US"/>
          <w14:ligatures w14:val="none"/>
        </w:rPr>
        <w:t>l line following BCV treatment</w:t>
      </w:r>
    </w:p>
    <w:p w14:paraId="7BB33946" w14:textId="77777777"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 xml:space="preserve">Supplementary Table 8. Differentially regulated pathways in NK-S1 cell line following BCV treatment </w:t>
      </w:r>
    </w:p>
    <w:p w14:paraId="25A91AE2" w14:textId="77777777"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Table 9. Differentially regulated pathways in KAI-3 cell line following BCV treatment</w:t>
      </w:r>
    </w:p>
    <w:p w14:paraId="63790BAB" w14:textId="77777777"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lastRenderedPageBreak/>
        <w:t>Supplementary Table 10.  Differentially regulated pathways from scRNAseq clusters in KAI-3 and NK-S1 cell-lines following BCV treatment</w:t>
      </w:r>
    </w:p>
    <w:p w14:paraId="35C18879" w14:textId="7E74E012"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Table 11. Differentially regulated genes in PT</w:t>
      </w:r>
      <w:r w:rsidR="00BE58FB">
        <w:rPr>
          <w:rFonts w:eastAsia="Times New Roman" w:cstheme="minorHAnsi"/>
          <w:bCs/>
          <w:kern w:val="0"/>
          <w:sz w:val="20"/>
          <w:szCs w:val="20"/>
          <w:lang w:eastAsia="en-US"/>
          <w14:ligatures w14:val="none"/>
        </w:rPr>
        <w:t>CL</w:t>
      </w:r>
      <w:r w:rsidRPr="009C6811">
        <w:rPr>
          <w:rFonts w:eastAsia="Times New Roman" w:cstheme="minorHAnsi"/>
          <w:bCs/>
          <w:kern w:val="0"/>
          <w:sz w:val="20"/>
          <w:szCs w:val="20"/>
          <w:lang w:eastAsia="en-US"/>
          <w14:ligatures w14:val="none"/>
        </w:rPr>
        <w:t>-S1 cel</w:t>
      </w:r>
      <w:r w:rsidR="00A40B00">
        <w:rPr>
          <w:rFonts w:eastAsia="Times New Roman" w:cstheme="minorHAnsi"/>
          <w:bCs/>
          <w:kern w:val="0"/>
          <w:sz w:val="20"/>
          <w:szCs w:val="20"/>
          <w:lang w:eastAsia="en-US"/>
          <w14:ligatures w14:val="none"/>
        </w:rPr>
        <w:t>l line following BCV treatment</w:t>
      </w:r>
    </w:p>
    <w:p w14:paraId="5C9D4C44" w14:textId="5ED4811C"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Table 12. Differentially regulated pathways in PT</w:t>
      </w:r>
      <w:r w:rsidR="00BE58FB">
        <w:rPr>
          <w:rFonts w:eastAsia="Times New Roman" w:cstheme="minorHAnsi"/>
          <w:bCs/>
          <w:kern w:val="0"/>
          <w:sz w:val="20"/>
          <w:szCs w:val="20"/>
          <w:lang w:eastAsia="en-US"/>
          <w14:ligatures w14:val="none"/>
        </w:rPr>
        <w:t>CL</w:t>
      </w:r>
      <w:r w:rsidRPr="009C6811">
        <w:rPr>
          <w:rFonts w:eastAsia="Times New Roman" w:cstheme="minorHAnsi"/>
          <w:bCs/>
          <w:kern w:val="0"/>
          <w:sz w:val="20"/>
          <w:szCs w:val="20"/>
          <w:lang w:eastAsia="en-US"/>
          <w14:ligatures w14:val="none"/>
        </w:rPr>
        <w:t>-S1 cell line following BCV treatment</w:t>
      </w:r>
    </w:p>
    <w:p w14:paraId="1983C364" w14:textId="77777777"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Table 13. NanoString pathway scores in EL4-C57BL/6 treatment groups</w:t>
      </w:r>
    </w:p>
    <w:p w14:paraId="6EEBA260" w14:textId="77777777"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Table 14. NanoString cell-type scores in EL4-C57BL/6 treatment groups</w:t>
      </w:r>
    </w:p>
    <w:p w14:paraId="60C12EEA" w14:textId="77777777"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Table 15. Differentially regulated genes in sensitive versus resistant B-cell lymphoma cell lines</w:t>
      </w:r>
    </w:p>
    <w:p w14:paraId="6E31B287" w14:textId="77777777"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Table 16. List of cell-line models used in the study</w:t>
      </w:r>
    </w:p>
    <w:p w14:paraId="039AD7FD" w14:textId="77777777" w:rsidR="009C6811" w:rsidRPr="009C6811" w:rsidRDefault="009C6811" w:rsidP="000514B9">
      <w:pPr>
        <w:spacing w:line="360" w:lineRule="auto"/>
        <w:jc w:val="both"/>
        <w:rPr>
          <w:rFonts w:eastAsia="Times New Roman" w:cstheme="minorHAnsi"/>
          <w:bCs/>
          <w:kern w:val="0"/>
          <w:sz w:val="20"/>
          <w:szCs w:val="20"/>
          <w:lang w:eastAsia="en-US"/>
          <w14:ligatures w14:val="none"/>
        </w:rPr>
      </w:pPr>
      <w:r w:rsidRPr="009C6811">
        <w:rPr>
          <w:rFonts w:eastAsia="Times New Roman" w:cstheme="minorHAnsi"/>
          <w:bCs/>
          <w:kern w:val="0"/>
          <w:sz w:val="20"/>
          <w:szCs w:val="20"/>
          <w:lang w:eastAsia="en-US"/>
          <w14:ligatures w14:val="none"/>
        </w:rPr>
        <w:t>Supplementary Table 17. List of antibodies and primers used in the study</w:t>
      </w:r>
    </w:p>
    <w:p w14:paraId="5B3F436B" w14:textId="48B41ACB" w:rsidR="00DA42E7" w:rsidRPr="009C6811" w:rsidRDefault="00DA42E7" w:rsidP="00DA42E7">
      <w:pPr>
        <w:spacing w:line="360" w:lineRule="auto"/>
        <w:jc w:val="both"/>
        <w:rPr>
          <w:rFonts w:eastAsia="Times New Roman" w:cstheme="minorHAnsi"/>
          <w:b/>
          <w:bCs/>
          <w:kern w:val="0"/>
          <w:sz w:val="20"/>
          <w:szCs w:val="20"/>
          <w:lang w:eastAsia="en-US"/>
          <w14:ligatures w14:val="none"/>
        </w:rPr>
      </w:pPr>
      <w:r>
        <w:rPr>
          <w:rFonts w:cstheme="minorHAnsi"/>
          <w:b/>
          <w:bCs/>
          <w:sz w:val="18"/>
          <w:szCs w:val="20"/>
        </w:rPr>
        <w:t>3</w:t>
      </w:r>
      <w:r>
        <w:rPr>
          <w:rFonts w:eastAsia="Times New Roman" w:cstheme="minorHAnsi"/>
          <w:b/>
          <w:bCs/>
          <w:kern w:val="0"/>
          <w:sz w:val="20"/>
          <w:szCs w:val="20"/>
          <w:lang w:eastAsia="en-US"/>
          <w14:ligatures w14:val="none"/>
        </w:rPr>
        <w:t xml:space="preserve">.0 </w:t>
      </w:r>
      <w:r w:rsidRPr="009C6811">
        <w:rPr>
          <w:rFonts w:eastAsia="Times New Roman" w:cstheme="minorHAnsi"/>
          <w:b/>
          <w:bCs/>
          <w:kern w:val="0"/>
          <w:sz w:val="20"/>
          <w:szCs w:val="20"/>
          <w:lang w:eastAsia="en-US"/>
          <w14:ligatures w14:val="none"/>
        </w:rPr>
        <w:t xml:space="preserve">Supplementary </w:t>
      </w:r>
      <w:r>
        <w:rPr>
          <w:rFonts w:eastAsia="Times New Roman" w:cstheme="minorHAnsi"/>
          <w:b/>
          <w:bCs/>
          <w:kern w:val="0"/>
          <w:sz w:val="20"/>
          <w:szCs w:val="20"/>
          <w:lang w:eastAsia="en-US"/>
          <w14:ligatures w14:val="none"/>
        </w:rPr>
        <w:t>Methods</w:t>
      </w:r>
    </w:p>
    <w:p w14:paraId="4AA3DF4D" w14:textId="6F9B1DE6" w:rsidR="009C6811" w:rsidRDefault="009C6811">
      <w:pPr>
        <w:rPr>
          <w:rFonts w:cstheme="minorHAnsi"/>
          <w:b/>
          <w:bCs/>
          <w:sz w:val="18"/>
          <w:szCs w:val="20"/>
        </w:rPr>
      </w:pPr>
    </w:p>
    <w:p w14:paraId="2CD6F5AB" w14:textId="0047B2B6" w:rsidR="008A3B49" w:rsidRDefault="00DA42E7" w:rsidP="0098754D">
      <w:pPr>
        <w:spacing w:line="360" w:lineRule="auto"/>
        <w:rPr>
          <w:rFonts w:cstheme="minorHAnsi"/>
          <w:b/>
          <w:bCs/>
          <w:sz w:val="18"/>
          <w:szCs w:val="20"/>
        </w:rPr>
      </w:pPr>
      <w:r>
        <w:rPr>
          <w:rFonts w:cstheme="minorHAnsi"/>
          <w:b/>
          <w:bCs/>
          <w:sz w:val="18"/>
          <w:szCs w:val="20"/>
        </w:rPr>
        <w:lastRenderedPageBreak/>
        <w:pict w14:anchorId="29D5AE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45pt;height:560.45pt">
            <v:imagedata r:id="rId5" o:title="Figure S1" cropbottom="4570f"/>
          </v:shape>
        </w:pict>
      </w:r>
    </w:p>
    <w:p w14:paraId="482053AC" w14:textId="1D41946E" w:rsidR="000514B9" w:rsidRPr="000514B9" w:rsidRDefault="000514B9" w:rsidP="000514B9">
      <w:pPr>
        <w:spacing w:line="360" w:lineRule="auto"/>
        <w:jc w:val="both"/>
        <w:rPr>
          <w:rFonts w:cstheme="minorHAnsi"/>
          <w:b/>
          <w:bCs/>
          <w:sz w:val="18"/>
          <w:szCs w:val="20"/>
        </w:rPr>
      </w:pPr>
      <w:r w:rsidRPr="000514B9">
        <w:rPr>
          <w:rFonts w:cstheme="minorHAnsi"/>
          <w:b/>
          <w:bCs/>
          <w:sz w:val="18"/>
          <w:szCs w:val="20"/>
        </w:rPr>
        <w:t>Supplementary Figure 1. Effect of BCV in NKT</w:t>
      </w:r>
      <w:r w:rsidR="00191E3F">
        <w:rPr>
          <w:rFonts w:cstheme="minorHAnsi"/>
          <w:b/>
          <w:bCs/>
          <w:sz w:val="18"/>
          <w:szCs w:val="20"/>
        </w:rPr>
        <w:t>C</w:t>
      </w:r>
      <w:r w:rsidRPr="000514B9">
        <w:rPr>
          <w:rFonts w:cstheme="minorHAnsi"/>
          <w:b/>
          <w:bCs/>
          <w:sz w:val="18"/>
          <w:szCs w:val="20"/>
        </w:rPr>
        <w:t>L cell lines</w:t>
      </w:r>
    </w:p>
    <w:p w14:paraId="1B36CAFF" w14:textId="77E8038B" w:rsidR="004B17B5" w:rsidRPr="000514B9" w:rsidRDefault="000514B9" w:rsidP="000514B9">
      <w:pPr>
        <w:spacing w:line="360" w:lineRule="auto"/>
        <w:jc w:val="both"/>
        <w:rPr>
          <w:rFonts w:cstheme="minorHAnsi"/>
          <w:bCs/>
          <w:sz w:val="18"/>
          <w:szCs w:val="20"/>
        </w:rPr>
      </w:pPr>
      <w:r>
        <w:rPr>
          <w:rFonts w:cstheme="minorHAnsi"/>
          <w:bCs/>
          <w:sz w:val="18"/>
          <w:szCs w:val="20"/>
        </w:rPr>
        <w:t xml:space="preserve">(A) </w:t>
      </w:r>
      <w:r w:rsidR="000C56E8" w:rsidRPr="000514B9">
        <w:rPr>
          <w:rFonts w:cstheme="minorHAnsi"/>
          <w:bCs/>
          <w:sz w:val="18"/>
          <w:szCs w:val="20"/>
        </w:rPr>
        <w:t>Dose response curves of NKT</w:t>
      </w:r>
      <w:r w:rsidR="00191E3F">
        <w:rPr>
          <w:rFonts w:cstheme="minorHAnsi"/>
          <w:bCs/>
          <w:sz w:val="18"/>
          <w:szCs w:val="20"/>
        </w:rPr>
        <w:t>C</w:t>
      </w:r>
      <w:r w:rsidR="000C56E8" w:rsidRPr="000514B9">
        <w:rPr>
          <w:rFonts w:cstheme="minorHAnsi"/>
          <w:bCs/>
          <w:sz w:val="18"/>
          <w:szCs w:val="20"/>
        </w:rPr>
        <w:t>L cell lines following BCV treatment.</w:t>
      </w:r>
    </w:p>
    <w:p w14:paraId="2016667D" w14:textId="1ADCE58F" w:rsidR="004B17B5" w:rsidRPr="000514B9" w:rsidRDefault="000514B9" w:rsidP="000514B9">
      <w:pPr>
        <w:spacing w:line="360" w:lineRule="auto"/>
        <w:jc w:val="both"/>
        <w:rPr>
          <w:rFonts w:cstheme="minorHAnsi"/>
          <w:bCs/>
          <w:sz w:val="18"/>
          <w:szCs w:val="20"/>
        </w:rPr>
      </w:pPr>
      <w:r>
        <w:rPr>
          <w:rFonts w:cstheme="minorHAnsi"/>
          <w:bCs/>
          <w:sz w:val="18"/>
          <w:szCs w:val="20"/>
        </w:rPr>
        <w:t xml:space="preserve">(B) </w:t>
      </w:r>
      <w:r w:rsidR="000C56E8" w:rsidRPr="000514B9">
        <w:rPr>
          <w:rFonts w:cstheme="minorHAnsi"/>
          <w:bCs/>
          <w:sz w:val="18"/>
          <w:szCs w:val="20"/>
        </w:rPr>
        <w:t>Time response curves of cell viability following BCV treatment in NKT</w:t>
      </w:r>
      <w:r w:rsidR="00191E3F">
        <w:rPr>
          <w:rFonts w:cstheme="minorHAnsi"/>
          <w:bCs/>
          <w:sz w:val="18"/>
          <w:szCs w:val="20"/>
        </w:rPr>
        <w:t>C</w:t>
      </w:r>
      <w:r w:rsidR="000C56E8" w:rsidRPr="000514B9">
        <w:rPr>
          <w:rFonts w:cstheme="minorHAnsi"/>
          <w:bCs/>
          <w:sz w:val="18"/>
          <w:szCs w:val="20"/>
        </w:rPr>
        <w:t>L cell lines.</w:t>
      </w:r>
    </w:p>
    <w:p w14:paraId="166698B0" w14:textId="77777777" w:rsidR="000514B9" w:rsidRPr="000514B9" w:rsidRDefault="000514B9" w:rsidP="000514B9">
      <w:pPr>
        <w:spacing w:line="360" w:lineRule="auto"/>
        <w:jc w:val="both"/>
        <w:rPr>
          <w:rFonts w:cstheme="minorHAnsi"/>
          <w:bCs/>
          <w:sz w:val="18"/>
          <w:szCs w:val="20"/>
        </w:rPr>
      </w:pPr>
      <w:r w:rsidRPr="000514B9">
        <w:rPr>
          <w:rFonts w:cstheme="minorHAnsi"/>
          <w:bCs/>
          <w:sz w:val="18"/>
          <w:szCs w:val="20"/>
          <w:lang w:val="en-US"/>
        </w:rPr>
        <w:t xml:space="preserve">(C) </w:t>
      </w:r>
      <w:r w:rsidRPr="000514B9">
        <w:rPr>
          <w:rFonts w:cstheme="minorHAnsi"/>
          <w:bCs/>
          <w:sz w:val="18"/>
          <w:szCs w:val="20"/>
        </w:rPr>
        <w:t xml:space="preserve">BCV evoked a dose-dependent </w:t>
      </w:r>
      <w:r w:rsidRPr="000514B9">
        <w:rPr>
          <w:rFonts w:cstheme="minorHAnsi"/>
          <w:bCs/>
          <w:sz w:val="18"/>
          <w:szCs w:val="20"/>
          <w:lang w:val="en-US"/>
        </w:rPr>
        <w:t xml:space="preserve">increase in the sub-G1 cell fraction and induced S-phase arrest in the 4 most sensitive cell lines tested. </w:t>
      </w:r>
      <w:r w:rsidRPr="000514B9">
        <w:rPr>
          <w:rFonts w:cstheme="minorHAnsi"/>
          <w:bCs/>
          <w:sz w:val="18"/>
          <w:szCs w:val="20"/>
        </w:rPr>
        <w:t>*</w:t>
      </w:r>
      <w:r w:rsidRPr="000514B9">
        <w:rPr>
          <w:rFonts w:cstheme="minorHAnsi"/>
          <w:bCs/>
          <w:i/>
          <w:iCs/>
          <w:sz w:val="18"/>
          <w:szCs w:val="20"/>
        </w:rPr>
        <w:t>p</w:t>
      </w:r>
      <w:r w:rsidRPr="000514B9">
        <w:rPr>
          <w:rFonts w:cstheme="minorHAnsi"/>
          <w:bCs/>
          <w:sz w:val="18"/>
          <w:szCs w:val="20"/>
        </w:rPr>
        <w:t xml:space="preserve"> &lt; </w:t>
      </w:r>
      <w:proofErr w:type="gramStart"/>
      <w:r w:rsidRPr="000514B9">
        <w:rPr>
          <w:rFonts w:cstheme="minorHAnsi"/>
          <w:bCs/>
          <w:sz w:val="18"/>
          <w:szCs w:val="20"/>
        </w:rPr>
        <w:t>0.05  *</w:t>
      </w:r>
      <w:proofErr w:type="gramEnd"/>
      <w:r w:rsidRPr="000514B9">
        <w:rPr>
          <w:rFonts w:cstheme="minorHAnsi"/>
          <w:bCs/>
          <w:sz w:val="18"/>
          <w:szCs w:val="20"/>
        </w:rPr>
        <w:t>*</w:t>
      </w:r>
      <w:r w:rsidRPr="000514B9">
        <w:rPr>
          <w:rFonts w:cstheme="minorHAnsi"/>
          <w:bCs/>
          <w:i/>
          <w:iCs/>
          <w:sz w:val="18"/>
          <w:szCs w:val="20"/>
        </w:rPr>
        <w:t>p</w:t>
      </w:r>
      <w:r w:rsidRPr="000514B9">
        <w:rPr>
          <w:rFonts w:cstheme="minorHAnsi"/>
          <w:bCs/>
          <w:sz w:val="18"/>
          <w:szCs w:val="20"/>
        </w:rPr>
        <w:t xml:space="preserve"> &lt; 0.001</w:t>
      </w:r>
    </w:p>
    <w:p w14:paraId="599FABC2" w14:textId="6482756A" w:rsidR="000514B9" w:rsidRDefault="00DA42E7" w:rsidP="000514B9">
      <w:pPr>
        <w:spacing w:line="360" w:lineRule="auto"/>
        <w:jc w:val="center"/>
        <w:rPr>
          <w:rFonts w:cstheme="minorHAnsi"/>
          <w:b/>
          <w:bCs/>
          <w:sz w:val="18"/>
          <w:szCs w:val="20"/>
        </w:rPr>
      </w:pPr>
      <w:r>
        <w:rPr>
          <w:rFonts w:cstheme="minorHAnsi"/>
          <w:b/>
          <w:bCs/>
          <w:sz w:val="18"/>
          <w:szCs w:val="20"/>
        </w:rPr>
        <w:lastRenderedPageBreak/>
        <w:pict w14:anchorId="7BDF6162">
          <v:shape id="_x0000_i1026" type="#_x0000_t75" style="width:394.4pt;height:436.55pt">
            <v:imagedata r:id="rId6" o:title="FIgure S2"/>
          </v:shape>
        </w:pict>
      </w:r>
    </w:p>
    <w:p w14:paraId="5829FEBA" w14:textId="275F4E61" w:rsidR="000514B9" w:rsidRPr="000514B9" w:rsidRDefault="000514B9" w:rsidP="000514B9">
      <w:pPr>
        <w:spacing w:line="360" w:lineRule="auto"/>
        <w:rPr>
          <w:rFonts w:cstheme="minorHAnsi"/>
          <w:b/>
          <w:bCs/>
          <w:sz w:val="18"/>
          <w:szCs w:val="20"/>
        </w:rPr>
      </w:pPr>
      <w:r w:rsidRPr="000514B9">
        <w:rPr>
          <w:rFonts w:cstheme="minorHAnsi"/>
          <w:b/>
          <w:bCs/>
          <w:sz w:val="18"/>
          <w:szCs w:val="20"/>
        </w:rPr>
        <w:t>Supplementary Figure 2. Activity of selected antivirals in NKT</w:t>
      </w:r>
      <w:r w:rsidR="00191E3F">
        <w:rPr>
          <w:rFonts w:cstheme="minorHAnsi"/>
          <w:b/>
          <w:bCs/>
          <w:sz w:val="18"/>
          <w:szCs w:val="20"/>
        </w:rPr>
        <w:t>C</w:t>
      </w:r>
      <w:r w:rsidRPr="000514B9">
        <w:rPr>
          <w:rFonts w:cstheme="minorHAnsi"/>
          <w:b/>
          <w:bCs/>
          <w:sz w:val="18"/>
          <w:szCs w:val="20"/>
        </w:rPr>
        <w:t>L cell lines</w:t>
      </w:r>
    </w:p>
    <w:p w14:paraId="5E1E1117" w14:textId="0E4EB842" w:rsidR="000514B9" w:rsidRPr="000514B9" w:rsidRDefault="000514B9" w:rsidP="000514B9">
      <w:pPr>
        <w:spacing w:line="360" w:lineRule="auto"/>
        <w:rPr>
          <w:rFonts w:cstheme="minorHAnsi"/>
          <w:bCs/>
          <w:sz w:val="18"/>
          <w:szCs w:val="20"/>
        </w:rPr>
      </w:pPr>
      <w:r w:rsidRPr="000514B9">
        <w:rPr>
          <w:rFonts w:cstheme="minorHAnsi"/>
          <w:bCs/>
          <w:sz w:val="18"/>
          <w:szCs w:val="20"/>
        </w:rPr>
        <w:t xml:space="preserve">(A) Effect of </w:t>
      </w:r>
      <w:proofErr w:type="spellStart"/>
      <w:r w:rsidRPr="000514B9">
        <w:rPr>
          <w:rFonts w:cstheme="minorHAnsi"/>
          <w:bCs/>
          <w:sz w:val="18"/>
          <w:szCs w:val="20"/>
        </w:rPr>
        <w:t>cidofovir</w:t>
      </w:r>
      <w:proofErr w:type="spellEnd"/>
      <w:r w:rsidRPr="000514B9">
        <w:rPr>
          <w:rFonts w:cstheme="minorHAnsi"/>
          <w:bCs/>
          <w:sz w:val="18"/>
          <w:szCs w:val="20"/>
        </w:rPr>
        <w:t xml:space="preserve"> on cell viability in NKT</w:t>
      </w:r>
      <w:r w:rsidR="00191E3F">
        <w:rPr>
          <w:rFonts w:cstheme="minorHAnsi"/>
          <w:bCs/>
          <w:sz w:val="18"/>
          <w:szCs w:val="20"/>
        </w:rPr>
        <w:t>C</w:t>
      </w:r>
      <w:r w:rsidRPr="000514B9">
        <w:rPr>
          <w:rFonts w:cstheme="minorHAnsi"/>
          <w:bCs/>
          <w:sz w:val="18"/>
          <w:szCs w:val="20"/>
        </w:rPr>
        <w:t>L cell lines.</w:t>
      </w:r>
    </w:p>
    <w:p w14:paraId="4282924C" w14:textId="0C2AF1E0" w:rsidR="000514B9" w:rsidRDefault="000514B9" w:rsidP="000514B9">
      <w:pPr>
        <w:spacing w:line="360" w:lineRule="auto"/>
        <w:rPr>
          <w:rFonts w:cstheme="minorHAnsi"/>
          <w:bCs/>
          <w:sz w:val="18"/>
          <w:szCs w:val="20"/>
        </w:rPr>
      </w:pPr>
      <w:r w:rsidRPr="000514B9">
        <w:rPr>
          <w:rFonts w:cstheme="minorHAnsi"/>
          <w:bCs/>
          <w:sz w:val="18"/>
          <w:szCs w:val="20"/>
        </w:rPr>
        <w:t>(B) Effect of selected antiviral drugs in the NK-S1 cell line.</w:t>
      </w:r>
    </w:p>
    <w:p w14:paraId="668DD5BF" w14:textId="77777777" w:rsidR="000514B9" w:rsidRDefault="000514B9">
      <w:pPr>
        <w:rPr>
          <w:rFonts w:cstheme="minorHAnsi"/>
          <w:bCs/>
          <w:sz w:val="18"/>
          <w:szCs w:val="20"/>
        </w:rPr>
      </w:pPr>
      <w:r>
        <w:rPr>
          <w:rFonts w:cstheme="minorHAnsi"/>
          <w:bCs/>
          <w:sz w:val="18"/>
          <w:szCs w:val="20"/>
        </w:rPr>
        <w:br w:type="page"/>
      </w:r>
    </w:p>
    <w:p w14:paraId="10F46DF4" w14:textId="28A98E70" w:rsidR="000514B9" w:rsidRDefault="00DA42E7" w:rsidP="000514B9">
      <w:pPr>
        <w:spacing w:line="360" w:lineRule="auto"/>
        <w:rPr>
          <w:rFonts w:cstheme="minorHAnsi"/>
          <w:bCs/>
          <w:sz w:val="18"/>
          <w:szCs w:val="20"/>
        </w:rPr>
      </w:pPr>
      <w:r>
        <w:rPr>
          <w:rFonts w:cstheme="minorHAnsi"/>
          <w:bCs/>
          <w:sz w:val="18"/>
          <w:szCs w:val="20"/>
        </w:rPr>
        <w:lastRenderedPageBreak/>
        <w:pict w14:anchorId="5A7716DC">
          <v:shape id="_x0000_i1027" type="#_x0000_t75" style="width:452.1pt;height:408pt">
            <v:imagedata r:id="rId7" o:title="Figure S3"/>
          </v:shape>
        </w:pict>
      </w:r>
    </w:p>
    <w:p w14:paraId="77D78C80" w14:textId="7CFF675B" w:rsidR="000514B9" w:rsidRPr="000514B9" w:rsidRDefault="000514B9" w:rsidP="000514B9">
      <w:pPr>
        <w:spacing w:line="360" w:lineRule="auto"/>
        <w:rPr>
          <w:rFonts w:cstheme="minorHAnsi"/>
          <w:bCs/>
          <w:sz w:val="18"/>
          <w:szCs w:val="20"/>
        </w:rPr>
      </w:pPr>
      <w:r w:rsidRPr="000514B9">
        <w:rPr>
          <w:rFonts w:cstheme="minorHAnsi"/>
          <w:b/>
          <w:bCs/>
          <w:sz w:val="18"/>
          <w:szCs w:val="20"/>
        </w:rPr>
        <w:t>Supplementary Figure 3. Downstream mechanisms of BCV in NKT</w:t>
      </w:r>
      <w:r w:rsidR="00191E3F">
        <w:rPr>
          <w:rFonts w:cstheme="minorHAnsi"/>
          <w:b/>
          <w:bCs/>
          <w:sz w:val="18"/>
          <w:szCs w:val="20"/>
        </w:rPr>
        <w:t>C</w:t>
      </w:r>
      <w:r w:rsidRPr="000514B9">
        <w:rPr>
          <w:rFonts w:cstheme="minorHAnsi"/>
          <w:b/>
          <w:bCs/>
          <w:sz w:val="18"/>
          <w:szCs w:val="20"/>
        </w:rPr>
        <w:t>L cell lines</w:t>
      </w:r>
    </w:p>
    <w:p w14:paraId="2335F294" w14:textId="77777777" w:rsidR="000514B9" w:rsidRPr="000514B9" w:rsidRDefault="000514B9" w:rsidP="000514B9">
      <w:pPr>
        <w:spacing w:line="360" w:lineRule="auto"/>
        <w:jc w:val="both"/>
        <w:rPr>
          <w:rFonts w:cstheme="minorHAnsi"/>
          <w:bCs/>
          <w:sz w:val="18"/>
          <w:szCs w:val="20"/>
        </w:rPr>
      </w:pPr>
      <w:r w:rsidRPr="000514B9">
        <w:rPr>
          <w:rFonts w:cstheme="minorHAnsi"/>
          <w:bCs/>
          <w:sz w:val="18"/>
          <w:szCs w:val="20"/>
        </w:rPr>
        <w:t xml:space="preserve">(A) Variable expression of EBV transcripts across NKTCL cell lines, including both latent genes </w:t>
      </w:r>
      <w:r w:rsidRPr="000514B9">
        <w:rPr>
          <w:rFonts w:cstheme="minorHAnsi"/>
          <w:bCs/>
          <w:i/>
          <w:iCs/>
          <w:sz w:val="18"/>
          <w:szCs w:val="20"/>
        </w:rPr>
        <w:t>LMP1</w:t>
      </w:r>
      <w:r w:rsidRPr="000514B9">
        <w:rPr>
          <w:rFonts w:cstheme="minorHAnsi"/>
          <w:bCs/>
          <w:sz w:val="18"/>
          <w:szCs w:val="20"/>
        </w:rPr>
        <w:t xml:space="preserve">, </w:t>
      </w:r>
      <w:r w:rsidRPr="000514B9">
        <w:rPr>
          <w:rFonts w:cstheme="minorHAnsi"/>
          <w:bCs/>
          <w:i/>
          <w:iCs/>
          <w:sz w:val="18"/>
          <w:szCs w:val="20"/>
        </w:rPr>
        <w:t>EBNA1</w:t>
      </w:r>
      <w:r w:rsidRPr="000514B9">
        <w:rPr>
          <w:rFonts w:cstheme="minorHAnsi"/>
          <w:bCs/>
          <w:sz w:val="18"/>
          <w:szCs w:val="20"/>
        </w:rPr>
        <w:t xml:space="preserve">, </w:t>
      </w:r>
      <w:r w:rsidRPr="000514B9">
        <w:rPr>
          <w:rFonts w:cstheme="minorHAnsi"/>
          <w:bCs/>
          <w:i/>
          <w:iCs/>
          <w:sz w:val="18"/>
          <w:szCs w:val="20"/>
        </w:rPr>
        <w:t>EBNA2</w:t>
      </w:r>
      <w:r w:rsidRPr="000514B9">
        <w:rPr>
          <w:rFonts w:cstheme="minorHAnsi"/>
          <w:bCs/>
          <w:sz w:val="18"/>
          <w:szCs w:val="20"/>
        </w:rPr>
        <w:t xml:space="preserve">, as well as lytic genes </w:t>
      </w:r>
      <w:r w:rsidRPr="000514B9">
        <w:rPr>
          <w:rFonts w:cstheme="minorHAnsi"/>
          <w:bCs/>
          <w:i/>
          <w:iCs/>
          <w:sz w:val="18"/>
          <w:szCs w:val="20"/>
        </w:rPr>
        <w:t>BXLF1</w:t>
      </w:r>
      <w:r w:rsidRPr="000514B9">
        <w:rPr>
          <w:rFonts w:cstheme="minorHAnsi"/>
          <w:bCs/>
          <w:sz w:val="18"/>
          <w:szCs w:val="20"/>
        </w:rPr>
        <w:t xml:space="preserve">, </w:t>
      </w:r>
      <w:r w:rsidRPr="000514B9">
        <w:rPr>
          <w:rFonts w:cstheme="minorHAnsi"/>
          <w:bCs/>
          <w:i/>
          <w:iCs/>
          <w:sz w:val="18"/>
          <w:szCs w:val="20"/>
        </w:rPr>
        <w:t>BGLF4</w:t>
      </w:r>
      <w:r w:rsidRPr="000514B9">
        <w:rPr>
          <w:rFonts w:cstheme="minorHAnsi"/>
          <w:bCs/>
          <w:sz w:val="18"/>
          <w:szCs w:val="20"/>
        </w:rPr>
        <w:t xml:space="preserve"> and </w:t>
      </w:r>
      <w:r w:rsidRPr="000514B9">
        <w:rPr>
          <w:rFonts w:cstheme="minorHAnsi"/>
          <w:bCs/>
          <w:i/>
          <w:iCs/>
          <w:sz w:val="18"/>
          <w:szCs w:val="20"/>
        </w:rPr>
        <w:t>BALF5</w:t>
      </w:r>
      <w:r w:rsidRPr="000514B9">
        <w:rPr>
          <w:rFonts w:cstheme="minorHAnsi"/>
          <w:bCs/>
          <w:sz w:val="18"/>
          <w:szCs w:val="20"/>
        </w:rPr>
        <w:t xml:space="preserve">. Included controls are EBV-negative NKTCL cell line KHYG-1 and EBV-immortalized </w:t>
      </w:r>
      <w:proofErr w:type="spellStart"/>
      <w:r w:rsidRPr="000514B9">
        <w:rPr>
          <w:rFonts w:cstheme="minorHAnsi"/>
          <w:bCs/>
          <w:sz w:val="18"/>
          <w:szCs w:val="20"/>
        </w:rPr>
        <w:t>lymphoblastoid</w:t>
      </w:r>
      <w:proofErr w:type="spellEnd"/>
      <w:r w:rsidRPr="000514B9">
        <w:rPr>
          <w:rFonts w:cstheme="minorHAnsi"/>
          <w:bCs/>
          <w:sz w:val="18"/>
          <w:szCs w:val="20"/>
        </w:rPr>
        <w:t xml:space="preserve"> cell line (LCL).</w:t>
      </w:r>
    </w:p>
    <w:p w14:paraId="67A7D6C7" w14:textId="77777777" w:rsidR="000514B9" w:rsidRPr="000514B9" w:rsidRDefault="000514B9" w:rsidP="000514B9">
      <w:pPr>
        <w:spacing w:line="360" w:lineRule="auto"/>
        <w:jc w:val="both"/>
        <w:rPr>
          <w:rFonts w:cstheme="minorHAnsi"/>
          <w:bCs/>
          <w:sz w:val="18"/>
          <w:szCs w:val="20"/>
        </w:rPr>
      </w:pPr>
      <w:r w:rsidRPr="000514B9">
        <w:rPr>
          <w:rFonts w:cstheme="minorHAnsi"/>
          <w:bCs/>
          <w:sz w:val="18"/>
          <w:szCs w:val="20"/>
        </w:rPr>
        <w:t>(B) BCV downregulates EBNA1 and LMP1 protein expression in NK-S1 and KAI-3 cell lines.</w:t>
      </w:r>
    </w:p>
    <w:p w14:paraId="2CE78748" w14:textId="77777777" w:rsidR="000514B9" w:rsidRPr="000514B9" w:rsidRDefault="000514B9" w:rsidP="000514B9">
      <w:pPr>
        <w:spacing w:line="360" w:lineRule="auto"/>
        <w:jc w:val="both"/>
        <w:rPr>
          <w:rFonts w:cstheme="minorHAnsi"/>
          <w:bCs/>
          <w:sz w:val="18"/>
          <w:szCs w:val="20"/>
        </w:rPr>
      </w:pPr>
      <w:r w:rsidRPr="000514B9">
        <w:rPr>
          <w:rFonts w:cstheme="minorHAnsi"/>
          <w:bCs/>
          <w:sz w:val="18"/>
          <w:szCs w:val="20"/>
          <w:lang w:val="en-US"/>
        </w:rPr>
        <w:t>(C) Decreased protein expression of MYC, and increased phopho-p53, cyclin E, cleaved PARP and cleaved caspase-3 protein expression in NK-92 and KHYG-1 cell lines.</w:t>
      </w:r>
    </w:p>
    <w:p w14:paraId="493D99B7" w14:textId="77777777" w:rsidR="000514B9" w:rsidRPr="000514B9" w:rsidRDefault="000514B9" w:rsidP="000514B9">
      <w:pPr>
        <w:spacing w:line="360" w:lineRule="auto"/>
        <w:jc w:val="both"/>
        <w:rPr>
          <w:rFonts w:cstheme="minorHAnsi"/>
          <w:bCs/>
          <w:sz w:val="18"/>
          <w:szCs w:val="20"/>
        </w:rPr>
      </w:pPr>
      <w:r w:rsidRPr="000514B9">
        <w:rPr>
          <w:rFonts w:cstheme="minorHAnsi"/>
          <w:bCs/>
          <w:sz w:val="18"/>
          <w:szCs w:val="20"/>
          <w:lang w:val="en-US"/>
        </w:rPr>
        <w:t>(D) BCV treatment led to a dose and time-dependent decrease in total and phospho-STAT1, STAT3, and STAT5 protein expression in NK-S1 and KAI-3 cell lines.</w:t>
      </w:r>
    </w:p>
    <w:p w14:paraId="5B3EE309" w14:textId="77777777" w:rsidR="000514B9" w:rsidRPr="000514B9" w:rsidRDefault="000514B9" w:rsidP="000514B9">
      <w:pPr>
        <w:spacing w:line="360" w:lineRule="auto"/>
        <w:jc w:val="both"/>
        <w:rPr>
          <w:rFonts w:cstheme="minorHAnsi"/>
          <w:bCs/>
          <w:sz w:val="18"/>
          <w:szCs w:val="20"/>
        </w:rPr>
      </w:pPr>
      <w:r w:rsidRPr="000514B9">
        <w:rPr>
          <w:rFonts w:cstheme="minorHAnsi"/>
          <w:bCs/>
          <w:sz w:val="18"/>
          <w:szCs w:val="20"/>
          <w:lang w:val="en-US"/>
        </w:rPr>
        <w:t>(E) Upregulation of PD-L1 protein expression on Western blot and (F) PD-L1-expressing cells on flow cytometry in NK-92 and KHYG-1 cell lines.</w:t>
      </w:r>
    </w:p>
    <w:p w14:paraId="1698BD25" w14:textId="77777777" w:rsidR="000514B9" w:rsidRPr="000514B9" w:rsidRDefault="000514B9" w:rsidP="000514B9">
      <w:pPr>
        <w:spacing w:line="360" w:lineRule="auto"/>
        <w:jc w:val="both"/>
        <w:rPr>
          <w:rFonts w:cstheme="minorHAnsi"/>
          <w:bCs/>
          <w:sz w:val="18"/>
          <w:szCs w:val="20"/>
        </w:rPr>
      </w:pPr>
      <w:r w:rsidRPr="000514B9">
        <w:rPr>
          <w:rFonts w:cstheme="minorHAnsi"/>
          <w:bCs/>
          <w:sz w:val="18"/>
          <w:szCs w:val="20"/>
          <w:lang w:val="en-US"/>
        </w:rPr>
        <w:t xml:space="preserve">(F) Increase in proportion of </w:t>
      </w:r>
      <w:proofErr w:type="spellStart"/>
      <w:r w:rsidRPr="000514B9">
        <w:rPr>
          <w:rFonts w:cstheme="minorHAnsi"/>
          <w:bCs/>
          <w:sz w:val="18"/>
          <w:szCs w:val="20"/>
          <w:lang w:val="en-US"/>
        </w:rPr>
        <w:t>calreticulin</w:t>
      </w:r>
      <w:proofErr w:type="spellEnd"/>
      <w:r w:rsidRPr="000514B9">
        <w:rPr>
          <w:rFonts w:cstheme="minorHAnsi"/>
          <w:bCs/>
          <w:sz w:val="18"/>
          <w:szCs w:val="20"/>
          <w:lang w:val="en-US"/>
        </w:rPr>
        <w:t>-expressing cells upon BCV treatment.</w:t>
      </w:r>
    </w:p>
    <w:p w14:paraId="361EAF56" w14:textId="6FE3A396" w:rsidR="000514B9" w:rsidRDefault="000514B9">
      <w:pPr>
        <w:rPr>
          <w:rFonts w:cstheme="minorHAnsi"/>
          <w:bCs/>
          <w:sz w:val="18"/>
          <w:szCs w:val="20"/>
        </w:rPr>
      </w:pPr>
      <w:r>
        <w:rPr>
          <w:rFonts w:cstheme="minorHAnsi"/>
          <w:bCs/>
          <w:sz w:val="18"/>
          <w:szCs w:val="20"/>
        </w:rPr>
        <w:br w:type="page"/>
      </w:r>
    </w:p>
    <w:p w14:paraId="0B07A543" w14:textId="2C4C3F2B" w:rsidR="000514B9" w:rsidRDefault="00DA42E7" w:rsidP="000514B9">
      <w:pPr>
        <w:spacing w:line="360" w:lineRule="auto"/>
        <w:rPr>
          <w:rFonts w:cstheme="minorHAnsi"/>
          <w:bCs/>
          <w:sz w:val="18"/>
          <w:szCs w:val="20"/>
        </w:rPr>
      </w:pPr>
      <w:r>
        <w:rPr>
          <w:rFonts w:cstheme="minorHAnsi"/>
          <w:bCs/>
          <w:sz w:val="18"/>
          <w:szCs w:val="20"/>
        </w:rPr>
        <w:lastRenderedPageBreak/>
        <w:pict w14:anchorId="60D62F74">
          <v:shape id="_x0000_i1028" type="#_x0000_t75" style="width:451.45pt;height:452.1pt">
            <v:imagedata r:id="rId8" o:title="FIgure S4"/>
          </v:shape>
        </w:pict>
      </w:r>
    </w:p>
    <w:p w14:paraId="00DA3450" w14:textId="77777777" w:rsidR="000514B9" w:rsidRPr="000514B9" w:rsidRDefault="000514B9" w:rsidP="000514B9">
      <w:pPr>
        <w:spacing w:line="360" w:lineRule="auto"/>
        <w:jc w:val="both"/>
        <w:rPr>
          <w:rFonts w:cstheme="minorHAnsi"/>
          <w:bCs/>
          <w:sz w:val="18"/>
          <w:szCs w:val="20"/>
        </w:rPr>
      </w:pPr>
      <w:r w:rsidRPr="000514B9">
        <w:rPr>
          <w:rFonts w:cstheme="minorHAnsi"/>
          <w:b/>
          <w:bCs/>
          <w:sz w:val="18"/>
          <w:szCs w:val="20"/>
          <w:lang w:val="en-US"/>
        </w:rPr>
        <w:t>Supplementary Figure 4. Single cell transcriptomic sequencing reveals distinct cell states evoked by BCV treatment.</w:t>
      </w:r>
    </w:p>
    <w:p w14:paraId="4E158CE5" w14:textId="77777777" w:rsidR="000514B9" w:rsidRPr="000514B9" w:rsidRDefault="000514B9" w:rsidP="000514B9">
      <w:pPr>
        <w:spacing w:line="360" w:lineRule="auto"/>
        <w:jc w:val="both"/>
        <w:rPr>
          <w:rFonts w:cstheme="minorHAnsi"/>
          <w:bCs/>
          <w:sz w:val="18"/>
          <w:szCs w:val="20"/>
        </w:rPr>
      </w:pPr>
      <w:r w:rsidRPr="000514B9">
        <w:rPr>
          <w:rFonts w:cstheme="minorHAnsi"/>
          <w:bCs/>
          <w:sz w:val="18"/>
          <w:szCs w:val="20"/>
          <w:lang w:val="en-US"/>
        </w:rPr>
        <w:t>(A) UMAP plots demonstrating distinct clusters of mock (DMSO)-treated cells and BCV-treated cells at 48h and 72h for KAI-3 cell line.</w:t>
      </w:r>
    </w:p>
    <w:p w14:paraId="2BCB1100" w14:textId="77777777" w:rsidR="000514B9" w:rsidRPr="000514B9" w:rsidRDefault="000514B9" w:rsidP="000514B9">
      <w:pPr>
        <w:spacing w:line="360" w:lineRule="auto"/>
        <w:jc w:val="both"/>
        <w:rPr>
          <w:rFonts w:cstheme="minorHAnsi"/>
          <w:bCs/>
          <w:sz w:val="18"/>
          <w:szCs w:val="20"/>
        </w:rPr>
      </w:pPr>
      <w:r w:rsidRPr="000514B9">
        <w:rPr>
          <w:rFonts w:cstheme="minorHAnsi"/>
          <w:bCs/>
          <w:sz w:val="18"/>
          <w:szCs w:val="20"/>
          <w:lang w:val="en-US"/>
        </w:rPr>
        <w:t xml:space="preserve">(B) UMAP plots demonstrated distinct clusters of cells in various states, expressing genes involved in various signaling pathways. </w:t>
      </w:r>
    </w:p>
    <w:p w14:paraId="2857E9D8" w14:textId="77777777" w:rsidR="000514B9" w:rsidRPr="000514B9" w:rsidRDefault="000514B9" w:rsidP="000514B9">
      <w:pPr>
        <w:spacing w:line="360" w:lineRule="auto"/>
        <w:jc w:val="both"/>
        <w:rPr>
          <w:rFonts w:cstheme="minorHAnsi"/>
          <w:bCs/>
          <w:sz w:val="18"/>
          <w:szCs w:val="20"/>
        </w:rPr>
      </w:pPr>
      <w:r w:rsidRPr="000514B9">
        <w:rPr>
          <w:rFonts w:cstheme="minorHAnsi"/>
          <w:bCs/>
          <w:sz w:val="18"/>
          <w:szCs w:val="20"/>
          <w:lang w:val="en-US"/>
        </w:rPr>
        <w:t>(C) Changes in proportion of each cell cluster over time for KAI-3 cell line after BCV treatment.</w:t>
      </w:r>
    </w:p>
    <w:p w14:paraId="4FB2C9D3" w14:textId="35E3567A" w:rsidR="000514B9" w:rsidRPr="000514B9" w:rsidRDefault="000514B9" w:rsidP="000514B9">
      <w:pPr>
        <w:spacing w:line="360" w:lineRule="auto"/>
        <w:jc w:val="both"/>
        <w:rPr>
          <w:rFonts w:cstheme="minorHAnsi"/>
          <w:bCs/>
          <w:sz w:val="18"/>
          <w:szCs w:val="20"/>
        </w:rPr>
      </w:pPr>
      <w:r w:rsidRPr="000514B9">
        <w:rPr>
          <w:rFonts w:cstheme="minorHAnsi"/>
          <w:bCs/>
          <w:sz w:val="18"/>
          <w:szCs w:val="20"/>
          <w:lang w:val="en-US"/>
        </w:rPr>
        <w:t xml:space="preserve">(D-F) </w:t>
      </w:r>
      <w:r w:rsidR="0063041B">
        <w:rPr>
          <w:rFonts w:cstheme="minorHAnsi"/>
          <w:bCs/>
          <w:sz w:val="18"/>
          <w:szCs w:val="20"/>
          <w:lang w:val="en-US"/>
        </w:rPr>
        <w:t>Corresponding d</w:t>
      </w:r>
      <w:r w:rsidRPr="000514B9">
        <w:rPr>
          <w:rFonts w:cstheme="minorHAnsi"/>
          <w:bCs/>
          <w:sz w:val="18"/>
          <w:szCs w:val="20"/>
          <w:lang w:val="en-US"/>
        </w:rPr>
        <w:t>ata shown for NK-S1 cell line.</w:t>
      </w:r>
    </w:p>
    <w:p w14:paraId="4B524DED" w14:textId="3512ACCD" w:rsidR="000514B9" w:rsidRDefault="000514B9">
      <w:pPr>
        <w:rPr>
          <w:rFonts w:cstheme="minorHAnsi"/>
          <w:bCs/>
          <w:sz w:val="18"/>
          <w:szCs w:val="20"/>
        </w:rPr>
      </w:pPr>
      <w:r>
        <w:rPr>
          <w:rFonts w:cstheme="minorHAnsi"/>
          <w:bCs/>
          <w:sz w:val="18"/>
          <w:szCs w:val="20"/>
        </w:rPr>
        <w:br w:type="page"/>
      </w:r>
    </w:p>
    <w:p w14:paraId="287C15F5" w14:textId="1DD17531" w:rsidR="000514B9" w:rsidRDefault="00DA42E7" w:rsidP="000514B9">
      <w:pPr>
        <w:spacing w:line="360" w:lineRule="auto"/>
        <w:jc w:val="center"/>
        <w:rPr>
          <w:rFonts w:cstheme="minorHAnsi"/>
          <w:bCs/>
          <w:sz w:val="18"/>
          <w:szCs w:val="20"/>
        </w:rPr>
      </w:pPr>
      <w:r>
        <w:rPr>
          <w:rFonts w:cstheme="minorHAnsi"/>
          <w:bCs/>
          <w:sz w:val="18"/>
          <w:szCs w:val="20"/>
        </w:rPr>
        <w:lastRenderedPageBreak/>
        <w:pict w14:anchorId="69617F39">
          <v:shape id="_x0000_i1029" type="#_x0000_t75" style="width:451.45pt;height:271.8pt">
            <v:imagedata r:id="rId9" o:title="Figure S5"/>
          </v:shape>
        </w:pict>
      </w:r>
    </w:p>
    <w:p w14:paraId="135443DC" w14:textId="77777777" w:rsidR="000514B9" w:rsidRPr="000514B9" w:rsidRDefault="000514B9" w:rsidP="000514B9">
      <w:pPr>
        <w:spacing w:line="360" w:lineRule="auto"/>
        <w:rPr>
          <w:rFonts w:cstheme="minorHAnsi"/>
          <w:bCs/>
          <w:sz w:val="18"/>
          <w:szCs w:val="20"/>
        </w:rPr>
      </w:pPr>
      <w:r w:rsidRPr="000514B9">
        <w:rPr>
          <w:rFonts w:cstheme="minorHAnsi"/>
          <w:b/>
          <w:bCs/>
          <w:sz w:val="18"/>
          <w:szCs w:val="20"/>
        </w:rPr>
        <w:t xml:space="preserve">Supplementary Figure 5. Effect of BCV in T-cell lymphoma cell lines. </w:t>
      </w:r>
    </w:p>
    <w:p w14:paraId="54C6F020" w14:textId="2375408E" w:rsidR="000514B9" w:rsidRDefault="000514B9">
      <w:pPr>
        <w:rPr>
          <w:rFonts w:cstheme="minorHAnsi"/>
          <w:bCs/>
          <w:sz w:val="18"/>
          <w:szCs w:val="20"/>
        </w:rPr>
      </w:pPr>
      <w:r>
        <w:rPr>
          <w:rFonts w:cstheme="minorHAnsi"/>
          <w:bCs/>
          <w:sz w:val="18"/>
          <w:szCs w:val="20"/>
        </w:rPr>
        <w:br w:type="page"/>
      </w:r>
    </w:p>
    <w:p w14:paraId="643A43E7" w14:textId="1ACA549F" w:rsidR="000514B9" w:rsidRDefault="00DA42E7" w:rsidP="000514B9">
      <w:pPr>
        <w:spacing w:line="360" w:lineRule="auto"/>
        <w:jc w:val="center"/>
        <w:rPr>
          <w:rFonts w:cstheme="minorHAnsi"/>
          <w:bCs/>
          <w:sz w:val="18"/>
          <w:szCs w:val="20"/>
        </w:rPr>
      </w:pPr>
      <w:r>
        <w:rPr>
          <w:rFonts w:cstheme="minorHAnsi"/>
          <w:bCs/>
          <w:sz w:val="18"/>
          <w:szCs w:val="20"/>
        </w:rPr>
        <w:lastRenderedPageBreak/>
        <w:pict w14:anchorId="5F1D1427">
          <v:shape id="_x0000_i1030" type="#_x0000_t75" style="width:378.8pt;height:344.45pt">
            <v:imagedata r:id="rId10" o:title="Figure S6"/>
          </v:shape>
        </w:pict>
      </w:r>
    </w:p>
    <w:p w14:paraId="6095BC7B" w14:textId="138C56AE" w:rsidR="000514B9" w:rsidRPr="000514B9" w:rsidRDefault="000514B9" w:rsidP="000514B9">
      <w:pPr>
        <w:spacing w:line="360" w:lineRule="auto"/>
        <w:rPr>
          <w:rFonts w:cstheme="minorHAnsi"/>
          <w:bCs/>
          <w:sz w:val="18"/>
          <w:szCs w:val="20"/>
        </w:rPr>
      </w:pPr>
      <w:r w:rsidRPr="000514B9">
        <w:rPr>
          <w:rFonts w:cstheme="minorHAnsi"/>
          <w:b/>
          <w:bCs/>
          <w:sz w:val="18"/>
          <w:szCs w:val="20"/>
        </w:rPr>
        <w:t>Supplementary Figure 6. In vivo efficacy of BCV in PT</w:t>
      </w:r>
      <w:r w:rsidR="00BE58FB">
        <w:rPr>
          <w:rFonts w:cstheme="minorHAnsi"/>
          <w:b/>
          <w:bCs/>
          <w:sz w:val="18"/>
          <w:szCs w:val="20"/>
        </w:rPr>
        <w:t>CL</w:t>
      </w:r>
      <w:r w:rsidRPr="000514B9">
        <w:rPr>
          <w:rFonts w:cstheme="minorHAnsi"/>
          <w:b/>
          <w:bCs/>
          <w:sz w:val="18"/>
          <w:szCs w:val="20"/>
        </w:rPr>
        <w:t>-S2 xenograft model</w:t>
      </w:r>
    </w:p>
    <w:p w14:paraId="6B6CB56A" w14:textId="045A1CD4" w:rsidR="000514B9" w:rsidRPr="000514B9" w:rsidRDefault="000514B9" w:rsidP="000514B9">
      <w:pPr>
        <w:spacing w:line="360" w:lineRule="auto"/>
        <w:jc w:val="both"/>
        <w:rPr>
          <w:rFonts w:cstheme="minorHAnsi"/>
          <w:bCs/>
          <w:sz w:val="18"/>
          <w:szCs w:val="20"/>
        </w:rPr>
      </w:pPr>
      <w:r w:rsidRPr="000514B9">
        <w:rPr>
          <w:rFonts w:cstheme="minorHAnsi"/>
          <w:bCs/>
          <w:sz w:val="18"/>
          <w:szCs w:val="20"/>
          <w:lang w:val="en-US"/>
        </w:rPr>
        <w:t xml:space="preserve">(A) </w:t>
      </w:r>
      <w:r w:rsidRPr="000514B9">
        <w:rPr>
          <w:rFonts w:cstheme="minorHAnsi"/>
          <w:bCs/>
          <w:sz w:val="18"/>
          <w:szCs w:val="20"/>
        </w:rPr>
        <w:t xml:space="preserve">BCV </w:t>
      </w:r>
      <w:r w:rsidRPr="000514B9">
        <w:rPr>
          <w:rFonts w:cstheme="minorHAnsi"/>
          <w:bCs/>
          <w:sz w:val="18"/>
          <w:szCs w:val="20"/>
          <w:lang w:val="en-US"/>
        </w:rPr>
        <w:t xml:space="preserve">inhibited tumor growth in the </w:t>
      </w:r>
      <w:r w:rsidRPr="000514B9">
        <w:rPr>
          <w:rFonts w:cstheme="minorHAnsi"/>
          <w:bCs/>
          <w:sz w:val="18"/>
          <w:szCs w:val="20"/>
        </w:rPr>
        <w:t>PT</w:t>
      </w:r>
      <w:r w:rsidR="00BE58FB">
        <w:rPr>
          <w:rFonts w:cstheme="minorHAnsi"/>
          <w:bCs/>
          <w:sz w:val="18"/>
          <w:szCs w:val="20"/>
        </w:rPr>
        <w:t>CL</w:t>
      </w:r>
      <w:r w:rsidRPr="000514B9">
        <w:rPr>
          <w:rFonts w:cstheme="minorHAnsi"/>
          <w:bCs/>
          <w:sz w:val="18"/>
          <w:szCs w:val="20"/>
        </w:rPr>
        <w:t>-S2 xenograft model (</w:t>
      </w:r>
      <w:proofErr w:type="spellStart"/>
      <w:r w:rsidRPr="000514B9">
        <w:rPr>
          <w:rFonts w:cstheme="minorHAnsi"/>
          <w:bCs/>
          <w:sz w:val="18"/>
          <w:szCs w:val="20"/>
        </w:rPr>
        <w:t>tumor</w:t>
      </w:r>
      <w:proofErr w:type="spellEnd"/>
      <w:r w:rsidRPr="000514B9">
        <w:rPr>
          <w:rFonts w:cstheme="minorHAnsi"/>
          <w:bCs/>
          <w:sz w:val="18"/>
          <w:szCs w:val="20"/>
        </w:rPr>
        <w:t xml:space="preserve"> volume: </w:t>
      </w:r>
      <w:r w:rsidRPr="000514B9">
        <w:rPr>
          <w:rFonts w:cstheme="minorHAnsi"/>
          <w:bCs/>
          <w:i/>
          <w:iCs/>
          <w:sz w:val="18"/>
          <w:szCs w:val="20"/>
        </w:rPr>
        <w:t>p</w:t>
      </w:r>
      <w:r w:rsidRPr="000514B9">
        <w:rPr>
          <w:rFonts w:cstheme="minorHAnsi"/>
          <w:bCs/>
          <w:sz w:val="18"/>
          <w:szCs w:val="20"/>
        </w:rPr>
        <w:t xml:space="preserve"> = 0.0113, two-tailed t-test; (B) </w:t>
      </w:r>
      <w:proofErr w:type="spellStart"/>
      <w:r w:rsidRPr="000514B9">
        <w:rPr>
          <w:rFonts w:cstheme="minorHAnsi"/>
          <w:bCs/>
          <w:sz w:val="18"/>
          <w:szCs w:val="20"/>
        </w:rPr>
        <w:t>tumor</w:t>
      </w:r>
      <w:proofErr w:type="spellEnd"/>
      <w:r w:rsidRPr="000514B9">
        <w:rPr>
          <w:rFonts w:cstheme="minorHAnsi"/>
          <w:bCs/>
          <w:sz w:val="18"/>
          <w:szCs w:val="20"/>
        </w:rPr>
        <w:t xml:space="preserve"> weight: </w:t>
      </w:r>
      <w:r w:rsidRPr="000514B9">
        <w:rPr>
          <w:rFonts w:cstheme="minorHAnsi"/>
          <w:bCs/>
          <w:i/>
          <w:iCs/>
          <w:sz w:val="18"/>
          <w:szCs w:val="20"/>
        </w:rPr>
        <w:t>p</w:t>
      </w:r>
      <w:r w:rsidRPr="000514B9">
        <w:rPr>
          <w:rFonts w:cstheme="minorHAnsi"/>
          <w:bCs/>
          <w:sz w:val="18"/>
          <w:szCs w:val="20"/>
        </w:rPr>
        <w:t xml:space="preserve"> = 0.0039, </w:t>
      </w:r>
      <w:r w:rsidRPr="000514B9">
        <w:rPr>
          <w:rFonts w:cstheme="minorHAnsi"/>
          <w:bCs/>
          <w:sz w:val="18"/>
          <w:szCs w:val="20"/>
          <w:lang w:val="en-US"/>
        </w:rPr>
        <w:t>Mann-Whitney U test</w:t>
      </w:r>
      <w:r w:rsidRPr="000514B9">
        <w:rPr>
          <w:rFonts w:cstheme="minorHAnsi"/>
          <w:bCs/>
          <w:sz w:val="18"/>
          <w:szCs w:val="20"/>
        </w:rPr>
        <w:t>). NSG mice were treated twice per week IP with either vehicle or BCV (40 mg/kg) after subcutaneous flank inoculation with PT</w:t>
      </w:r>
      <w:r w:rsidR="00BE58FB">
        <w:rPr>
          <w:rFonts w:cstheme="minorHAnsi"/>
          <w:bCs/>
          <w:sz w:val="18"/>
          <w:szCs w:val="20"/>
        </w:rPr>
        <w:t>CL</w:t>
      </w:r>
      <w:r w:rsidRPr="000514B9">
        <w:rPr>
          <w:rFonts w:cstheme="minorHAnsi"/>
          <w:bCs/>
          <w:sz w:val="18"/>
          <w:szCs w:val="20"/>
        </w:rPr>
        <w:t xml:space="preserve">-S2 cells (n = 10 per group) (scale bar: </w:t>
      </w:r>
      <w:r w:rsidRPr="000514B9">
        <w:rPr>
          <w:rFonts w:cstheme="minorHAnsi"/>
          <w:bCs/>
          <w:sz w:val="18"/>
          <w:szCs w:val="20"/>
          <w:lang w:val="en-US"/>
        </w:rPr>
        <w:t>10 m</w:t>
      </w:r>
      <w:r w:rsidRPr="000514B9">
        <w:rPr>
          <w:rFonts w:cstheme="minorHAnsi"/>
          <w:bCs/>
          <w:sz w:val="18"/>
          <w:szCs w:val="20"/>
        </w:rPr>
        <w:t>m).</w:t>
      </w:r>
    </w:p>
    <w:p w14:paraId="44789194" w14:textId="77777777" w:rsidR="000514B9" w:rsidRPr="000514B9" w:rsidRDefault="000514B9" w:rsidP="000514B9">
      <w:pPr>
        <w:spacing w:line="360" w:lineRule="auto"/>
        <w:jc w:val="both"/>
        <w:rPr>
          <w:rFonts w:cstheme="minorHAnsi"/>
          <w:bCs/>
          <w:sz w:val="18"/>
          <w:szCs w:val="20"/>
        </w:rPr>
      </w:pPr>
      <w:r w:rsidRPr="000514B9">
        <w:rPr>
          <w:rFonts w:cstheme="minorHAnsi"/>
          <w:bCs/>
          <w:sz w:val="18"/>
          <w:szCs w:val="20"/>
          <w:lang w:val="en-US"/>
        </w:rPr>
        <w:t xml:space="preserve">(C) Western blot demonstrated decrease protein expression of MYC, while cyclin E, cleaved PARP, cleaved caspase-3 were increased. </w:t>
      </w:r>
      <w:proofErr w:type="gramStart"/>
      <w:r w:rsidRPr="000514B9">
        <w:rPr>
          <w:rFonts w:cstheme="minorHAnsi"/>
          <w:bCs/>
          <w:sz w:val="18"/>
          <w:szCs w:val="20"/>
          <w:lang w:val="en-US"/>
        </w:rPr>
        <w:t>p-H2AX</w:t>
      </w:r>
      <w:proofErr w:type="gramEnd"/>
      <w:r w:rsidRPr="000514B9">
        <w:rPr>
          <w:rFonts w:cstheme="minorHAnsi"/>
          <w:bCs/>
          <w:sz w:val="18"/>
          <w:szCs w:val="20"/>
          <w:lang w:val="en-US"/>
        </w:rPr>
        <w:t>, p-CHK1, p-RPA2, and PD-L1 were similarly increased.</w:t>
      </w:r>
    </w:p>
    <w:p w14:paraId="7EA739C6" w14:textId="31B0E931" w:rsidR="000514B9" w:rsidRDefault="000514B9">
      <w:pPr>
        <w:rPr>
          <w:rFonts w:cstheme="minorHAnsi"/>
          <w:bCs/>
          <w:sz w:val="18"/>
          <w:szCs w:val="20"/>
        </w:rPr>
      </w:pPr>
      <w:r>
        <w:rPr>
          <w:rFonts w:cstheme="minorHAnsi"/>
          <w:bCs/>
          <w:sz w:val="18"/>
          <w:szCs w:val="20"/>
        </w:rPr>
        <w:br w:type="page"/>
      </w:r>
    </w:p>
    <w:p w14:paraId="6AEEC481" w14:textId="052478C2" w:rsidR="000514B9" w:rsidRDefault="00DA42E7" w:rsidP="000514B9">
      <w:pPr>
        <w:spacing w:line="360" w:lineRule="auto"/>
        <w:jc w:val="center"/>
        <w:rPr>
          <w:rFonts w:cstheme="minorHAnsi"/>
          <w:bCs/>
          <w:sz w:val="18"/>
          <w:szCs w:val="20"/>
        </w:rPr>
      </w:pPr>
      <w:r>
        <w:rPr>
          <w:rFonts w:cstheme="minorHAnsi"/>
          <w:bCs/>
          <w:sz w:val="18"/>
          <w:szCs w:val="20"/>
        </w:rPr>
        <w:lastRenderedPageBreak/>
        <w:pict w14:anchorId="4821EF4B">
          <v:shape id="_x0000_i1031" type="#_x0000_t75" style="width:451.45pt;height:568.2pt">
            <v:imagedata r:id="rId11" o:title="Figure S7"/>
          </v:shape>
        </w:pict>
      </w:r>
    </w:p>
    <w:p w14:paraId="6965677B" w14:textId="77777777" w:rsidR="000514B9" w:rsidRPr="000514B9" w:rsidRDefault="000514B9" w:rsidP="000514B9">
      <w:pPr>
        <w:spacing w:line="360" w:lineRule="auto"/>
        <w:rPr>
          <w:rFonts w:cstheme="minorHAnsi"/>
          <w:bCs/>
          <w:sz w:val="18"/>
          <w:szCs w:val="20"/>
        </w:rPr>
      </w:pPr>
      <w:r w:rsidRPr="000514B9">
        <w:rPr>
          <w:rFonts w:cstheme="minorHAnsi"/>
          <w:b/>
          <w:bCs/>
          <w:sz w:val="18"/>
          <w:szCs w:val="20"/>
        </w:rPr>
        <w:t xml:space="preserve">Supplementary Figure 7. </w:t>
      </w:r>
      <w:r w:rsidRPr="000514B9">
        <w:rPr>
          <w:rFonts w:cstheme="minorHAnsi"/>
          <w:b/>
          <w:bCs/>
          <w:sz w:val="18"/>
          <w:szCs w:val="20"/>
          <w:lang w:val="en-US"/>
        </w:rPr>
        <w:t>NanoString pathway scores in EL4-C57BL/6 treatment groups</w:t>
      </w:r>
    </w:p>
    <w:p w14:paraId="6339575B" w14:textId="1249BCAC" w:rsidR="000514B9" w:rsidRDefault="000514B9">
      <w:pPr>
        <w:rPr>
          <w:rFonts w:cstheme="minorHAnsi"/>
          <w:bCs/>
          <w:sz w:val="18"/>
          <w:szCs w:val="20"/>
        </w:rPr>
      </w:pPr>
      <w:r>
        <w:rPr>
          <w:rFonts w:cstheme="minorHAnsi"/>
          <w:bCs/>
          <w:sz w:val="18"/>
          <w:szCs w:val="20"/>
        </w:rPr>
        <w:br w:type="page"/>
      </w:r>
    </w:p>
    <w:p w14:paraId="31D7CB0E" w14:textId="74139731" w:rsidR="000514B9" w:rsidRDefault="00DA42E7" w:rsidP="000514B9">
      <w:pPr>
        <w:spacing w:line="360" w:lineRule="auto"/>
        <w:jc w:val="center"/>
        <w:rPr>
          <w:rFonts w:cstheme="minorHAnsi"/>
          <w:bCs/>
          <w:sz w:val="18"/>
          <w:szCs w:val="20"/>
        </w:rPr>
      </w:pPr>
      <w:r>
        <w:rPr>
          <w:rFonts w:cstheme="minorHAnsi"/>
          <w:bCs/>
          <w:sz w:val="18"/>
          <w:szCs w:val="20"/>
        </w:rPr>
        <w:lastRenderedPageBreak/>
        <w:pict w14:anchorId="2E9C1BA0">
          <v:shape id="_x0000_i1032" type="#_x0000_t75" style="width:430.7pt;height:258.8pt">
            <v:imagedata r:id="rId12" o:title="Figure S8"/>
          </v:shape>
        </w:pict>
      </w:r>
    </w:p>
    <w:p w14:paraId="0D43FBEA" w14:textId="77777777" w:rsidR="000514B9" w:rsidRPr="000514B9" w:rsidRDefault="000514B9" w:rsidP="000514B9">
      <w:pPr>
        <w:spacing w:line="360" w:lineRule="auto"/>
        <w:rPr>
          <w:rFonts w:cstheme="minorHAnsi"/>
          <w:bCs/>
          <w:sz w:val="18"/>
          <w:szCs w:val="20"/>
        </w:rPr>
      </w:pPr>
      <w:r w:rsidRPr="000514B9">
        <w:rPr>
          <w:rFonts w:cstheme="minorHAnsi"/>
          <w:b/>
          <w:bCs/>
          <w:sz w:val="18"/>
          <w:szCs w:val="20"/>
        </w:rPr>
        <w:t>Supplementary Figure 8. N</w:t>
      </w:r>
      <w:r w:rsidRPr="000514B9">
        <w:rPr>
          <w:rFonts w:cstheme="minorHAnsi"/>
          <w:b/>
          <w:bCs/>
          <w:sz w:val="18"/>
          <w:szCs w:val="20"/>
          <w:lang w:val="en-US"/>
        </w:rPr>
        <w:t>anoString cell-type scores in EL4-C57BL/6 treatment groups</w:t>
      </w:r>
    </w:p>
    <w:p w14:paraId="35DCA776" w14:textId="749F326E" w:rsidR="000514B9" w:rsidRDefault="000514B9">
      <w:pPr>
        <w:rPr>
          <w:rFonts w:cstheme="minorHAnsi"/>
          <w:bCs/>
          <w:sz w:val="18"/>
          <w:szCs w:val="20"/>
        </w:rPr>
      </w:pPr>
      <w:r>
        <w:rPr>
          <w:rFonts w:cstheme="minorHAnsi"/>
          <w:bCs/>
          <w:sz w:val="18"/>
          <w:szCs w:val="20"/>
        </w:rPr>
        <w:br w:type="page"/>
      </w:r>
    </w:p>
    <w:p w14:paraId="1A5E8C2A" w14:textId="40049410" w:rsidR="000514B9" w:rsidRDefault="00DA42E7" w:rsidP="000514B9">
      <w:pPr>
        <w:spacing w:line="360" w:lineRule="auto"/>
        <w:jc w:val="center"/>
        <w:rPr>
          <w:rFonts w:cstheme="minorHAnsi"/>
          <w:bCs/>
          <w:sz w:val="18"/>
          <w:szCs w:val="20"/>
        </w:rPr>
      </w:pPr>
      <w:r>
        <w:rPr>
          <w:rFonts w:cstheme="minorHAnsi"/>
          <w:bCs/>
          <w:sz w:val="18"/>
          <w:szCs w:val="20"/>
        </w:rPr>
        <w:lastRenderedPageBreak/>
        <w:pict w14:anchorId="0AB0EFF3">
          <v:shape id="_x0000_i1033" type="#_x0000_t75" style="width:307.45pt;height:497.5pt">
            <v:imagedata r:id="rId13" o:title="Figure S9"/>
          </v:shape>
        </w:pict>
      </w:r>
    </w:p>
    <w:p w14:paraId="4FFB5C54" w14:textId="77777777" w:rsidR="000514B9" w:rsidRPr="000514B9" w:rsidRDefault="000514B9" w:rsidP="000514B9">
      <w:pPr>
        <w:spacing w:line="360" w:lineRule="auto"/>
        <w:rPr>
          <w:rFonts w:cstheme="minorHAnsi"/>
          <w:bCs/>
          <w:sz w:val="18"/>
          <w:szCs w:val="20"/>
        </w:rPr>
      </w:pPr>
      <w:r w:rsidRPr="000514B9">
        <w:rPr>
          <w:rFonts w:cstheme="minorHAnsi"/>
          <w:b/>
          <w:bCs/>
          <w:sz w:val="18"/>
          <w:szCs w:val="20"/>
        </w:rPr>
        <w:t>Supplementary Figure 9. E</w:t>
      </w:r>
      <w:r w:rsidRPr="000514B9">
        <w:rPr>
          <w:rFonts w:cstheme="minorHAnsi"/>
          <w:b/>
          <w:bCs/>
          <w:sz w:val="18"/>
          <w:szCs w:val="20"/>
          <w:lang w:val="en-US"/>
        </w:rPr>
        <w:t>xpression of selected genes in EL4-C57BL/6 treatment groups</w:t>
      </w:r>
    </w:p>
    <w:p w14:paraId="40F1F15A" w14:textId="3E563430" w:rsidR="000514B9" w:rsidRDefault="000514B9">
      <w:pPr>
        <w:rPr>
          <w:rFonts w:cstheme="minorHAnsi"/>
          <w:bCs/>
          <w:sz w:val="18"/>
          <w:szCs w:val="20"/>
        </w:rPr>
      </w:pPr>
      <w:r>
        <w:rPr>
          <w:rFonts w:cstheme="minorHAnsi"/>
          <w:bCs/>
          <w:sz w:val="18"/>
          <w:szCs w:val="20"/>
        </w:rPr>
        <w:br w:type="page"/>
      </w:r>
    </w:p>
    <w:p w14:paraId="0C1CDECC" w14:textId="7B1DF432" w:rsidR="000514B9" w:rsidRDefault="00DA42E7" w:rsidP="000514B9">
      <w:pPr>
        <w:spacing w:line="360" w:lineRule="auto"/>
        <w:jc w:val="center"/>
        <w:rPr>
          <w:rFonts w:cstheme="minorHAnsi"/>
          <w:bCs/>
          <w:sz w:val="18"/>
          <w:szCs w:val="20"/>
        </w:rPr>
      </w:pPr>
      <w:r>
        <w:rPr>
          <w:rFonts w:cstheme="minorHAnsi"/>
          <w:bCs/>
          <w:sz w:val="18"/>
          <w:szCs w:val="20"/>
        </w:rPr>
        <w:lastRenderedPageBreak/>
        <w:pict w14:anchorId="2A60237C">
          <v:shape id="_x0000_i1034" type="#_x0000_t75" style="width:451.45pt;height:442.4pt">
            <v:imagedata r:id="rId14" o:title="Figure S10"/>
          </v:shape>
        </w:pict>
      </w:r>
    </w:p>
    <w:p w14:paraId="79D1CED8" w14:textId="77777777" w:rsidR="000514B9" w:rsidRPr="000514B9" w:rsidRDefault="000514B9" w:rsidP="000514B9">
      <w:pPr>
        <w:spacing w:line="360" w:lineRule="auto"/>
        <w:rPr>
          <w:rFonts w:cstheme="minorHAnsi"/>
          <w:bCs/>
          <w:sz w:val="18"/>
          <w:szCs w:val="20"/>
        </w:rPr>
      </w:pPr>
      <w:r w:rsidRPr="000514B9">
        <w:rPr>
          <w:rFonts w:cstheme="minorHAnsi"/>
          <w:b/>
          <w:bCs/>
          <w:sz w:val="18"/>
          <w:szCs w:val="20"/>
        </w:rPr>
        <w:t>Supplementary Figure 10. Effect of BCV in B-cell lymphoma cell lines</w:t>
      </w:r>
    </w:p>
    <w:p w14:paraId="472E1C26" w14:textId="73B418D0" w:rsidR="000514B9" w:rsidRDefault="000514B9">
      <w:pPr>
        <w:rPr>
          <w:rFonts w:cstheme="minorHAnsi"/>
          <w:bCs/>
          <w:sz w:val="18"/>
          <w:szCs w:val="20"/>
        </w:rPr>
      </w:pPr>
      <w:r>
        <w:rPr>
          <w:rFonts w:cstheme="minorHAnsi"/>
          <w:bCs/>
          <w:sz w:val="18"/>
          <w:szCs w:val="20"/>
        </w:rPr>
        <w:br w:type="page"/>
      </w:r>
    </w:p>
    <w:p w14:paraId="36277115" w14:textId="4500C15E" w:rsidR="000514B9" w:rsidRDefault="00DA42E7" w:rsidP="000514B9">
      <w:pPr>
        <w:spacing w:line="360" w:lineRule="auto"/>
        <w:jc w:val="center"/>
        <w:rPr>
          <w:rFonts w:cstheme="minorHAnsi"/>
          <w:bCs/>
          <w:sz w:val="18"/>
          <w:szCs w:val="20"/>
        </w:rPr>
      </w:pPr>
      <w:r>
        <w:rPr>
          <w:rFonts w:cstheme="minorHAnsi"/>
          <w:bCs/>
          <w:sz w:val="18"/>
          <w:szCs w:val="20"/>
        </w:rPr>
        <w:lastRenderedPageBreak/>
        <w:pict w14:anchorId="2215C066">
          <v:shape id="_x0000_i1035" type="#_x0000_t75" style="width:451.45pt;height:602.6pt">
            <v:imagedata r:id="rId15" o:title="Figure S11"/>
          </v:shape>
        </w:pict>
      </w:r>
    </w:p>
    <w:p w14:paraId="03352DD5" w14:textId="77777777" w:rsidR="000514B9" w:rsidRPr="000514B9" w:rsidRDefault="000514B9" w:rsidP="000514B9">
      <w:pPr>
        <w:spacing w:line="360" w:lineRule="auto"/>
        <w:rPr>
          <w:rFonts w:cstheme="minorHAnsi"/>
          <w:bCs/>
          <w:sz w:val="18"/>
          <w:szCs w:val="20"/>
        </w:rPr>
      </w:pPr>
      <w:r w:rsidRPr="000514B9">
        <w:rPr>
          <w:rFonts w:cstheme="minorHAnsi"/>
          <w:b/>
          <w:bCs/>
          <w:sz w:val="18"/>
          <w:szCs w:val="20"/>
          <w:lang w:val="en-US"/>
        </w:rPr>
        <w:t>Supplementary Figure 11. Full gels for all Western blot images used in the manuscript.</w:t>
      </w:r>
    </w:p>
    <w:p w14:paraId="5D52CB74" w14:textId="77777777" w:rsidR="000514B9" w:rsidRDefault="000514B9" w:rsidP="000514B9">
      <w:pPr>
        <w:spacing w:line="360" w:lineRule="auto"/>
        <w:rPr>
          <w:rFonts w:cstheme="minorHAnsi"/>
          <w:bCs/>
          <w:sz w:val="18"/>
          <w:szCs w:val="20"/>
        </w:rPr>
      </w:pPr>
    </w:p>
    <w:p w14:paraId="4907075E" w14:textId="77777777" w:rsidR="000514B9" w:rsidRDefault="000514B9">
      <w:pPr>
        <w:rPr>
          <w:rFonts w:cstheme="minorHAnsi"/>
          <w:bCs/>
          <w:sz w:val="18"/>
          <w:szCs w:val="20"/>
        </w:rPr>
      </w:pPr>
      <w:r>
        <w:rPr>
          <w:rFonts w:cstheme="minorHAnsi"/>
          <w:bCs/>
          <w:sz w:val="18"/>
          <w:szCs w:val="20"/>
        </w:rPr>
        <w:br w:type="page"/>
      </w:r>
    </w:p>
    <w:p w14:paraId="23851EF1" w14:textId="65934E42" w:rsidR="000514B9" w:rsidRDefault="00DA42E7" w:rsidP="000514B9">
      <w:pPr>
        <w:spacing w:line="360" w:lineRule="auto"/>
        <w:jc w:val="center"/>
        <w:rPr>
          <w:rFonts w:cstheme="minorHAnsi"/>
          <w:bCs/>
          <w:sz w:val="18"/>
          <w:szCs w:val="20"/>
        </w:rPr>
      </w:pPr>
      <w:r>
        <w:rPr>
          <w:rFonts w:cstheme="minorHAnsi"/>
          <w:bCs/>
          <w:sz w:val="18"/>
          <w:szCs w:val="20"/>
        </w:rPr>
        <w:lastRenderedPageBreak/>
        <w:pict w14:anchorId="077F4259">
          <v:shape id="_x0000_i1036" type="#_x0000_t75" style="width:451.45pt;height:602.6pt">
            <v:imagedata r:id="rId16" o:title="Figure S11-2"/>
          </v:shape>
        </w:pict>
      </w:r>
    </w:p>
    <w:p w14:paraId="3D537B3D" w14:textId="44BC57CA" w:rsidR="000514B9" w:rsidRPr="000514B9" w:rsidRDefault="000514B9" w:rsidP="000514B9">
      <w:pPr>
        <w:rPr>
          <w:rFonts w:cstheme="minorHAnsi"/>
          <w:bCs/>
          <w:sz w:val="18"/>
          <w:szCs w:val="20"/>
        </w:rPr>
      </w:pPr>
      <w:r w:rsidRPr="000514B9">
        <w:rPr>
          <w:rFonts w:cstheme="minorHAnsi"/>
          <w:b/>
          <w:bCs/>
          <w:sz w:val="18"/>
          <w:szCs w:val="20"/>
          <w:lang w:val="en-US"/>
        </w:rPr>
        <w:t>Supplementary Figure 11. Full gels for all Western blot images used in the manuscript (continued).</w:t>
      </w:r>
    </w:p>
    <w:p w14:paraId="0A7187CD" w14:textId="40738A0E" w:rsidR="000514B9" w:rsidRDefault="000514B9">
      <w:pPr>
        <w:rPr>
          <w:rFonts w:cstheme="minorHAnsi"/>
          <w:bCs/>
          <w:sz w:val="18"/>
          <w:szCs w:val="20"/>
        </w:rPr>
      </w:pPr>
    </w:p>
    <w:p w14:paraId="2B8418F9" w14:textId="5F37B6EC" w:rsidR="000514B9" w:rsidRDefault="00DA42E7" w:rsidP="000514B9">
      <w:pPr>
        <w:spacing w:line="360" w:lineRule="auto"/>
        <w:jc w:val="center"/>
        <w:rPr>
          <w:rFonts w:cstheme="minorHAnsi"/>
          <w:bCs/>
          <w:sz w:val="18"/>
          <w:szCs w:val="20"/>
        </w:rPr>
      </w:pPr>
      <w:r>
        <w:rPr>
          <w:rFonts w:cstheme="minorHAnsi"/>
          <w:bCs/>
          <w:sz w:val="18"/>
          <w:szCs w:val="20"/>
        </w:rPr>
        <w:lastRenderedPageBreak/>
        <w:pict w14:anchorId="77715712">
          <v:shape id="_x0000_i1037" type="#_x0000_t75" style="width:243.25pt;height:374.25pt">
            <v:imagedata r:id="rId17" o:title="Figure S11-3"/>
          </v:shape>
        </w:pict>
      </w:r>
    </w:p>
    <w:p w14:paraId="43F59FE8" w14:textId="77777777" w:rsidR="000514B9" w:rsidRPr="000514B9" w:rsidRDefault="000514B9" w:rsidP="000514B9">
      <w:pPr>
        <w:spacing w:line="360" w:lineRule="auto"/>
        <w:rPr>
          <w:rFonts w:cstheme="minorHAnsi"/>
          <w:bCs/>
          <w:sz w:val="18"/>
          <w:szCs w:val="20"/>
        </w:rPr>
      </w:pPr>
      <w:r w:rsidRPr="000514B9">
        <w:rPr>
          <w:rFonts w:cstheme="minorHAnsi"/>
          <w:b/>
          <w:bCs/>
          <w:sz w:val="18"/>
          <w:szCs w:val="20"/>
          <w:lang w:val="en-US"/>
        </w:rPr>
        <w:t>Supplementary Figure 11. Full gels for all Western blot images used in the manuscript (continued).</w:t>
      </w:r>
    </w:p>
    <w:p w14:paraId="0880C5EA" w14:textId="77777777" w:rsidR="000514B9" w:rsidRDefault="000514B9" w:rsidP="000514B9">
      <w:pPr>
        <w:spacing w:line="360" w:lineRule="auto"/>
        <w:rPr>
          <w:rFonts w:cstheme="minorHAnsi"/>
          <w:bCs/>
          <w:sz w:val="18"/>
          <w:szCs w:val="20"/>
        </w:rPr>
      </w:pPr>
    </w:p>
    <w:p w14:paraId="6E3E0BAD" w14:textId="77777777" w:rsidR="000514B9" w:rsidRDefault="000514B9">
      <w:pPr>
        <w:rPr>
          <w:rFonts w:cstheme="minorHAnsi"/>
          <w:bCs/>
          <w:sz w:val="18"/>
          <w:szCs w:val="20"/>
        </w:rPr>
      </w:pPr>
      <w:r>
        <w:rPr>
          <w:rFonts w:cstheme="minorHAnsi"/>
          <w:bCs/>
          <w:sz w:val="18"/>
          <w:szCs w:val="20"/>
        </w:rPr>
        <w:br w:type="page"/>
      </w:r>
    </w:p>
    <w:p w14:paraId="5F28CEB6" w14:textId="51A97D70" w:rsidR="000514B9" w:rsidRDefault="00DA42E7" w:rsidP="000514B9">
      <w:pPr>
        <w:spacing w:line="360" w:lineRule="auto"/>
        <w:rPr>
          <w:rFonts w:cstheme="minorHAnsi"/>
          <w:bCs/>
          <w:sz w:val="18"/>
          <w:szCs w:val="20"/>
        </w:rPr>
      </w:pPr>
      <w:r>
        <w:rPr>
          <w:rFonts w:cstheme="minorHAnsi"/>
          <w:bCs/>
          <w:sz w:val="18"/>
          <w:szCs w:val="20"/>
        </w:rPr>
        <w:lastRenderedPageBreak/>
        <w:pict w14:anchorId="3435F654">
          <v:shape id="_x0000_i1038" type="#_x0000_t75" style="width:451.45pt;height:120pt">
            <v:imagedata r:id="rId18" o:title="FIgure S12"/>
          </v:shape>
        </w:pict>
      </w:r>
    </w:p>
    <w:p w14:paraId="59F939A5" w14:textId="77777777" w:rsidR="000514B9" w:rsidRPr="000514B9" w:rsidRDefault="000514B9" w:rsidP="000514B9">
      <w:pPr>
        <w:spacing w:line="360" w:lineRule="auto"/>
        <w:jc w:val="both"/>
        <w:rPr>
          <w:rFonts w:cstheme="minorHAnsi"/>
          <w:bCs/>
          <w:sz w:val="18"/>
          <w:szCs w:val="20"/>
        </w:rPr>
      </w:pPr>
      <w:r w:rsidRPr="000514B9">
        <w:rPr>
          <w:rFonts w:cstheme="minorHAnsi"/>
          <w:b/>
          <w:bCs/>
          <w:sz w:val="18"/>
          <w:szCs w:val="20"/>
          <w:lang w:val="en-US"/>
        </w:rPr>
        <w:t xml:space="preserve">Supplementary Figure 12. FACS gating strategies. </w:t>
      </w:r>
      <w:r w:rsidRPr="000514B9">
        <w:rPr>
          <w:rFonts w:cstheme="minorHAnsi"/>
          <w:bCs/>
          <w:sz w:val="18"/>
          <w:szCs w:val="20"/>
          <w:lang w:val="en-US"/>
        </w:rPr>
        <w:t xml:space="preserve">Shown are representative </w:t>
      </w:r>
      <w:proofErr w:type="spellStart"/>
      <w:r w:rsidRPr="000514B9">
        <w:rPr>
          <w:rFonts w:cstheme="minorHAnsi"/>
          <w:bCs/>
          <w:sz w:val="18"/>
          <w:szCs w:val="20"/>
          <w:lang w:val="en-US"/>
        </w:rPr>
        <w:t>representative</w:t>
      </w:r>
      <w:proofErr w:type="spellEnd"/>
      <w:r w:rsidRPr="000514B9">
        <w:rPr>
          <w:rFonts w:cstheme="minorHAnsi"/>
          <w:bCs/>
          <w:sz w:val="18"/>
          <w:szCs w:val="20"/>
          <w:lang w:val="en-US"/>
        </w:rPr>
        <w:t xml:space="preserve"> FACS plots for </w:t>
      </w:r>
      <w:proofErr w:type="spellStart"/>
      <w:r w:rsidRPr="000514B9">
        <w:rPr>
          <w:rFonts w:cstheme="minorHAnsi"/>
          <w:bCs/>
          <w:sz w:val="18"/>
          <w:szCs w:val="20"/>
          <w:lang w:val="en-US"/>
        </w:rPr>
        <w:t>calreticulin</w:t>
      </w:r>
      <w:proofErr w:type="spellEnd"/>
      <w:r w:rsidRPr="000514B9">
        <w:rPr>
          <w:rFonts w:cstheme="minorHAnsi"/>
          <w:bCs/>
          <w:sz w:val="18"/>
          <w:szCs w:val="20"/>
          <w:lang w:val="en-US"/>
        </w:rPr>
        <w:t xml:space="preserve"> in figure 4D for NK-S1 as an </w:t>
      </w:r>
      <w:proofErr w:type="gramStart"/>
      <w:r w:rsidRPr="000514B9">
        <w:rPr>
          <w:rFonts w:cstheme="minorHAnsi"/>
          <w:bCs/>
          <w:sz w:val="18"/>
          <w:szCs w:val="20"/>
          <w:lang w:val="en-US"/>
        </w:rPr>
        <w:t>example.</w:t>
      </w:r>
      <w:proofErr w:type="gramEnd"/>
    </w:p>
    <w:p w14:paraId="618FE29A" w14:textId="77777777" w:rsidR="000514B9" w:rsidRPr="000514B9" w:rsidRDefault="000514B9" w:rsidP="000514B9">
      <w:pPr>
        <w:spacing w:line="360" w:lineRule="auto"/>
        <w:rPr>
          <w:rFonts w:cstheme="minorHAnsi"/>
          <w:bCs/>
          <w:sz w:val="18"/>
          <w:szCs w:val="20"/>
        </w:rPr>
      </w:pPr>
    </w:p>
    <w:p w14:paraId="43A7F2CC" w14:textId="5C0F27AD" w:rsidR="00DA42E7" w:rsidRDefault="00DA42E7">
      <w:pPr>
        <w:rPr>
          <w:rFonts w:cstheme="minorHAnsi"/>
          <w:b/>
          <w:bCs/>
          <w:sz w:val="18"/>
          <w:szCs w:val="20"/>
        </w:rPr>
      </w:pPr>
      <w:r>
        <w:rPr>
          <w:rFonts w:cstheme="minorHAnsi"/>
          <w:b/>
          <w:bCs/>
          <w:sz w:val="18"/>
          <w:szCs w:val="20"/>
        </w:rPr>
        <w:br w:type="page"/>
      </w:r>
    </w:p>
    <w:p w14:paraId="5757F6D0" w14:textId="0F0D1D91" w:rsidR="00DA42E7" w:rsidRDefault="00DA42E7" w:rsidP="00DA42E7">
      <w:pPr>
        <w:spacing w:after="0" w:line="480" w:lineRule="auto"/>
        <w:jc w:val="both"/>
        <w:rPr>
          <w:rFonts w:cstheme="minorHAnsi"/>
          <w:b/>
          <w:i/>
          <w:sz w:val="20"/>
          <w:szCs w:val="20"/>
        </w:rPr>
      </w:pPr>
      <w:r>
        <w:rPr>
          <w:rFonts w:eastAsia="Times New Roman" w:cstheme="minorHAnsi"/>
          <w:b/>
          <w:bCs/>
          <w:kern w:val="0"/>
          <w:sz w:val="20"/>
          <w:szCs w:val="20"/>
          <w:lang w:eastAsia="en-US"/>
          <w14:ligatures w14:val="none"/>
        </w:rPr>
        <w:lastRenderedPageBreak/>
        <w:t>SUPPLEMENTARY METHODS</w:t>
      </w:r>
      <w:bookmarkStart w:id="0" w:name="_GoBack"/>
      <w:bookmarkEnd w:id="0"/>
    </w:p>
    <w:p w14:paraId="4B8270E7" w14:textId="77777777" w:rsidR="00DA42E7" w:rsidRPr="00B56A97" w:rsidRDefault="00DA42E7" w:rsidP="00DA42E7">
      <w:pPr>
        <w:spacing w:after="0" w:line="480" w:lineRule="auto"/>
        <w:jc w:val="both"/>
        <w:rPr>
          <w:rFonts w:eastAsia="Calibri" w:cstheme="minorHAnsi"/>
          <w:b/>
          <w:bCs/>
          <w:i/>
          <w:sz w:val="20"/>
          <w:szCs w:val="20"/>
          <w:lang w:val="en-US"/>
        </w:rPr>
      </w:pPr>
      <w:r w:rsidRPr="00B56A97">
        <w:rPr>
          <w:rFonts w:cstheme="minorHAnsi"/>
          <w:b/>
          <w:i/>
          <w:sz w:val="20"/>
          <w:szCs w:val="20"/>
        </w:rPr>
        <w:t>SDS-PAGE and Western blot</w:t>
      </w:r>
    </w:p>
    <w:p w14:paraId="66321878" w14:textId="77777777" w:rsidR="00DA42E7" w:rsidRPr="00B56A97" w:rsidRDefault="00DA42E7" w:rsidP="00DA42E7">
      <w:pPr>
        <w:spacing w:after="0" w:line="480" w:lineRule="auto"/>
        <w:jc w:val="both"/>
        <w:rPr>
          <w:rFonts w:cstheme="minorHAnsi"/>
          <w:sz w:val="20"/>
          <w:szCs w:val="20"/>
        </w:rPr>
      </w:pPr>
      <w:r w:rsidRPr="00B56A97">
        <w:rPr>
          <w:sz w:val="20"/>
          <w:szCs w:val="20"/>
        </w:rPr>
        <w:t>Whole cell or cellular fraction lysates were obtained using Cell Fractionation Kit (</w:t>
      </w:r>
      <w:r w:rsidRPr="00B56A97">
        <w:rPr>
          <w:rFonts w:cstheme="minorHAnsi"/>
          <w:sz w:val="20"/>
          <w:szCs w:val="20"/>
          <w:lang w:val="en-US"/>
        </w:rPr>
        <w:t xml:space="preserve">#9038, </w:t>
      </w:r>
      <w:r w:rsidRPr="00B56A97">
        <w:rPr>
          <w:rFonts w:cstheme="minorHAnsi"/>
          <w:sz w:val="20"/>
          <w:szCs w:val="20"/>
        </w:rPr>
        <w:t>Cell Signalling Technology, Danvers, MA, USA)</w:t>
      </w:r>
      <w:r w:rsidRPr="00B56A97">
        <w:rPr>
          <w:sz w:val="20"/>
          <w:szCs w:val="20"/>
        </w:rPr>
        <w:t xml:space="preserve"> following the manufacturers’ protocols. </w:t>
      </w:r>
      <w:r w:rsidRPr="00B56A97">
        <w:rPr>
          <w:rFonts w:cstheme="minorHAnsi"/>
          <w:sz w:val="20"/>
          <w:szCs w:val="20"/>
        </w:rPr>
        <w:t xml:space="preserve">Cell lysates were subjected to separation using SDS-PAGE with 4 - 15% Mini-PROTEAN™ TGX Stain-Free™ Protein Gels (Bio-Rad Laboratories, Hercules, CA, USA) and then transferred onto 0.2 </w:t>
      </w:r>
      <w:proofErr w:type="spellStart"/>
      <w:r w:rsidRPr="00B56A97">
        <w:rPr>
          <w:rFonts w:cstheme="minorHAnsi"/>
          <w:sz w:val="20"/>
          <w:szCs w:val="20"/>
        </w:rPr>
        <w:t>μm</w:t>
      </w:r>
      <w:proofErr w:type="spellEnd"/>
      <w:r w:rsidRPr="00B56A97">
        <w:rPr>
          <w:rFonts w:cstheme="minorHAnsi"/>
          <w:sz w:val="20"/>
          <w:szCs w:val="20"/>
        </w:rPr>
        <w:t xml:space="preserve"> PVDF membranes (Bio-Rad Laboratories, Hercules, CA, USA). After blocking for 1 h with either 5% non-fat dry milk (Bio-Rad Laboratories, Hercules, CA, USA) or 5% bovine serum albumin (Sigma-Aldrich, Darmstadt, Germany) in TBST solution (50 </w:t>
      </w:r>
      <w:proofErr w:type="spellStart"/>
      <w:r w:rsidRPr="00B56A97">
        <w:rPr>
          <w:rFonts w:cstheme="minorHAnsi"/>
          <w:sz w:val="20"/>
          <w:szCs w:val="20"/>
        </w:rPr>
        <w:t>mM</w:t>
      </w:r>
      <w:proofErr w:type="spellEnd"/>
      <w:r w:rsidRPr="00B56A97">
        <w:rPr>
          <w:rFonts w:cstheme="minorHAnsi"/>
          <w:sz w:val="20"/>
          <w:szCs w:val="20"/>
        </w:rPr>
        <w:t xml:space="preserve"> </w:t>
      </w:r>
      <w:proofErr w:type="spellStart"/>
      <w:r w:rsidRPr="00B56A97">
        <w:rPr>
          <w:rFonts w:cstheme="minorHAnsi"/>
          <w:sz w:val="20"/>
          <w:szCs w:val="20"/>
        </w:rPr>
        <w:t>Tris</w:t>
      </w:r>
      <w:proofErr w:type="spellEnd"/>
      <w:r w:rsidRPr="00B56A97">
        <w:rPr>
          <w:rFonts w:cstheme="minorHAnsi"/>
          <w:sz w:val="20"/>
          <w:szCs w:val="20"/>
        </w:rPr>
        <w:t>/</w:t>
      </w:r>
      <w:proofErr w:type="spellStart"/>
      <w:r w:rsidRPr="00B56A97">
        <w:rPr>
          <w:rFonts w:cstheme="minorHAnsi"/>
          <w:sz w:val="20"/>
          <w:szCs w:val="20"/>
        </w:rPr>
        <w:t>HCl</w:t>
      </w:r>
      <w:proofErr w:type="spellEnd"/>
      <w:r w:rsidRPr="00B56A97">
        <w:rPr>
          <w:rFonts w:cstheme="minorHAnsi"/>
          <w:sz w:val="20"/>
          <w:szCs w:val="20"/>
        </w:rPr>
        <w:t xml:space="preserve"> pH 7.4, 150 </w:t>
      </w:r>
      <w:proofErr w:type="spellStart"/>
      <w:r w:rsidRPr="00B56A97">
        <w:rPr>
          <w:rFonts w:cstheme="minorHAnsi"/>
          <w:sz w:val="20"/>
          <w:szCs w:val="20"/>
        </w:rPr>
        <w:t>mM</w:t>
      </w:r>
      <w:proofErr w:type="spellEnd"/>
      <w:r w:rsidRPr="00B56A97">
        <w:rPr>
          <w:rFonts w:cstheme="minorHAnsi"/>
          <w:sz w:val="20"/>
          <w:szCs w:val="20"/>
        </w:rPr>
        <w:t xml:space="preserve"> </w:t>
      </w:r>
      <w:proofErr w:type="spellStart"/>
      <w:r w:rsidRPr="00B56A97">
        <w:rPr>
          <w:rFonts w:cstheme="minorHAnsi"/>
          <w:sz w:val="20"/>
          <w:szCs w:val="20"/>
        </w:rPr>
        <w:t>NaCl</w:t>
      </w:r>
      <w:proofErr w:type="spellEnd"/>
      <w:r w:rsidRPr="00B56A97">
        <w:rPr>
          <w:rFonts w:cstheme="minorHAnsi"/>
          <w:sz w:val="20"/>
          <w:szCs w:val="20"/>
        </w:rPr>
        <w:t>, 0.1% Tween-20), the membranes were exposed to primary antibodies (Supplementary Table S16) overnight at 4°C with gentle shaking. Exposure to the appropriate HRP-conjugated anti-rabbit or anti-mouse antibodies (</w:t>
      </w:r>
      <w:proofErr w:type="spellStart"/>
      <w:r w:rsidRPr="00B56A97">
        <w:rPr>
          <w:rFonts w:cstheme="minorHAnsi"/>
          <w:sz w:val="20"/>
          <w:szCs w:val="20"/>
        </w:rPr>
        <w:t>Cytiva</w:t>
      </w:r>
      <w:proofErr w:type="spellEnd"/>
      <w:r w:rsidRPr="00B56A97">
        <w:rPr>
          <w:rFonts w:cstheme="minorHAnsi"/>
          <w:sz w:val="20"/>
          <w:szCs w:val="20"/>
        </w:rPr>
        <w:t xml:space="preserve">, Washington, DC, USA) were performed for 1 h and eventually subjected to </w:t>
      </w:r>
      <w:proofErr w:type="spellStart"/>
      <w:r w:rsidRPr="00B56A97">
        <w:rPr>
          <w:rFonts w:cstheme="minorHAnsi"/>
          <w:sz w:val="20"/>
          <w:szCs w:val="20"/>
        </w:rPr>
        <w:t>chemiluminescence</w:t>
      </w:r>
      <w:proofErr w:type="spellEnd"/>
      <w:r w:rsidRPr="00B56A97">
        <w:rPr>
          <w:rFonts w:cstheme="minorHAnsi"/>
          <w:sz w:val="20"/>
          <w:szCs w:val="20"/>
        </w:rPr>
        <w:t xml:space="preserve"> detection using the </w:t>
      </w:r>
      <w:proofErr w:type="spellStart"/>
      <w:r w:rsidRPr="00B56A97">
        <w:rPr>
          <w:rFonts w:cstheme="minorHAnsi"/>
          <w:sz w:val="20"/>
          <w:szCs w:val="20"/>
        </w:rPr>
        <w:t>SuperSignal</w:t>
      </w:r>
      <w:proofErr w:type="spellEnd"/>
      <w:r w:rsidRPr="00B56A97">
        <w:rPr>
          <w:rFonts w:cstheme="minorHAnsi"/>
          <w:sz w:val="20"/>
          <w:szCs w:val="20"/>
        </w:rPr>
        <w:t xml:space="preserve"> Substrate Western Blotting Kit (</w:t>
      </w:r>
      <w:proofErr w:type="spellStart"/>
      <w:r w:rsidRPr="00B56A97">
        <w:rPr>
          <w:rFonts w:cstheme="minorHAnsi"/>
          <w:sz w:val="20"/>
          <w:szCs w:val="20"/>
        </w:rPr>
        <w:t>Thermo</w:t>
      </w:r>
      <w:proofErr w:type="spellEnd"/>
      <w:r w:rsidRPr="00B56A97">
        <w:rPr>
          <w:rFonts w:cstheme="minorHAnsi"/>
          <w:sz w:val="20"/>
          <w:szCs w:val="20"/>
        </w:rPr>
        <w:t xml:space="preserve"> Fisher Scientific, </w:t>
      </w:r>
      <w:r w:rsidRPr="00B56A97">
        <w:rPr>
          <w:sz w:val="20"/>
          <w:szCs w:val="20"/>
        </w:rPr>
        <w:t xml:space="preserve">MA, </w:t>
      </w:r>
      <w:r w:rsidRPr="00B56A97">
        <w:rPr>
          <w:rFonts w:cstheme="minorHAnsi"/>
          <w:sz w:val="20"/>
          <w:szCs w:val="20"/>
        </w:rPr>
        <w:t xml:space="preserve">USA) and imaged with </w:t>
      </w:r>
      <w:proofErr w:type="spellStart"/>
      <w:r w:rsidRPr="00B56A97">
        <w:rPr>
          <w:rFonts w:cstheme="minorHAnsi"/>
          <w:sz w:val="20"/>
          <w:szCs w:val="20"/>
        </w:rPr>
        <w:t>ChemiDoc</w:t>
      </w:r>
      <w:proofErr w:type="spellEnd"/>
      <w:r w:rsidRPr="00B56A97">
        <w:rPr>
          <w:rFonts w:cstheme="minorHAnsi"/>
          <w:sz w:val="20"/>
          <w:szCs w:val="20"/>
        </w:rPr>
        <w:t>™ XRS+ System with Image Lab™ Software (Bio-Rad Laboratories, Hercules, CA, USA). Expanded Western blot images used in the manuscript are shown in Supplementary Figure S11.</w:t>
      </w:r>
    </w:p>
    <w:p w14:paraId="2AE1A988" w14:textId="77777777" w:rsidR="00DA42E7" w:rsidRDefault="00DA42E7" w:rsidP="00DA42E7">
      <w:pPr>
        <w:spacing w:after="0" w:line="480" w:lineRule="auto"/>
        <w:jc w:val="both"/>
        <w:rPr>
          <w:rFonts w:cstheme="minorHAnsi"/>
          <w:sz w:val="20"/>
          <w:szCs w:val="20"/>
          <w:lang w:val="en-US"/>
        </w:rPr>
      </w:pPr>
    </w:p>
    <w:p w14:paraId="2E319C80" w14:textId="77777777" w:rsidR="00DA42E7" w:rsidRPr="00B56A97" w:rsidRDefault="00DA42E7" w:rsidP="00DA42E7">
      <w:pPr>
        <w:spacing w:after="0" w:line="480" w:lineRule="auto"/>
        <w:jc w:val="both"/>
        <w:rPr>
          <w:rFonts w:cstheme="minorHAnsi"/>
          <w:b/>
          <w:i/>
          <w:sz w:val="20"/>
          <w:szCs w:val="20"/>
        </w:rPr>
      </w:pPr>
      <w:r w:rsidRPr="00B56A97">
        <w:rPr>
          <w:rFonts w:cstheme="minorHAnsi"/>
          <w:b/>
          <w:i/>
          <w:sz w:val="20"/>
          <w:szCs w:val="20"/>
        </w:rPr>
        <w:t>Quantification of gene expression via quantitative polymerase chain reaction (qPCR)</w:t>
      </w:r>
    </w:p>
    <w:p w14:paraId="404DA906" w14:textId="77777777" w:rsidR="00DA42E7" w:rsidRPr="00B56A97" w:rsidRDefault="00DA42E7" w:rsidP="00DA42E7">
      <w:pPr>
        <w:spacing w:after="0" w:line="480" w:lineRule="auto"/>
        <w:jc w:val="both"/>
        <w:rPr>
          <w:rFonts w:eastAsia="Calibri" w:cstheme="minorHAnsi"/>
          <w:bCs/>
          <w:iCs/>
          <w:sz w:val="20"/>
          <w:szCs w:val="20"/>
          <w:lang w:val="en-US"/>
        </w:rPr>
      </w:pPr>
      <w:r w:rsidRPr="00B56A97">
        <w:rPr>
          <w:rFonts w:cstheme="minorHAnsi"/>
          <w:bCs/>
          <w:iCs/>
          <w:sz w:val="20"/>
          <w:szCs w:val="20"/>
        </w:rPr>
        <w:t xml:space="preserve">Total RNA isolated as described above were subjected to cDNA synthesis using the </w:t>
      </w:r>
      <w:proofErr w:type="spellStart"/>
      <w:r w:rsidRPr="00B56A97">
        <w:rPr>
          <w:rFonts w:cstheme="minorHAnsi"/>
          <w:bCs/>
          <w:iCs/>
          <w:sz w:val="20"/>
          <w:szCs w:val="20"/>
        </w:rPr>
        <w:t>iScript</w:t>
      </w:r>
      <w:proofErr w:type="spellEnd"/>
      <w:r w:rsidRPr="00B56A97">
        <w:rPr>
          <w:rFonts w:cstheme="minorHAnsi"/>
          <w:bCs/>
          <w:iCs/>
          <w:sz w:val="20"/>
          <w:szCs w:val="20"/>
        </w:rPr>
        <w:t xml:space="preserve"> cDNA Synthesis kit, (Bio-Rad Laboratories, USA), according to the manufacturer’s protocol. Primer sequences are shown in Supplementary Table S16. </w:t>
      </w:r>
      <w:proofErr w:type="gramStart"/>
      <w:r w:rsidRPr="00B56A97">
        <w:rPr>
          <w:rFonts w:cstheme="minorHAnsi"/>
          <w:bCs/>
          <w:iCs/>
          <w:sz w:val="20"/>
          <w:szCs w:val="20"/>
        </w:rPr>
        <w:t>qPCR</w:t>
      </w:r>
      <w:proofErr w:type="gramEnd"/>
      <w:r w:rsidRPr="00B56A97">
        <w:rPr>
          <w:rFonts w:cstheme="minorHAnsi"/>
          <w:bCs/>
          <w:iCs/>
          <w:sz w:val="20"/>
          <w:szCs w:val="20"/>
        </w:rPr>
        <w:t xml:space="preserve"> was performed using Maxima SYBR Green/ROX qPCR Master Mix (</w:t>
      </w:r>
      <w:proofErr w:type="spellStart"/>
      <w:r w:rsidRPr="00B56A97">
        <w:rPr>
          <w:rFonts w:cstheme="minorHAnsi"/>
          <w:bCs/>
          <w:iCs/>
          <w:sz w:val="20"/>
          <w:szCs w:val="20"/>
        </w:rPr>
        <w:t>Thermo</w:t>
      </w:r>
      <w:proofErr w:type="spellEnd"/>
      <w:r w:rsidRPr="00B56A97">
        <w:rPr>
          <w:rFonts w:cstheme="minorHAnsi"/>
          <w:bCs/>
          <w:iCs/>
          <w:sz w:val="20"/>
          <w:szCs w:val="20"/>
        </w:rPr>
        <w:t xml:space="preserve"> Scientific, USA). </w:t>
      </w:r>
      <w:proofErr w:type="spellStart"/>
      <w:r w:rsidRPr="00B56A97">
        <w:rPr>
          <w:rFonts w:cstheme="minorHAnsi"/>
          <w:bCs/>
          <w:iCs/>
          <w:sz w:val="20"/>
          <w:szCs w:val="20"/>
        </w:rPr>
        <w:t>ΔCt</w:t>
      </w:r>
      <w:proofErr w:type="spellEnd"/>
      <w:r w:rsidRPr="00B56A97">
        <w:rPr>
          <w:rFonts w:cstheme="minorHAnsi"/>
          <w:bCs/>
          <w:iCs/>
          <w:sz w:val="20"/>
          <w:szCs w:val="20"/>
        </w:rPr>
        <w:t xml:space="preserve"> for mRNA expression of genes was calculated in relation to Ct value of GAPDH, which was used as an internal control. </w:t>
      </w:r>
      <w:proofErr w:type="spellStart"/>
      <w:r w:rsidRPr="00B56A97">
        <w:rPr>
          <w:rFonts w:cstheme="minorHAnsi"/>
          <w:bCs/>
          <w:iCs/>
          <w:sz w:val="20"/>
          <w:szCs w:val="20"/>
        </w:rPr>
        <w:t>ΔΔCt</w:t>
      </w:r>
      <w:proofErr w:type="spellEnd"/>
      <w:r w:rsidRPr="00B56A97">
        <w:rPr>
          <w:rFonts w:cstheme="minorHAnsi"/>
          <w:bCs/>
          <w:iCs/>
          <w:sz w:val="20"/>
          <w:szCs w:val="20"/>
        </w:rPr>
        <w:t xml:space="preserve"> was calculated by subtracting treated group </w:t>
      </w:r>
      <w:proofErr w:type="spellStart"/>
      <w:r w:rsidRPr="00B56A97">
        <w:rPr>
          <w:rFonts w:cstheme="minorHAnsi"/>
          <w:bCs/>
          <w:iCs/>
          <w:sz w:val="20"/>
          <w:szCs w:val="20"/>
        </w:rPr>
        <w:t>ΔCt</w:t>
      </w:r>
      <w:proofErr w:type="spellEnd"/>
      <w:r w:rsidRPr="00B56A97">
        <w:rPr>
          <w:rFonts w:cstheme="minorHAnsi"/>
          <w:bCs/>
          <w:iCs/>
          <w:sz w:val="20"/>
          <w:szCs w:val="20"/>
        </w:rPr>
        <w:t xml:space="preserve"> values from that of untreated control group. The normalised expression ratio was calculated with the formula </w:t>
      </w:r>
      <w:r w:rsidRPr="00B56A97">
        <w:rPr>
          <w:rFonts w:cstheme="minorHAnsi"/>
          <w:sz w:val="20"/>
          <w:szCs w:val="20"/>
          <w:shd w:val="clear" w:color="auto" w:fill="FFFFFF"/>
        </w:rPr>
        <w:t>2</w:t>
      </w:r>
      <w:r w:rsidRPr="00B56A97">
        <w:rPr>
          <w:rFonts w:cstheme="minorHAnsi"/>
          <w:sz w:val="20"/>
          <w:szCs w:val="20"/>
          <w:shd w:val="clear" w:color="auto" w:fill="FFFFFF"/>
          <w:vertAlign w:val="superscript"/>
        </w:rPr>
        <w:t>-ΔΔCt</w:t>
      </w:r>
      <w:r w:rsidRPr="00B56A97">
        <w:rPr>
          <w:rFonts w:cstheme="minorHAnsi"/>
          <w:sz w:val="20"/>
          <w:szCs w:val="20"/>
          <w:shd w:val="clear" w:color="auto" w:fill="FFFFFF"/>
        </w:rPr>
        <w:t xml:space="preserve">. </w:t>
      </w:r>
    </w:p>
    <w:p w14:paraId="7E5A32CD" w14:textId="77777777" w:rsidR="00DA42E7" w:rsidRDefault="00DA42E7" w:rsidP="00DA42E7">
      <w:pPr>
        <w:spacing w:after="0" w:line="480" w:lineRule="auto"/>
        <w:jc w:val="both"/>
        <w:rPr>
          <w:rFonts w:cstheme="minorHAnsi"/>
          <w:sz w:val="20"/>
          <w:szCs w:val="20"/>
          <w:lang w:val="en-US"/>
        </w:rPr>
      </w:pPr>
    </w:p>
    <w:p w14:paraId="655BEAB1" w14:textId="77777777" w:rsidR="00DA42E7" w:rsidRPr="00B56A97" w:rsidRDefault="00DA42E7" w:rsidP="00DA42E7">
      <w:pPr>
        <w:spacing w:after="0" w:line="480" w:lineRule="auto"/>
        <w:jc w:val="both"/>
        <w:rPr>
          <w:rFonts w:cstheme="minorHAnsi"/>
          <w:b/>
          <w:i/>
          <w:sz w:val="20"/>
          <w:szCs w:val="20"/>
        </w:rPr>
      </w:pPr>
      <w:r w:rsidRPr="00B56A97">
        <w:rPr>
          <w:rFonts w:cstheme="minorHAnsi"/>
          <w:b/>
          <w:i/>
          <w:sz w:val="20"/>
          <w:szCs w:val="20"/>
        </w:rPr>
        <w:t>PD-L1 Immunohistochemistry</w:t>
      </w:r>
    </w:p>
    <w:p w14:paraId="12476AD6" w14:textId="77777777" w:rsidR="00DA42E7" w:rsidRPr="00B56A97" w:rsidRDefault="00DA42E7" w:rsidP="00DA42E7">
      <w:pPr>
        <w:spacing w:after="0" w:line="480" w:lineRule="auto"/>
        <w:jc w:val="both"/>
        <w:rPr>
          <w:rFonts w:cstheme="minorHAnsi"/>
          <w:sz w:val="20"/>
          <w:szCs w:val="20"/>
        </w:rPr>
      </w:pPr>
      <w:r w:rsidRPr="00B56A97">
        <w:rPr>
          <w:rFonts w:cstheme="minorHAnsi"/>
          <w:sz w:val="20"/>
          <w:szCs w:val="20"/>
        </w:rPr>
        <w:t xml:space="preserve">Sections (4 </w:t>
      </w:r>
      <w:proofErr w:type="spellStart"/>
      <w:r w:rsidRPr="00B56A97">
        <w:rPr>
          <w:rFonts w:cstheme="minorHAnsi"/>
          <w:sz w:val="20"/>
          <w:szCs w:val="20"/>
        </w:rPr>
        <w:t>μm</w:t>
      </w:r>
      <w:proofErr w:type="spellEnd"/>
      <w:r w:rsidRPr="00B56A97">
        <w:rPr>
          <w:rFonts w:cstheme="minorHAnsi"/>
          <w:sz w:val="20"/>
          <w:szCs w:val="20"/>
        </w:rPr>
        <w:t xml:space="preserve">) were cut from FFPE tissue blocks and mounted onto positively charged Bond </w:t>
      </w:r>
      <w:proofErr w:type="gramStart"/>
      <w:r w:rsidRPr="00B56A97">
        <w:rPr>
          <w:rFonts w:cstheme="minorHAnsi"/>
          <w:sz w:val="20"/>
          <w:szCs w:val="20"/>
        </w:rPr>
        <w:t>Plus</w:t>
      </w:r>
      <w:proofErr w:type="gramEnd"/>
      <w:r w:rsidRPr="00B56A97">
        <w:rPr>
          <w:rFonts w:cstheme="minorHAnsi"/>
          <w:sz w:val="20"/>
          <w:szCs w:val="20"/>
        </w:rPr>
        <w:t xml:space="preserve"> Slides </w:t>
      </w:r>
      <w:bookmarkStart w:id="1" w:name="_Hlk70447870"/>
      <w:r w:rsidRPr="00B56A97">
        <w:rPr>
          <w:rFonts w:cstheme="minorHAnsi"/>
          <w:sz w:val="20"/>
          <w:szCs w:val="20"/>
        </w:rPr>
        <w:t xml:space="preserve">(Leica Biosystems, Inc., Richmond, IL, USA) </w:t>
      </w:r>
      <w:bookmarkEnd w:id="1"/>
      <w:r w:rsidRPr="00B56A97">
        <w:rPr>
          <w:rFonts w:cstheme="minorHAnsi"/>
          <w:sz w:val="20"/>
          <w:szCs w:val="20"/>
        </w:rPr>
        <w:t xml:space="preserve">glass slides, and dried on a heating bench for at least 20 minutes. After </w:t>
      </w:r>
      <w:proofErr w:type="spellStart"/>
      <w:r w:rsidRPr="00B56A97">
        <w:rPr>
          <w:rFonts w:cstheme="minorHAnsi"/>
          <w:sz w:val="20"/>
          <w:szCs w:val="20"/>
        </w:rPr>
        <w:t>deparaffinization</w:t>
      </w:r>
      <w:proofErr w:type="spellEnd"/>
      <w:r w:rsidRPr="00B56A97">
        <w:rPr>
          <w:rFonts w:cstheme="minorHAnsi"/>
          <w:sz w:val="20"/>
          <w:szCs w:val="20"/>
        </w:rPr>
        <w:t xml:space="preserve"> and rehydration, tissue samples were subjected to antigen retrieval before incubation with PD-L1 (28-8) primary antibodies (#ab205921, Abcam, Cambridge, UK) (Supplementary Table S17). Slides were </w:t>
      </w:r>
      <w:r w:rsidRPr="00B56A97">
        <w:rPr>
          <w:rFonts w:cstheme="minorHAnsi"/>
          <w:sz w:val="20"/>
          <w:szCs w:val="20"/>
        </w:rPr>
        <w:lastRenderedPageBreak/>
        <w:t>counter-stained with Mayer’s Haematoxylin (</w:t>
      </w:r>
      <w:proofErr w:type="spellStart"/>
      <w:r w:rsidRPr="00B56A97">
        <w:rPr>
          <w:rFonts w:cstheme="minorHAnsi"/>
          <w:sz w:val="20"/>
          <w:szCs w:val="20"/>
        </w:rPr>
        <w:t>Dako</w:t>
      </w:r>
      <w:proofErr w:type="spellEnd"/>
      <w:r w:rsidRPr="00B56A97">
        <w:rPr>
          <w:rFonts w:cstheme="minorHAnsi"/>
          <w:sz w:val="20"/>
          <w:szCs w:val="20"/>
        </w:rPr>
        <w:t xml:space="preserve">, </w:t>
      </w:r>
      <w:proofErr w:type="spellStart"/>
      <w:r w:rsidRPr="00B56A97">
        <w:rPr>
          <w:rFonts w:cstheme="minorHAnsi"/>
          <w:sz w:val="20"/>
          <w:szCs w:val="20"/>
        </w:rPr>
        <w:t>Glostrup</w:t>
      </w:r>
      <w:proofErr w:type="spellEnd"/>
      <w:r w:rsidRPr="00B56A97">
        <w:rPr>
          <w:rFonts w:cstheme="minorHAnsi"/>
          <w:sz w:val="20"/>
          <w:szCs w:val="20"/>
        </w:rPr>
        <w:t>, Denmark). Intensity of PD-L1 staining was quantified based on H-score.</w:t>
      </w:r>
    </w:p>
    <w:p w14:paraId="58DA41BF" w14:textId="77777777" w:rsidR="00DA42E7" w:rsidRPr="00B56A97" w:rsidRDefault="00DA42E7" w:rsidP="00DA42E7">
      <w:pPr>
        <w:spacing w:after="0" w:line="480" w:lineRule="auto"/>
        <w:jc w:val="both"/>
        <w:rPr>
          <w:rFonts w:eastAsia="Calibri" w:cstheme="minorHAnsi"/>
          <w:b/>
          <w:bCs/>
          <w:i/>
          <w:sz w:val="20"/>
          <w:szCs w:val="20"/>
          <w:lang w:val="en-US"/>
        </w:rPr>
      </w:pPr>
    </w:p>
    <w:p w14:paraId="48192A75" w14:textId="77777777" w:rsidR="00DA42E7" w:rsidRPr="00B56A97" w:rsidRDefault="00DA42E7" w:rsidP="00DA42E7">
      <w:pPr>
        <w:spacing w:after="0" w:line="480" w:lineRule="auto"/>
        <w:jc w:val="both"/>
        <w:rPr>
          <w:rFonts w:eastAsia="Calibri" w:cstheme="minorHAnsi"/>
          <w:b/>
          <w:bCs/>
          <w:i/>
          <w:sz w:val="20"/>
          <w:szCs w:val="20"/>
          <w:lang w:val="en-US"/>
        </w:rPr>
      </w:pPr>
      <w:r w:rsidRPr="00B56A97">
        <w:rPr>
          <w:rFonts w:eastAsia="Calibri" w:cstheme="minorHAnsi"/>
          <w:b/>
          <w:bCs/>
          <w:i/>
          <w:sz w:val="20"/>
          <w:szCs w:val="20"/>
          <w:lang w:val="en-US"/>
        </w:rPr>
        <w:t xml:space="preserve">Confocal microscopy and identification of micronuclei </w:t>
      </w:r>
    </w:p>
    <w:p w14:paraId="087E9DD4" w14:textId="77777777" w:rsidR="00DA42E7" w:rsidRPr="00B56A97" w:rsidRDefault="00DA42E7" w:rsidP="00DA42E7">
      <w:pPr>
        <w:spacing w:after="0" w:line="480" w:lineRule="auto"/>
        <w:jc w:val="both"/>
        <w:rPr>
          <w:rFonts w:eastAsia="Calibri" w:cstheme="minorHAnsi"/>
          <w:sz w:val="20"/>
          <w:szCs w:val="20"/>
          <w:lang w:val="en-US"/>
        </w:rPr>
      </w:pPr>
      <w:r w:rsidRPr="00B56A97">
        <w:rPr>
          <w:rFonts w:eastAsia="Calibri" w:cstheme="minorHAnsi"/>
          <w:sz w:val="20"/>
          <w:szCs w:val="20"/>
          <w:lang w:val="en-US"/>
        </w:rPr>
        <w:t>Micronuclei identification was performed as previously described.</w:t>
      </w:r>
      <w:r w:rsidRPr="00B56A97">
        <w:rPr>
          <w:rFonts w:eastAsia="Calibri" w:cstheme="minorHAnsi"/>
          <w:sz w:val="20"/>
          <w:szCs w:val="20"/>
          <w:vertAlign w:val="superscript"/>
          <w:lang w:val="en-US"/>
        </w:rPr>
        <w:t>14</w:t>
      </w:r>
      <w:r w:rsidRPr="00B56A97">
        <w:rPr>
          <w:rFonts w:eastAsia="Calibri" w:cstheme="minorHAnsi"/>
          <w:sz w:val="20"/>
          <w:szCs w:val="20"/>
          <w:lang w:val="en-US"/>
        </w:rPr>
        <w:t xml:space="preserve"> Briefly, cells were fixed using 4% paraformaldehyde in PBS for 15 minutes, </w:t>
      </w:r>
      <w:proofErr w:type="spellStart"/>
      <w:r w:rsidRPr="00B56A97">
        <w:rPr>
          <w:rFonts w:eastAsia="Calibri" w:cstheme="minorHAnsi"/>
          <w:sz w:val="20"/>
          <w:szCs w:val="20"/>
          <w:lang w:val="en-US"/>
        </w:rPr>
        <w:t>permeabilized</w:t>
      </w:r>
      <w:proofErr w:type="spellEnd"/>
      <w:r w:rsidRPr="00B56A97">
        <w:rPr>
          <w:rFonts w:eastAsia="Calibri" w:cstheme="minorHAnsi"/>
          <w:sz w:val="20"/>
          <w:szCs w:val="20"/>
          <w:lang w:val="en-US"/>
        </w:rPr>
        <w:t xml:space="preserve"> with 0.1% Triton X-100 in PBS for 15 minutes and stained with </w:t>
      </w:r>
      <w:proofErr w:type="spellStart"/>
      <w:r w:rsidRPr="00B56A97">
        <w:rPr>
          <w:rFonts w:eastAsia="Calibri" w:cstheme="minorHAnsi"/>
          <w:sz w:val="20"/>
          <w:szCs w:val="20"/>
          <w:lang w:val="en-US"/>
        </w:rPr>
        <w:t>NucBlue</w:t>
      </w:r>
      <w:proofErr w:type="spellEnd"/>
      <w:r w:rsidRPr="00B56A97">
        <w:rPr>
          <w:rFonts w:eastAsia="Calibri" w:cstheme="minorHAnsi"/>
          <w:sz w:val="20"/>
          <w:szCs w:val="20"/>
          <w:lang w:val="en-US"/>
        </w:rPr>
        <w:t xml:space="preserve">® Live </w:t>
      </w:r>
      <w:proofErr w:type="spellStart"/>
      <w:r w:rsidRPr="00B56A97">
        <w:rPr>
          <w:rFonts w:eastAsia="Calibri" w:cstheme="minorHAnsi"/>
          <w:sz w:val="20"/>
          <w:szCs w:val="20"/>
          <w:lang w:val="en-US"/>
        </w:rPr>
        <w:t>ReadyProbes</w:t>
      </w:r>
      <w:proofErr w:type="spellEnd"/>
      <w:r w:rsidRPr="00B56A97">
        <w:rPr>
          <w:rFonts w:eastAsia="Calibri" w:cstheme="minorHAnsi"/>
          <w:sz w:val="20"/>
          <w:szCs w:val="20"/>
          <w:lang w:val="en-US"/>
        </w:rPr>
        <w:t>® Reagent (Hoechst 33342) (</w:t>
      </w:r>
      <w:proofErr w:type="spellStart"/>
      <w:r w:rsidRPr="00B56A97">
        <w:rPr>
          <w:rFonts w:eastAsia="Calibri" w:cstheme="minorHAnsi"/>
          <w:sz w:val="20"/>
          <w:szCs w:val="20"/>
          <w:lang w:val="en-US"/>
        </w:rPr>
        <w:t>Thermo</w:t>
      </w:r>
      <w:proofErr w:type="spellEnd"/>
      <w:r w:rsidRPr="00B56A97">
        <w:rPr>
          <w:rFonts w:eastAsia="Calibri" w:cstheme="minorHAnsi"/>
          <w:sz w:val="20"/>
          <w:szCs w:val="20"/>
          <w:lang w:val="en-US"/>
        </w:rPr>
        <w:t xml:space="preserve"> Fisher Scientific, USA) for 20 minutes and imaged with Leica TCS SP8 STED 3X (Leica Biosystems, Richmond, IL, USA). Confocal micrographs at 40X magnification of Hoechst 33342-stained cells were assessed for the occurrence of micronuclei by manual inspection. The criteria used for identifying micronuclei are: 1) round in shape; 2) less than a third of the size of a nucleus; 3) boundary of micronuclei is distinguishable from nuclear boundary; and 4) micronuclei are adjacent to a nucleus.</w:t>
      </w:r>
    </w:p>
    <w:p w14:paraId="7C7980E3" w14:textId="77777777" w:rsidR="00DA42E7" w:rsidRPr="00B56A97" w:rsidRDefault="00DA42E7" w:rsidP="00DA42E7">
      <w:pPr>
        <w:spacing w:after="0" w:line="480" w:lineRule="auto"/>
        <w:jc w:val="both"/>
        <w:rPr>
          <w:rFonts w:cstheme="minorHAnsi"/>
          <w:b/>
          <w:i/>
          <w:sz w:val="20"/>
          <w:szCs w:val="20"/>
        </w:rPr>
      </w:pPr>
    </w:p>
    <w:p w14:paraId="5C52917A" w14:textId="77777777" w:rsidR="00DA42E7" w:rsidRPr="00B56A97" w:rsidRDefault="00DA42E7" w:rsidP="00DA42E7">
      <w:pPr>
        <w:spacing w:after="0" w:line="480" w:lineRule="auto"/>
        <w:jc w:val="both"/>
        <w:rPr>
          <w:rFonts w:cstheme="minorHAnsi"/>
          <w:b/>
          <w:i/>
          <w:sz w:val="20"/>
          <w:szCs w:val="20"/>
        </w:rPr>
      </w:pPr>
      <w:r w:rsidRPr="00B56A97">
        <w:rPr>
          <w:rFonts w:cstheme="minorHAnsi"/>
          <w:b/>
          <w:i/>
          <w:sz w:val="20"/>
          <w:szCs w:val="20"/>
        </w:rPr>
        <w:t>Cell cycle analysis</w:t>
      </w:r>
    </w:p>
    <w:p w14:paraId="66A3EFD3" w14:textId="77777777" w:rsidR="00DA42E7" w:rsidRPr="00B56A97" w:rsidRDefault="00DA42E7" w:rsidP="00DA42E7">
      <w:pPr>
        <w:spacing w:after="0" w:line="480" w:lineRule="auto"/>
        <w:jc w:val="both"/>
        <w:rPr>
          <w:rFonts w:cstheme="minorHAnsi"/>
          <w:sz w:val="20"/>
          <w:szCs w:val="20"/>
        </w:rPr>
      </w:pPr>
      <w:r w:rsidRPr="00B56A97">
        <w:rPr>
          <w:rFonts w:cstheme="minorHAnsi"/>
          <w:sz w:val="20"/>
          <w:szCs w:val="20"/>
        </w:rPr>
        <w:t>Fluorescence-activated cell sorting (FACS) analyses of sub-G</w:t>
      </w:r>
      <w:r w:rsidRPr="00B56A97">
        <w:rPr>
          <w:rFonts w:cstheme="minorHAnsi"/>
          <w:sz w:val="20"/>
          <w:szCs w:val="20"/>
          <w:vertAlign w:val="subscript"/>
        </w:rPr>
        <w:t>1</w:t>
      </w:r>
      <w:r w:rsidRPr="00B56A97">
        <w:rPr>
          <w:rFonts w:cstheme="minorHAnsi"/>
          <w:sz w:val="20"/>
          <w:szCs w:val="20"/>
        </w:rPr>
        <w:t xml:space="preserve"> fractions by using </w:t>
      </w:r>
      <w:proofErr w:type="spellStart"/>
      <w:r w:rsidRPr="00B56A97">
        <w:rPr>
          <w:rFonts w:cstheme="minorHAnsi"/>
          <w:sz w:val="20"/>
          <w:szCs w:val="20"/>
        </w:rPr>
        <w:t>propidium</w:t>
      </w:r>
      <w:proofErr w:type="spellEnd"/>
      <w:r w:rsidRPr="00B56A97">
        <w:rPr>
          <w:rFonts w:cstheme="minorHAnsi"/>
          <w:sz w:val="20"/>
          <w:szCs w:val="20"/>
        </w:rPr>
        <w:t xml:space="preserve"> iodide (PI) staining for DNA fragmentation. Briefly, the cells were harvested in 15-mL tubes, fixed with 70% ethanol, washed twice with PBS and stained with PI (50 </w:t>
      </w:r>
      <w:proofErr w:type="spellStart"/>
      <w:r w:rsidRPr="00B56A97">
        <w:rPr>
          <w:rFonts w:cstheme="minorHAnsi"/>
          <w:sz w:val="20"/>
          <w:szCs w:val="20"/>
        </w:rPr>
        <w:t>μg</w:t>
      </w:r>
      <w:proofErr w:type="spellEnd"/>
      <w:r w:rsidRPr="00B56A97">
        <w:rPr>
          <w:rFonts w:cstheme="minorHAnsi"/>
          <w:sz w:val="20"/>
          <w:szCs w:val="20"/>
        </w:rPr>
        <w:t xml:space="preserve">/ml) and RNase A (100 </w:t>
      </w:r>
      <w:proofErr w:type="spellStart"/>
      <w:r w:rsidRPr="00B56A97">
        <w:rPr>
          <w:rFonts w:cstheme="minorHAnsi"/>
          <w:sz w:val="20"/>
          <w:szCs w:val="20"/>
        </w:rPr>
        <w:t>μg</w:t>
      </w:r>
      <w:proofErr w:type="spellEnd"/>
      <w:r w:rsidRPr="00B56A97">
        <w:rPr>
          <w:rFonts w:cstheme="minorHAnsi"/>
          <w:sz w:val="20"/>
          <w:szCs w:val="20"/>
        </w:rPr>
        <w:t xml:space="preserve">/ml) for 30 minutes at 37°C. At least 10,000 events were </w:t>
      </w:r>
      <w:proofErr w:type="spellStart"/>
      <w:r w:rsidRPr="00B56A97">
        <w:rPr>
          <w:rFonts w:cstheme="minorHAnsi"/>
          <w:sz w:val="20"/>
          <w:szCs w:val="20"/>
        </w:rPr>
        <w:t>analyzed</w:t>
      </w:r>
      <w:proofErr w:type="spellEnd"/>
      <w:r w:rsidRPr="00B56A97">
        <w:rPr>
          <w:rFonts w:cstheme="minorHAnsi"/>
          <w:sz w:val="20"/>
          <w:szCs w:val="20"/>
        </w:rPr>
        <w:t xml:space="preserve"> by flow cytometry (Coulter EPICS Elite ESP; Beckman Coulter, Fullerton, CA, USA) with the excitation set at 488 nm and emission at 610 nm. Data were </w:t>
      </w:r>
      <w:proofErr w:type="spellStart"/>
      <w:r w:rsidRPr="00B56A97">
        <w:rPr>
          <w:rFonts w:cstheme="minorHAnsi"/>
          <w:sz w:val="20"/>
          <w:szCs w:val="20"/>
        </w:rPr>
        <w:t>analyzed</w:t>
      </w:r>
      <w:proofErr w:type="spellEnd"/>
      <w:r w:rsidRPr="00B56A97">
        <w:rPr>
          <w:rFonts w:cstheme="minorHAnsi"/>
          <w:sz w:val="20"/>
          <w:szCs w:val="20"/>
        </w:rPr>
        <w:t xml:space="preserve"> using Flowing Software version 2.5.1 (Turku Bioscience, Turku, Finland).</w:t>
      </w:r>
    </w:p>
    <w:p w14:paraId="3A34712E" w14:textId="77777777" w:rsidR="00DA42E7" w:rsidRPr="00B56A97" w:rsidRDefault="00DA42E7" w:rsidP="00DA42E7">
      <w:pPr>
        <w:spacing w:after="0" w:line="480" w:lineRule="auto"/>
        <w:jc w:val="both"/>
        <w:rPr>
          <w:rFonts w:eastAsia="Calibri" w:cstheme="minorHAnsi"/>
          <w:b/>
          <w:bCs/>
          <w:sz w:val="20"/>
          <w:szCs w:val="20"/>
        </w:rPr>
      </w:pPr>
    </w:p>
    <w:p w14:paraId="08E6D166" w14:textId="77777777" w:rsidR="00DA42E7" w:rsidRPr="00B56A97" w:rsidRDefault="00DA42E7" w:rsidP="00DA42E7">
      <w:pPr>
        <w:spacing w:after="0" w:line="480" w:lineRule="auto"/>
        <w:jc w:val="both"/>
        <w:rPr>
          <w:rFonts w:cstheme="minorHAnsi"/>
          <w:b/>
          <w:i/>
          <w:sz w:val="20"/>
          <w:szCs w:val="20"/>
        </w:rPr>
      </w:pPr>
      <w:r w:rsidRPr="00B56A97">
        <w:rPr>
          <w:rFonts w:cstheme="minorHAnsi"/>
          <w:b/>
          <w:i/>
          <w:sz w:val="20"/>
          <w:szCs w:val="20"/>
        </w:rPr>
        <w:t xml:space="preserve">Flow cytometry for </w:t>
      </w:r>
      <w:proofErr w:type="spellStart"/>
      <w:r w:rsidRPr="00B56A97">
        <w:rPr>
          <w:rFonts w:cstheme="minorHAnsi"/>
          <w:b/>
          <w:i/>
          <w:sz w:val="20"/>
          <w:szCs w:val="20"/>
        </w:rPr>
        <w:t>calreticulin</w:t>
      </w:r>
      <w:proofErr w:type="spellEnd"/>
      <w:r w:rsidRPr="00B56A97">
        <w:rPr>
          <w:rFonts w:cstheme="minorHAnsi"/>
          <w:b/>
          <w:i/>
          <w:sz w:val="20"/>
          <w:szCs w:val="20"/>
        </w:rPr>
        <w:t xml:space="preserve"> and PD-L1 expression</w:t>
      </w:r>
    </w:p>
    <w:p w14:paraId="19FBE7CF" w14:textId="77777777" w:rsidR="00DA42E7" w:rsidRPr="00B56A97" w:rsidRDefault="00DA42E7" w:rsidP="00DA42E7">
      <w:pPr>
        <w:spacing w:after="0" w:line="480" w:lineRule="auto"/>
        <w:jc w:val="both"/>
        <w:rPr>
          <w:rFonts w:cstheme="minorHAnsi"/>
          <w:sz w:val="20"/>
          <w:szCs w:val="20"/>
        </w:rPr>
      </w:pPr>
      <w:r w:rsidRPr="00B56A97">
        <w:rPr>
          <w:sz w:val="20"/>
          <w:szCs w:val="20"/>
        </w:rPr>
        <w:t xml:space="preserve">For PD-L1 and </w:t>
      </w:r>
      <w:proofErr w:type="spellStart"/>
      <w:r w:rsidRPr="00B56A97">
        <w:rPr>
          <w:sz w:val="20"/>
          <w:szCs w:val="20"/>
        </w:rPr>
        <w:t>calreticulin</w:t>
      </w:r>
      <w:proofErr w:type="spellEnd"/>
      <w:r w:rsidRPr="00B56A97">
        <w:rPr>
          <w:sz w:val="20"/>
          <w:szCs w:val="20"/>
        </w:rPr>
        <w:t xml:space="preserve"> staining, cells were incubated with respective antibody (1:100, 30 minutes </w:t>
      </w:r>
      <w:r w:rsidRPr="00B56A97">
        <w:rPr>
          <w:rFonts w:cstheme="minorHAnsi"/>
          <w:sz w:val="20"/>
          <w:szCs w:val="20"/>
        </w:rPr>
        <w:t>at room temperature</w:t>
      </w:r>
      <w:r w:rsidRPr="00B56A97">
        <w:rPr>
          <w:sz w:val="20"/>
          <w:szCs w:val="20"/>
        </w:rPr>
        <w:t xml:space="preserve">) (Supplementary Table S16), washed and </w:t>
      </w:r>
      <w:proofErr w:type="spellStart"/>
      <w:r w:rsidRPr="00B56A97">
        <w:rPr>
          <w:sz w:val="20"/>
          <w:szCs w:val="20"/>
        </w:rPr>
        <w:t>resuspended</w:t>
      </w:r>
      <w:proofErr w:type="spellEnd"/>
      <w:r w:rsidRPr="00B56A97">
        <w:rPr>
          <w:sz w:val="20"/>
          <w:szCs w:val="20"/>
        </w:rPr>
        <w:t xml:space="preserve"> in PBS. For PD-L1, this was marked with PE-conjugated secondary antibody (#31864, </w:t>
      </w:r>
      <w:proofErr w:type="spellStart"/>
      <w:r w:rsidRPr="00B56A97">
        <w:rPr>
          <w:sz w:val="20"/>
          <w:szCs w:val="20"/>
        </w:rPr>
        <w:t>Thermo</w:t>
      </w:r>
      <w:proofErr w:type="spellEnd"/>
      <w:r w:rsidRPr="00B56A97">
        <w:rPr>
          <w:sz w:val="20"/>
          <w:szCs w:val="20"/>
        </w:rPr>
        <w:t xml:space="preserve"> Fisher Scientific, MA, USA) before analysis (BD LSR </w:t>
      </w:r>
      <w:proofErr w:type="spellStart"/>
      <w:r w:rsidRPr="00B56A97">
        <w:rPr>
          <w:sz w:val="20"/>
          <w:szCs w:val="20"/>
        </w:rPr>
        <w:t>Fortessa</w:t>
      </w:r>
      <w:proofErr w:type="spellEnd"/>
      <w:r w:rsidRPr="00B56A97">
        <w:rPr>
          <w:sz w:val="20"/>
          <w:szCs w:val="20"/>
        </w:rPr>
        <w:t xml:space="preserve">, </w:t>
      </w:r>
      <w:r w:rsidRPr="00B56A97">
        <w:rPr>
          <w:rFonts w:cstheme="minorHAnsi"/>
          <w:sz w:val="20"/>
          <w:szCs w:val="20"/>
        </w:rPr>
        <w:t>BD Biosciences, San Jose, CA, USA).</w:t>
      </w:r>
      <w:r w:rsidRPr="00B56A97">
        <w:rPr>
          <w:sz w:val="20"/>
          <w:szCs w:val="20"/>
        </w:rPr>
        <w:t xml:space="preserve"> </w:t>
      </w:r>
      <w:r w:rsidRPr="00B56A97">
        <w:rPr>
          <w:rFonts w:cstheme="minorHAnsi"/>
          <w:sz w:val="20"/>
          <w:szCs w:val="20"/>
        </w:rPr>
        <w:t xml:space="preserve">Data were </w:t>
      </w:r>
      <w:proofErr w:type="spellStart"/>
      <w:r w:rsidRPr="00B56A97">
        <w:rPr>
          <w:rFonts w:cstheme="minorHAnsi"/>
          <w:sz w:val="20"/>
          <w:szCs w:val="20"/>
        </w:rPr>
        <w:t>analyzed</w:t>
      </w:r>
      <w:proofErr w:type="spellEnd"/>
      <w:r w:rsidRPr="00B56A97">
        <w:rPr>
          <w:rFonts w:cstheme="minorHAnsi"/>
          <w:sz w:val="20"/>
          <w:szCs w:val="20"/>
        </w:rPr>
        <w:t xml:space="preserve"> using </w:t>
      </w:r>
      <w:proofErr w:type="spellStart"/>
      <w:r w:rsidRPr="00B56A97">
        <w:rPr>
          <w:rFonts w:cstheme="minorHAnsi"/>
          <w:sz w:val="20"/>
          <w:szCs w:val="20"/>
        </w:rPr>
        <w:t>FlowJo</w:t>
      </w:r>
      <w:proofErr w:type="spellEnd"/>
      <w:r w:rsidRPr="00B56A97">
        <w:rPr>
          <w:rFonts w:cstheme="minorHAnsi"/>
          <w:sz w:val="20"/>
          <w:szCs w:val="20"/>
        </w:rPr>
        <w:t xml:space="preserve"> version 10.8.0 (BD Biosciences, San Jose, CA, USA). FACS gating strategies are available in Supplementary Figure S12.</w:t>
      </w:r>
    </w:p>
    <w:p w14:paraId="6FF8BB0D" w14:textId="77777777" w:rsidR="00DA42E7" w:rsidRPr="00B56A97" w:rsidRDefault="00DA42E7" w:rsidP="00DA42E7">
      <w:pPr>
        <w:spacing w:after="0" w:line="480" w:lineRule="auto"/>
        <w:jc w:val="both"/>
        <w:rPr>
          <w:rFonts w:eastAsia="Calibri" w:cstheme="minorHAnsi"/>
          <w:b/>
          <w:bCs/>
          <w:sz w:val="20"/>
          <w:szCs w:val="20"/>
          <w:lang w:val="en-US"/>
        </w:rPr>
      </w:pPr>
    </w:p>
    <w:p w14:paraId="342CCD2C" w14:textId="77777777" w:rsidR="00DA42E7" w:rsidRPr="00B56A97" w:rsidRDefault="00DA42E7" w:rsidP="00DA42E7">
      <w:pPr>
        <w:spacing w:after="0" w:line="480" w:lineRule="auto"/>
        <w:jc w:val="both"/>
        <w:rPr>
          <w:rFonts w:eastAsia="Calibri" w:cstheme="minorHAnsi"/>
          <w:b/>
          <w:bCs/>
          <w:i/>
          <w:sz w:val="20"/>
          <w:szCs w:val="20"/>
        </w:rPr>
      </w:pPr>
      <w:r w:rsidRPr="00B56A97">
        <w:rPr>
          <w:rFonts w:eastAsia="Calibri" w:cstheme="minorHAnsi"/>
          <w:b/>
          <w:bCs/>
          <w:i/>
          <w:sz w:val="20"/>
          <w:szCs w:val="20"/>
        </w:rPr>
        <w:t>HMGB1 release assay</w:t>
      </w:r>
    </w:p>
    <w:p w14:paraId="35C7D6BE" w14:textId="77777777" w:rsidR="00DA42E7" w:rsidRPr="00B56A97" w:rsidRDefault="00DA42E7" w:rsidP="00DA42E7">
      <w:pPr>
        <w:spacing w:after="0" w:line="480" w:lineRule="auto"/>
        <w:jc w:val="both"/>
        <w:rPr>
          <w:rFonts w:eastAsia="Calibri" w:cstheme="minorHAnsi"/>
          <w:bCs/>
          <w:sz w:val="20"/>
          <w:szCs w:val="20"/>
          <w:lang w:val="en-US"/>
        </w:rPr>
      </w:pPr>
      <w:r w:rsidRPr="00B56A97">
        <w:rPr>
          <w:rFonts w:eastAsia="Calibri" w:cstheme="minorHAnsi"/>
          <w:bCs/>
          <w:sz w:val="20"/>
          <w:szCs w:val="20"/>
          <w:lang w:val="en-US"/>
        </w:rPr>
        <w:lastRenderedPageBreak/>
        <w:t xml:space="preserve">The release of High Mobility Group Box 1 (HMGB1) protein from cells was quantified using the </w:t>
      </w:r>
      <w:proofErr w:type="spellStart"/>
      <w:r w:rsidRPr="00B56A97">
        <w:rPr>
          <w:rFonts w:eastAsia="Calibri" w:cstheme="minorHAnsi"/>
          <w:bCs/>
          <w:sz w:val="20"/>
          <w:szCs w:val="20"/>
          <w:lang w:val="en-US"/>
        </w:rPr>
        <w:t>Lumit</w:t>
      </w:r>
      <w:proofErr w:type="spellEnd"/>
      <w:r w:rsidRPr="00B56A97">
        <w:rPr>
          <w:rFonts w:eastAsia="Calibri" w:cstheme="minorHAnsi"/>
          <w:bCs/>
          <w:sz w:val="20"/>
          <w:szCs w:val="20"/>
          <w:lang w:val="en-US"/>
        </w:rPr>
        <w:t xml:space="preserve"> HMGB1 (Human/Mouse) Immunoassay </w:t>
      </w:r>
      <w:r w:rsidRPr="00B56A97">
        <w:rPr>
          <w:rFonts w:cstheme="minorHAnsi"/>
          <w:sz w:val="20"/>
          <w:szCs w:val="20"/>
        </w:rPr>
        <w:t>(</w:t>
      </w:r>
      <w:proofErr w:type="spellStart"/>
      <w:r w:rsidRPr="00B56A97">
        <w:rPr>
          <w:rFonts w:cstheme="minorHAnsi"/>
          <w:sz w:val="20"/>
          <w:szCs w:val="20"/>
        </w:rPr>
        <w:t>Promega</w:t>
      </w:r>
      <w:proofErr w:type="spellEnd"/>
      <w:r w:rsidRPr="00B56A97">
        <w:rPr>
          <w:rFonts w:cstheme="minorHAnsi"/>
          <w:sz w:val="20"/>
          <w:szCs w:val="20"/>
        </w:rPr>
        <w:t xml:space="preserve">, Madison, WI, USA), as per manufacturer’s protocol. Briefly, 20 µl of 5X antibody mixture was added to 80 µl of treated cells and incubated for 60 minutes at room temperature. Following incubation, 25 µl of </w:t>
      </w:r>
      <w:proofErr w:type="spellStart"/>
      <w:r w:rsidRPr="00B56A97">
        <w:rPr>
          <w:rFonts w:cstheme="minorHAnsi"/>
          <w:sz w:val="20"/>
          <w:szCs w:val="20"/>
        </w:rPr>
        <w:t>Lumit</w:t>
      </w:r>
      <w:proofErr w:type="spellEnd"/>
      <w:r w:rsidRPr="00B56A97">
        <w:rPr>
          <w:rFonts w:cstheme="minorHAnsi"/>
          <w:sz w:val="20"/>
          <w:szCs w:val="20"/>
        </w:rPr>
        <w:t xml:space="preserve"> Detection Reagent B was added and luminescence recorded using </w:t>
      </w:r>
      <w:proofErr w:type="spellStart"/>
      <w:r w:rsidRPr="00B56A97">
        <w:rPr>
          <w:rFonts w:cstheme="minorHAnsi"/>
          <w:sz w:val="20"/>
          <w:szCs w:val="20"/>
        </w:rPr>
        <w:t>Tecan</w:t>
      </w:r>
      <w:proofErr w:type="spellEnd"/>
      <w:r w:rsidRPr="00B56A97">
        <w:rPr>
          <w:rFonts w:cstheme="minorHAnsi"/>
          <w:sz w:val="20"/>
          <w:szCs w:val="20"/>
        </w:rPr>
        <w:t xml:space="preserve"> M200 Infinite 96-well plate reader with </w:t>
      </w:r>
      <w:proofErr w:type="spellStart"/>
      <w:r w:rsidRPr="00B56A97">
        <w:rPr>
          <w:rFonts w:cstheme="minorHAnsi"/>
          <w:sz w:val="20"/>
          <w:szCs w:val="20"/>
        </w:rPr>
        <w:t>IControl</w:t>
      </w:r>
      <w:proofErr w:type="spellEnd"/>
      <w:r w:rsidRPr="00B56A97">
        <w:rPr>
          <w:rFonts w:cstheme="minorHAnsi"/>
          <w:sz w:val="20"/>
          <w:szCs w:val="20"/>
        </w:rPr>
        <w:t xml:space="preserve"> Software 1.6 (</w:t>
      </w:r>
      <w:proofErr w:type="spellStart"/>
      <w:r w:rsidRPr="00B56A97">
        <w:rPr>
          <w:rFonts w:cstheme="minorHAnsi"/>
          <w:sz w:val="20"/>
          <w:szCs w:val="20"/>
        </w:rPr>
        <w:t>Tecan</w:t>
      </w:r>
      <w:proofErr w:type="spellEnd"/>
      <w:r w:rsidRPr="00B56A97">
        <w:rPr>
          <w:rFonts w:cstheme="minorHAnsi"/>
          <w:sz w:val="20"/>
          <w:szCs w:val="20"/>
        </w:rPr>
        <w:t xml:space="preserve">, </w:t>
      </w:r>
      <w:proofErr w:type="spellStart"/>
      <w:r w:rsidRPr="00B56A97">
        <w:rPr>
          <w:rFonts w:cstheme="minorHAnsi"/>
          <w:sz w:val="20"/>
          <w:szCs w:val="20"/>
        </w:rPr>
        <w:t>Männedorf</w:t>
      </w:r>
      <w:proofErr w:type="spellEnd"/>
      <w:r w:rsidRPr="00B56A97">
        <w:rPr>
          <w:rFonts w:cstheme="minorHAnsi"/>
          <w:sz w:val="20"/>
          <w:szCs w:val="20"/>
        </w:rPr>
        <w:t>, Switzerland).</w:t>
      </w:r>
    </w:p>
    <w:p w14:paraId="4E8614FC" w14:textId="77777777" w:rsidR="00DA42E7" w:rsidRDefault="00DA42E7" w:rsidP="00DA42E7">
      <w:pPr>
        <w:autoSpaceDE w:val="0"/>
        <w:autoSpaceDN w:val="0"/>
        <w:adjustRightInd w:val="0"/>
        <w:spacing w:after="0" w:line="480" w:lineRule="auto"/>
        <w:rPr>
          <w:rFonts w:eastAsia="Calibri" w:cstheme="minorHAnsi"/>
          <w:b/>
          <w:bCs/>
          <w:sz w:val="20"/>
          <w:szCs w:val="20"/>
        </w:rPr>
      </w:pPr>
    </w:p>
    <w:p w14:paraId="08DFD8D9" w14:textId="77777777" w:rsidR="00DA42E7" w:rsidRPr="00B56A97" w:rsidRDefault="00DA42E7" w:rsidP="00DA42E7">
      <w:pPr>
        <w:spacing w:after="0" w:line="480" w:lineRule="auto"/>
        <w:jc w:val="both"/>
        <w:rPr>
          <w:rFonts w:eastAsia="Calibri" w:cstheme="minorHAnsi"/>
          <w:b/>
          <w:bCs/>
          <w:i/>
          <w:sz w:val="20"/>
          <w:szCs w:val="20"/>
          <w:lang w:val="en-US"/>
        </w:rPr>
      </w:pPr>
      <w:r w:rsidRPr="00B56A97">
        <w:rPr>
          <w:rFonts w:eastAsia="Calibri" w:cstheme="minorHAnsi"/>
          <w:b/>
          <w:bCs/>
          <w:i/>
          <w:sz w:val="20"/>
          <w:szCs w:val="20"/>
          <w:lang w:val="en-US"/>
        </w:rPr>
        <w:t>NanoString gene expression profiling</w:t>
      </w:r>
    </w:p>
    <w:p w14:paraId="0E8EB362" w14:textId="77777777" w:rsidR="00DA42E7" w:rsidRPr="00B56A97" w:rsidRDefault="00DA42E7" w:rsidP="00DA42E7">
      <w:pPr>
        <w:spacing w:after="0" w:line="480" w:lineRule="auto"/>
        <w:jc w:val="both"/>
        <w:rPr>
          <w:rFonts w:cstheme="minorHAnsi"/>
          <w:sz w:val="20"/>
          <w:szCs w:val="20"/>
          <w:lang w:val="en-US"/>
        </w:rPr>
      </w:pPr>
      <w:r w:rsidRPr="00B56A97">
        <w:rPr>
          <w:rFonts w:cstheme="minorHAnsi"/>
          <w:sz w:val="20"/>
          <w:szCs w:val="20"/>
          <w:lang w:val="en-US"/>
        </w:rPr>
        <w:t xml:space="preserve">Gene expression profiling on </w:t>
      </w:r>
      <w:r w:rsidRPr="00B56A97">
        <w:rPr>
          <w:rFonts w:cstheme="minorHAnsi"/>
          <w:sz w:val="20"/>
          <w:szCs w:val="20"/>
        </w:rPr>
        <w:t xml:space="preserve">murine EL4 cell line-derived </w:t>
      </w:r>
      <w:proofErr w:type="spellStart"/>
      <w:r w:rsidRPr="00B56A97">
        <w:rPr>
          <w:rFonts w:cstheme="minorHAnsi"/>
          <w:sz w:val="20"/>
          <w:szCs w:val="20"/>
        </w:rPr>
        <w:t>tumors</w:t>
      </w:r>
      <w:proofErr w:type="spellEnd"/>
      <w:r w:rsidRPr="00B56A97">
        <w:rPr>
          <w:rFonts w:cstheme="minorHAnsi"/>
          <w:sz w:val="20"/>
          <w:szCs w:val="20"/>
        </w:rPr>
        <w:t xml:space="preserve"> (from flank implants on C57BL6N mice) treated with BCV (n</w:t>
      </w:r>
      <w:r>
        <w:rPr>
          <w:rFonts w:cstheme="minorHAnsi"/>
          <w:sz w:val="20"/>
          <w:szCs w:val="20"/>
        </w:rPr>
        <w:t xml:space="preserve"> </w:t>
      </w:r>
      <w:r w:rsidRPr="00B56A97">
        <w:rPr>
          <w:rFonts w:cstheme="minorHAnsi"/>
          <w:sz w:val="20"/>
          <w:szCs w:val="20"/>
        </w:rPr>
        <w:t>=</w:t>
      </w:r>
      <w:r>
        <w:rPr>
          <w:rFonts w:cstheme="minorHAnsi"/>
          <w:sz w:val="20"/>
          <w:szCs w:val="20"/>
        </w:rPr>
        <w:t xml:space="preserve"> </w:t>
      </w:r>
      <w:r w:rsidRPr="00B56A97">
        <w:rPr>
          <w:rFonts w:cstheme="minorHAnsi"/>
          <w:sz w:val="20"/>
          <w:szCs w:val="20"/>
        </w:rPr>
        <w:t>9), isotype alone (n</w:t>
      </w:r>
      <w:r>
        <w:rPr>
          <w:rFonts w:cstheme="minorHAnsi"/>
          <w:sz w:val="20"/>
          <w:szCs w:val="20"/>
        </w:rPr>
        <w:t xml:space="preserve"> </w:t>
      </w:r>
      <w:r w:rsidRPr="00B56A97">
        <w:rPr>
          <w:rFonts w:cstheme="minorHAnsi"/>
          <w:sz w:val="20"/>
          <w:szCs w:val="20"/>
        </w:rPr>
        <w:t>=</w:t>
      </w:r>
      <w:r>
        <w:rPr>
          <w:rFonts w:cstheme="minorHAnsi"/>
          <w:sz w:val="20"/>
          <w:szCs w:val="20"/>
        </w:rPr>
        <w:t xml:space="preserve"> </w:t>
      </w:r>
      <w:r w:rsidRPr="00B56A97">
        <w:rPr>
          <w:rFonts w:cstheme="minorHAnsi"/>
          <w:sz w:val="20"/>
          <w:szCs w:val="20"/>
        </w:rPr>
        <w:t>9), anti-PD-1 (n</w:t>
      </w:r>
      <w:r>
        <w:rPr>
          <w:rFonts w:cstheme="minorHAnsi"/>
          <w:sz w:val="20"/>
          <w:szCs w:val="20"/>
        </w:rPr>
        <w:t xml:space="preserve"> </w:t>
      </w:r>
      <w:r w:rsidRPr="00B56A97">
        <w:rPr>
          <w:rFonts w:cstheme="minorHAnsi"/>
          <w:sz w:val="20"/>
          <w:szCs w:val="20"/>
        </w:rPr>
        <w:t>=</w:t>
      </w:r>
      <w:r>
        <w:rPr>
          <w:rFonts w:cstheme="minorHAnsi"/>
          <w:sz w:val="20"/>
          <w:szCs w:val="20"/>
        </w:rPr>
        <w:t xml:space="preserve"> </w:t>
      </w:r>
      <w:r w:rsidRPr="00B56A97">
        <w:rPr>
          <w:rFonts w:cstheme="minorHAnsi"/>
          <w:sz w:val="20"/>
          <w:szCs w:val="20"/>
        </w:rPr>
        <w:t>8) and BCV plus anti-PD1 (n</w:t>
      </w:r>
      <w:r>
        <w:rPr>
          <w:rFonts w:cstheme="minorHAnsi"/>
          <w:sz w:val="20"/>
          <w:szCs w:val="20"/>
        </w:rPr>
        <w:t xml:space="preserve"> </w:t>
      </w:r>
      <w:r w:rsidRPr="00B56A97">
        <w:rPr>
          <w:rFonts w:cstheme="minorHAnsi"/>
          <w:sz w:val="20"/>
          <w:szCs w:val="20"/>
        </w:rPr>
        <w:t>=</w:t>
      </w:r>
      <w:r>
        <w:rPr>
          <w:rFonts w:cstheme="minorHAnsi"/>
          <w:sz w:val="20"/>
          <w:szCs w:val="20"/>
        </w:rPr>
        <w:t xml:space="preserve"> </w:t>
      </w:r>
      <w:r w:rsidRPr="00B56A97">
        <w:rPr>
          <w:rFonts w:cstheme="minorHAnsi"/>
          <w:sz w:val="20"/>
          <w:szCs w:val="20"/>
        </w:rPr>
        <w:t xml:space="preserve">9),  </w:t>
      </w:r>
      <w:r w:rsidRPr="00B56A97">
        <w:rPr>
          <w:rFonts w:cstheme="minorHAnsi"/>
          <w:sz w:val="20"/>
          <w:szCs w:val="20"/>
          <w:lang w:val="en-US"/>
        </w:rPr>
        <w:t xml:space="preserve">was performed using the NanoString Mouse Immunology Panel on the </w:t>
      </w:r>
      <w:proofErr w:type="spellStart"/>
      <w:r w:rsidRPr="00B56A97">
        <w:rPr>
          <w:rFonts w:cstheme="minorHAnsi"/>
          <w:sz w:val="20"/>
          <w:szCs w:val="20"/>
          <w:lang w:val="en-US"/>
        </w:rPr>
        <w:t>nCounter</w:t>
      </w:r>
      <w:proofErr w:type="spellEnd"/>
      <w:r w:rsidRPr="00B56A97">
        <w:rPr>
          <w:rFonts w:cstheme="minorHAnsi"/>
          <w:sz w:val="20"/>
          <w:szCs w:val="20"/>
          <w:lang w:val="en-US"/>
        </w:rPr>
        <w:t xml:space="preserve"> platform (NanoString Technologies, Seattle, WA, USA) following manufacturer’s protocol. RNA was extracted from all samples and analyzed using the 2100 </w:t>
      </w:r>
      <w:proofErr w:type="spellStart"/>
      <w:r w:rsidRPr="00B56A97">
        <w:rPr>
          <w:rFonts w:cstheme="minorHAnsi"/>
          <w:sz w:val="20"/>
          <w:szCs w:val="20"/>
          <w:lang w:val="en-US"/>
        </w:rPr>
        <w:t>Bioanalyzer</w:t>
      </w:r>
      <w:proofErr w:type="spellEnd"/>
      <w:r w:rsidRPr="00B56A97">
        <w:rPr>
          <w:rFonts w:cstheme="minorHAnsi"/>
          <w:sz w:val="20"/>
          <w:szCs w:val="20"/>
          <w:lang w:val="en-US"/>
        </w:rPr>
        <w:t xml:space="preserve"> (Agilent Technologies, Palo Alto, CA, USA).  The data was analyzed on the </w:t>
      </w:r>
      <w:proofErr w:type="spellStart"/>
      <w:r w:rsidRPr="00B56A97">
        <w:rPr>
          <w:rFonts w:cstheme="minorHAnsi"/>
          <w:sz w:val="20"/>
          <w:szCs w:val="20"/>
          <w:lang w:val="en-US"/>
        </w:rPr>
        <w:t>nSolver</w:t>
      </w:r>
      <w:proofErr w:type="spellEnd"/>
      <w:r w:rsidRPr="00B56A97">
        <w:rPr>
          <w:rFonts w:cstheme="minorHAnsi"/>
          <w:sz w:val="20"/>
          <w:szCs w:val="20"/>
          <w:lang w:val="en-US"/>
        </w:rPr>
        <w:t xml:space="preserve"> 4.0 Advanced Analysis module using default settings to derive differentially-expressed genes, pathway scores, and cell-type scores.</w:t>
      </w:r>
    </w:p>
    <w:p w14:paraId="4C71F9A1" w14:textId="77777777" w:rsidR="000514B9" w:rsidRPr="00DA42E7" w:rsidRDefault="000514B9" w:rsidP="000514B9">
      <w:pPr>
        <w:spacing w:line="360" w:lineRule="auto"/>
        <w:jc w:val="center"/>
        <w:rPr>
          <w:rFonts w:cstheme="minorHAnsi"/>
          <w:b/>
          <w:bCs/>
          <w:sz w:val="18"/>
          <w:szCs w:val="20"/>
          <w:lang w:val="en-US"/>
        </w:rPr>
      </w:pPr>
    </w:p>
    <w:sectPr w:rsidR="000514B9" w:rsidRPr="00DA42E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AC83205"/>
    <w:multiLevelType w:val="hybridMultilevel"/>
    <w:tmpl w:val="7354D0B8"/>
    <w:lvl w:ilvl="0" w:tplc="48090001">
      <w:start w:val="1"/>
      <w:numFmt w:val="bullet"/>
      <w:lvlText w:val=""/>
      <w:lvlJc w:val="left"/>
      <w:pPr>
        <w:ind w:left="360" w:hanging="360"/>
      </w:pPr>
      <w:rPr>
        <w:rFonts w:ascii="Symbol" w:hAnsi="Symbol" w:hint="default"/>
      </w:rPr>
    </w:lvl>
    <w:lvl w:ilvl="1" w:tplc="48090003" w:tentative="1">
      <w:start w:val="1"/>
      <w:numFmt w:val="bullet"/>
      <w:lvlText w:val="o"/>
      <w:lvlJc w:val="left"/>
      <w:pPr>
        <w:ind w:left="1080" w:hanging="360"/>
      </w:pPr>
      <w:rPr>
        <w:rFonts w:ascii="Courier New" w:hAnsi="Courier New" w:cs="Courier New" w:hint="default"/>
      </w:rPr>
    </w:lvl>
    <w:lvl w:ilvl="2" w:tplc="48090005" w:tentative="1">
      <w:start w:val="1"/>
      <w:numFmt w:val="bullet"/>
      <w:lvlText w:val=""/>
      <w:lvlJc w:val="left"/>
      <w:pPr>
        <w:ind w:left="1800" w:hanging="360"/>
      </w:pPr>
      <w:rPr>
        <w:rFonts w:ascii="Wingdings" w:hAnsi="Wingdings" w:hint="default"/>
      </w:rPr>
    </w:lvl>
    <w:lvl w:ilvl="3" w:tplc="48090001" w:tentative="1">
      <w:start w:val="1"/>
      <w:numFmt w:val="bullet"/>
      <w:lvlText w:val=""/>
      <w:lvlJc w:val="left"/>
      <w:pPr>
        <w:ind w:left="2520" w:hanging="360"/>
      </w:pPr>
      <w:rPr>
        <w:rFonts w:ascii="Symbol" w:hAnsi="Symbol" w:hint="default"/>
      </w:rPr>
    </w:lvl>
    <w:lvl w:ilvl="4" w:tplc="48090003" w:tentative="1">
      <w:start w:val="1"/>
      <w:numFmt w:val="bullet"/>
      <w:lvlText w:val="o"/>
      <w:lvlJc w:val="left"/>
      <w:pPr>
        <w:ind w:left="3240" w:hanging="360"/>
      </w:pPr>
      <w:rPr>
        <w:rFonts w:ascii="Courier New" w:hAnsi="Courier New" w:cs="Courier New" w:hint="default"/>
      </w:rPr>
    </w:lvl>
    <w:lvl w:ilvl="5" w:tplc="48090005" w:tentative="1">
      <w:start w:val="1"/>
      <w:numFmt w:val="bullet"/>
      <w:lvlText w:val=""/>
      <w:lvlJc w:val="left"/>
      <w:pPr>
        <w:ind w:left="3960" w:hanging="360"/>
      </w:pPr>
      <w:rPr>
        <w:rFonts w:ascii="Wingdings" w:hAnsi="Wingdings" w:hint="default"/>
      </w:rPr>
    </w:lvl>
    <w:lvl w:ilvl="6" w:tplc="48090001" w:tentative="1">
      <w:start w:val="1"/>
      <w:numFmt w:val="bullet"/>
      <w:lvlText w:val=""/>
      <w:lvlJc w:val="left"/>
      <w:pPr>
        <w:ind w:left="4680" w:hanging="360"/>
      </w:pPr>
      <w:rPr>
        <w:rFonts w:ascii="Symbol" w:hAnsi="Symbol" w:hint="default"/>
      </w:rPr>
    </w:lvl>
    <w:lvl w:ilvl="7" w:tplc="48090003" w:tentative="1">
      <w:start w:val="1"/>
      <w:numFmt w:val="bullet"/>
      <w:lvlText w:val="o"/>
      <w:lvlJc w:val="left"/>
      <w:pPr>
        <w:ind w:left="5400" w:hanging="360"/>
      </w:pPr>
      <w:rPr>
        <w:rFonts w:ascii="Courier New" w:hAnsi="Courier New" w:cs="Courier New" w:hint="default"/>
      </w:rPr>
    </w:lvl>
    <w:lvl w:ilvl="8" w:tplc="48090005" w:tentative="1">
      <w:start w:val="1"/>
      <w:numFmt w:val="bullet"/>
      <w:lvlText w:val=""/>
      <w:lvlJc w:val="left"/>
      <w:pPr>
        <w:ind w:left="6120" w:hanging="360"/>
      </w:pPr>
      <w:rPr>
        <w:rFonts w:ascii="Wingdings" w:hAnsi="Wingdings" w:hint="default"/>
      </w:rPr>
    </w:lvl>
  </w:abstractNum>
  <w:abstractNum w:abstractNumId="1" w15:restartNumberingAfterBreak="0">
    <w:nsid w:val="1E751F62"/>
    <w:multiLevelType w:val="hybridMultilevel"/>
    <w:tmpl w:val="4596E22E"/>
    <w:lvl w:ilvl="0" w:tplc="AB30E278">
      <w:start w:val="1"/>
      <w:numFmt w:val="bullet"/>
      <w:lvlText w:val="•"/>
      <w:lvlJc w:val="left"/>
      <w:pPr>
        <w:tabs>
          <w:tab w:val="num" w:pos="720"/>
        </w:tabs>
        <w:ind w:left="720" w:hanging="360"/>
      </w:pPr>
      <w:rPr>
        <w:rFonts w:ascii="Arial" w:hAnsi="Arial" w:hint="default"/>
      </w:rPr>
    </w:lvl>
    <w:lvl w:ilvl="1" w:tplc="D304FF3E" w:tentative="1">
      <w:start w:val="1"/>
      <w:numFmt w:val="bullet"/>
      <w:lvlText w:val="•"/>
      <w:lvlJc w:val="left"/>
      <w:pPr>
        <w:tabs>
          <w:tab w:val="num" w:pos="1440"/>
        </w:tabs>
        <w:ind w:left="1440" w:hanging="360"/>
      </w:pPr>
      <w:rPr>
        <w:rFonts w:ascii="Arial" w:hAnsi="Arial" w:hint="default"/>
      </w:rPr>
    </w:lvl>
    <w:lvl w:ilvl="2" w:tplc="7F94D5E6" w:tentative="1">
      <w:start w:val="1"/>
      <w:numFmt w:val="bullet"/>
      <w:lvlText w:val="•"/>
      <w:lvlJc w:val="left"/>
      <w:pPr>
        <w:tabs>
          <w:tab w:val="num" w:pos="2160"/>
        </w:tabs>
        <w:ind w:left="2160" w:hanging="360"/>
      </w:pPr>
      <w:rPr>
        <w:rFonts w:ascii="Arial" w:hAnsi="Arial" w:hint="default"/>
      </w:rPr>
    </w:lvl>
    <w:lvl w:ilvl="3" w:tplc="5B0AFC6A" w:tentative="1">
      <w:start w:val="1"/>
      <w:numFmt w:val="bullet"/>
      <w:lvlText w:val="•"/>
      <w:lvlJc w:val="left"/>
      <w:pPr>
        <w:tabs>
          <w:tab w:val="num" w:pos="2880"/>
        </w:tabs>
        <w:ind w:left="2880" w:hanging="360"/>
      </w:pPr>
      <w:rPr>
        <w:rFonts w:ascii="Arial" w:hAnsi="Arial" w:hint="default"/>
      </w:rPr>
    </w:lvl>
    <w:lvl w:ilvl="4" w:tplc="38A450CC" w:tentative="1">
      <w:start w:val="1"/>
      <w:numFmt w:val="bullet"/>
      <w:lvlText w:val="•"/>
      <w:lvlJc w:val="left"/>
      <w:pPr>
        <w:tabs>
          <w:tab w:val="num" w:pos="3600"/>
        </w:tabs>
        <w:ind w:left="3600" w:hanging="360"/>
      </w:pPr>
      <w:rPr>
        <w:rFonts w:ascii="Arial" w:hAnsi="Arial" w:hint="default"/>
      </w:rPr>
    </w:lvl>
    <w:lvl w:ilvl="5" w:tplc="000C14CA" w:tentative="1">
      <w:start w:val="1"/>
      <w:numFmt w:val="bullet"/>
      <w:lvlText w:val="•"/>
      <w:lvlJc w:val="left"/>
      <w:pPr>
        <w:tabs>
          <w:tab w:val="num" w:pos="4320"/>
        </w:tabs>
        <w:ind w:left="4320" w:hanging="360"/>
      </w:pPr>
      <w:rPr>
        <w:rFonts w:ascii="Arial" w:hAnsi="Arial" w:hint="default"/>
      </w:rPr>
    </w:lvl>
    <w:lvl w:ilvl="6" w:tplc="0A50FB18" w:tentative="1">
      <w:start w:val="1"/>
      <w:numFmt w:val="bullet"/>
      <w:lvlText w:val="•"/>
      <w:lvlJc w:val="left"/>
      <w:pPr>
        <w:tabs>
          <w:tab w:val="num" w:pos="5040"/>
        </w:tabs>
        <w:ind w:left="5040" w:hanging="360"/>
      </w:pPr>
      <w:rPr>
        <w:rFonts w:ascii="Arial" w:hAnsi="Arial" w:hint="default"/>
      </w:rPr>
    </w:lvl>
    <w:lvl w:ilvl="7" w:tplc="78EEA6F6" w:tentative="1">
      <w:start w:val="1"/>
      <w:numFmt w:val="bullet"/>
      <w:lvlText w:val="•"/>
      <w:lvlJc w:val="left"/>
      <w:pPr>
        <w:tabs>
          <w:tab w:val="num" w:pos="5760"/>
        </w:tabs>
        <w:ind w:left="5760" w:hanging="360"/>
      </w:pPr>
      <w:rPr>
        <w:rFonts w:ascii="Arial" w:hAnsi="Arial" w:hint="default"/>
      </w:rPr>
    </w:lvl>
    <w:lvl w:ilvl="8" w:tplc="D8B06D8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22526445"/>
    <w:multiLevelType w:val="hybridMultilevel"/>
    <w:tmpl w:val="F3D83EEA"/>
    <w:lvl w:ilvl="0" w:tplc="E8326F22">
      <w:start w:val="1"/>
      <w:numFmt w:val="upperLetter"/>
      <w:lvlText w:val="(%1)"/>
      <w:lvlJc w:val="left"/>
      <w:pPr>
        <w:tabs>
          <w:tab w:val="num" w:pos="720"/>
        </w:tabs>
        <w:ind w:left="720" w:hanging="360"/>
      </w:pPr>
    </w:lvl>
    <w:lvl w:ilvl="1" w:tplc="DB389340" w:tentative="1">
      <w:start w:val="1"/>
      <w:numFmt w:val="upperLetter"/>
      <w:lvlText w:val="(%2)"/>
      <w:lvlJc w:val="left"/>
      <w:pPr>
        <w:tabs>
          <w:tab w:val="num" w:pos="1440"/>
        </w:tabs>
        <w:ind w:left="1440" w:hanging="360"/>
      </w:pPr>
    </w:lvl>
    <w:lvl w:ilvl="2" w:tplc="6BD68D4E" w:tentative="1">
      <w:start w:val="1"/>
      <w:numFmt w:val="upperLetter"/>
      <w:lvlText w:val="(%3)"/>
      <w:lvlJc w:val="left"/>
      <w:pPr>
        <w:tabs>
          <w:tab w:val="num" w:pos="2160"/>
        </w:tabs>
        <w:ind w:left="2160" w:hanging="360"/>
      </w:pPr>
    </w:lvl>
    <w:lvl w:ilvl="3" w:tplc="8256802E" w:tentative="1">
      <w:start w:val="1"/>
      <w:numFmt w:val="upperLetter"/>
      <w:lvlText w:val="(%4)"/>
      <w:lvlJc w:val="left"/>
      <w:pPr>
        <w:tabs>
          <w:tab w:val="num" w:pos="2880"/>
        </w:tabs>
        <w:ind w:left="2880" w:hanging="360"/>
      </w:pPr>
    </w:lvl>
    <w:lvl w:ilvl="4" w:tplc="E5F235E8" w:tentative="1">
      <w:start w:val="1"/>
      <w:numFmt w:val="upperLetter"/>
      <w:lvlText w:val="(%5)"/>
      <w:lvlJc w:val="left"/>
      <w:pPr>
        <w:tabs>
          <w:tab w:val="num" w:pos="3600"/>
        </w:tabs>
        <w:ind w:left="3600" w:hanging="360"/>
      </w:pPr>
    </w:lvl>
    <w:lvl w:ilvl="5" w:tplc="8F1CB070" w:tentative="1">
      <w:start w:val="1"/>
      <w:numFmt w:val="upperLetter"/>
      <w:lvlText w:val="(%6)"/>
      <w:lvlJc w:val="left"/>
      <w:pPr>
        <w:tabs>
          <w:tab w:val="num" w:pos="4320"/>
        </w:tabs>
        <w:ind w:left="4320" w:hanging="360"/>
      </w:pPr>
    </w:lvl>
    <w:lvl w:ilvl="6" w:tplc="4B3E12B6" w:tentative="1">
      <w:start w:val="1"/>
      <w:numFmt w:val="upperLetter"/>
      <w:lvlText w:val="(%7)"/>
      <w:lvlJc w:val="left"/>
      <w:pPr>
        <w:tabs>
          <w:tab w:val="num" w:pos="5040"/>
        </w:tabs>
        <w:ind w:left="5040" w:hanging="360"/>
      </w:pPr>
    </w:lvl>
    <w:lvl w:ilvl="7" w:tplc="57EED6D0" w:tentative="1">
      <w:start w:val="1"/>
      <w:numFmt w:val="upperLetter"/>
      <w:lvlText w:val="(%8)"/>
      <w:lvlJc w:val="left"/>
      <w:pPr>
        <w:tabs>
          <w:tab w:val="num" w:pos="5760"/>
        </w:tabs>
        <w:ind w:left="5760" w:hanging="360"/>
      </w:pPr>
    </w:lvl>
    <w:lvl w:ilvl="8" w:tplc="62CC906A" w:tentative="1">
      <w:start w:val="1"/>
      <w:numFmt w:val="upperLetter"/>
      <w:lvlText w:val="(%9)"/>
      <w:lvlJc w:val="left"/>
      <w:pPr>
        <w:tabs>
          <w:tab w:val="num" w:pos="6480"/>
        </w:tabs>
        <w:ind w:left="6480" w:hanging="360"/>
      </w:pPr>
    </w:lvl>
  </w:abstractNum>
  <w:abstractNum w:abstractNumId="3" w15:restartNumberingAfterBreak="0">
    <w:nsid w:val="2E070CC6"/>
    <w:multiLevelType w:val="hybridMultilevel"/>
    <w:tmpl w:val="50C03F88"/>
    <w:lvl w:ilvl="0" w:tplc="BBC4E8DA">
      <w:start w:val="1"/>
      <w:numFmt w:val="upperLetter"/>
      <w:lvlText w:val="(%1)"/>
      <w:lvlJc w:val="left"/>
      <w:pPr>
        <w:tabs>
          <w:tab w:val="num" w:pos="720"/>
        </w:tabs>
        <w:ind w:left="720" w:hanging="360"/>
      </w:pPr>
    </w:lvl>
    <w:lvl w:ilvl="1" w:tplc="B824D05E" w:tentative="1">
      <w:start w:val="1"/>
      <w:numFmt w:val="upperLetter"/>
      <w:lvlText w:val="(%2)"/>
      <w:lvlJc w:val="left"/>
      <w:pPr>
        <w:tabs>
          <w:tab w:val="num" w:pos="1440"/>
        </w:tabs>
        <w:ind w:left="1440" w:hanging="360"/>
      </w:pPr>
    </w:lvl>
    <w:lvl w:ilvl="2" w:tplc="22B6F17E" w:tentative="1">
      <w:start w:val="1"/>
      <w:numFmt w:val="upperLetter"/>
      <w:lvlText w:val="(%3)"/>
      <w:lvlJc w:val="left"/>
      <w:pPr>
        <w:tabs>
          <w:tab w:val="num" w:pos="2160"/>
        </w:tabs>
        <w:ind w:left="2160" w:hanging="360"/>
      </w:pPr>
    </w:lvl>
    <w:lvl w:ilvl="3" w:tplc="34866314" w:tentative="1">
      <w:start w:val="1"/>
      <w:numFmt w:val="upperLetter"/>
      <w:lvlText w:val="(%4)"/>
      <w:lvlJc w:val="left"/>
      <w:pPr>
        <w:tabs>
          <w:tab w:val="num" w:pos="2880"/>
        </w:tabs>
        <w:ind w:left="2880" w:hanging="360"/>
      </w:pPr>
    </w:lvl>
    <w:lvl w:ilvl="4" w:tplc="7422A70E" w:tentative="1">
      <w:start w:val="1"/>
      <w:numFmt w:val="upperLetter"/>
      <w:lvlText w:val="(%5)"/>
      <w:lvlJc w:val="left"/>
      <w:pPr>
        <w:tabs>
          <w:tab w:val="num" w:pos="3600"/>
        </w:tabs>
        <w:ind w:left="3600" w:hanging="360"/>
      </w:pPr>
    </w:lvl>
    <w:lvl w:ilvl="5" w:tplc="71FA09D4" w:tentative="1">
      <w:start w:val="1"/>
      <w:numFmt w:val="upperLetter"/>
      <w:lvlText w:val="(%6)"/>
      <w:lvlJc w:val="left"/>
      <w:pPr>
        <w:tabs>
          <w:tab w:val="num" w:pos="4320"/>
        </w:tabs>
        <w:ind w:left="4320" w:hanging="360"/>
      </w:pPr>
    </w:lvl>
    <w:lvl w:ilvl="6" w:tplc="8D243F94" w:tentative="1">
      <w:start w:val="1"/>
      <w:numFmt w:val="upperLetter"/>
      <w:lvlText w:val="(%7)"/>
      <w:lvlJc w:val="left"/>
      <w:pPr>
        <w:tabs>
          <w:tab w:val="num" w:pos="5040"/>
        </w:tabs>
        <w:ind w:left="5040" w:hanging="360"/>
      </w:pPr>
    </w:lvl>
    <w:lvl w:ilvl="7" w:tplc="A588D35A" w:tentative="1">
      <w:start w:val="1"/>
      <w:numFmt w:val="upperLetter"/>
      <w:lvlText w:val="(%8)"/>
      <w:lvlJc w:val="left"/>
      <w:pPr>
        <w:tabs>
          <w:tab w:val="num" w:pos="5760"/>
        </w:tabs>
        <w:ind w:left="5760" w:hanging="360"/>
      </w:pPr>
    </w:lvl>
    <w:lvl w:ilvl="8" w:tplc="C6A434AA" w:tentative="1">
      <w:start w:val="1"/>
      <w:numFmt w:val="upperLetter"/>
      <w:lvlText w:val="(%9)"/>
      <w:lvlJc w:val="left"/>
      <w:pPr>
        <w:tabs>
          <w:tab w:val="num" w:pos="6480"/>
        </w:tabs>
        <w:ind w:left="6480" w:hanging="360"/>
      </w:pPr>
    </w:lvl>
  </w:abstractNum>
  <w:abstractNum w:abstractNumId="4" w15:restartNumberingAfterBreak="0">
    <w:nsid w:val="308B75B1"/>
    <w:multiLevelType w:val="hybridMultilevel"/>
    <w:tmpl w:val="C62AD1C8"/>
    <w:lvl w:ilvl="0" w:tplc="48090001">
      <w:start w:val="1"/>
      <w:numFmt w:val="bullet"/>
      <w:lvlText w:val=""/>
      <w:lvlJc w:val="left"/>
      <w:pPr>
        <w:ind w:left="360" w:hanging="360"/>
      </w:pPr>
      <w:rPr>
        <w:rFonts w:ascii="Symbol" w:hAnsi="Symbol" w:hint="default"/>
      </w:rPr>
    </w:lvl>
    <w:lvl w:ilvl="1" w:tplc="48090003" w:tentative="1">
      <w:start w:val="1"/>
      <w:numFmt w:val="bullet"/>
      <w:lvlText w:val="o"/>
      <w:lvlJc w:val="left"/>
      <w:pPr>
        <w:ind w:left="1080" w:hanging="360"/>
      </w:pPr>
      <w:rPr>
        <w:rFonts w:ascii="Courier New" w:hAnsi="Courier New" w:cs="Courier New" w:hint="default"/>
      </w:rPr>
    </w:lvl>
    <w:lvl w:ilvl="2" w:tplc="48090005" w:tentative="1">
      <w:start w:val="1"/>
      <w:numFmt w:val="bullet"/>
      <w:lvlText w:val=""/>
      <w:lvlJc w:val="left"/>
      <w:pPr>
        <w:ind w:left="1800" w:hanging="360"/>
      </w:pPr>
      <w:rPr>
        <w:rFonts w:ascii="Wingdings" w:hAnsi="Wingdings" w:hint="default"/>
      </w:rPr>
    </w:lvl>
    <w:lvl w:ilvl="3" w:tplc="48090001" w:tentative="1">
      <w:start w:val="1"/>
      <w:numFmt w:val="bullet"/>
      <w:lvlText w:val=""/>
      <w:lvlJc w:val="left"/>
      <w:pPr>
        <w:ind w:left="2520" w:hanging="360"/>
      </w:pPr>
      <w:rPr>
        <w:rFonts w:ascii="Symbol" w:hAnsi="Symbol" w:hint="default"/>
      </w:rPr>
    </w:lvl>
    <w:lvl w:ilvl="4" w:tplc="48090003" w:tentative="1">
      <w:start w:val="1"/>
      <w:numFmt w:val="bullet"/>
      <w:lvlText w:val="o"/>
      <w:lvlJc w:val="left"/>
      <w:pPr>
        <w:ind w:left="3240" w:hanging="360"/>
      </w:pPr>
      <w:rPr>
        <w:rFonts w:ascii="Courier New" w:hAnsi="Courier New" w:cs="Courier New" w:hint="default"/>
      </w:rPr>
    </w:lvl>
    <w:lvl w:ilvl="5" w:tplc="48090005" w:tentative="1">
      <w:start w:val="1"/>
      <w:numFmt w:val="bullet"/>
      <w:lvlText w:val=""/>
      <w:lvlJc w:val="left"/>
      <w:pPr>
        <w:ind w:left="3960" w:hanging="360"/>
      </w:pPr>
      <w:rPr>
        <w:rFonts w:ascii="Wingdings" w:hAnsi="Wingdings" w:hint="default"/>
      </w:rPr>
    </w:lvl>
    <w:lvl w:ilvl="6" w:tplc="48090001" w:tentative="1">
      <w:start w:val="1"/>
      <w:numFmt w:val="bullet"/>
      <w:lvlText w:val=""/>
      <w:lvlJc w:val="left"/>
      <w:pPr>
        <w:ind w:left="4680" w:hanging="360"/>
      </w:pPr>
      <w:rPr>
        <w:rFonts w:ascii="Symbol" w:hAnsi="Symbol" w:hint="default"/>
      </w:rPr>
    </w:lvl>
    <w:lvl w:ilvl="7" w:tplc="48090003" w:tentative="1">
      <w:start w:val="1"/>
      <w:numFmt w:val="bullet"/>
      <w:lvlText w:val="o"/>
      <w:lvlJc w:val="left"/>
      <w:pPr>
        <w:ind w:left="5400" w:hanging="360"/>
      </w:pPr>
      <w:rPr>
        <w:rFonts w:ascii="Courier New" w:hAnsi="Courier New" w:cs="Courier New" w:hint="default"/>
      </w:rPr>
    </w:lvl>
    <w:lvl w:ilvl="8" w:tplc="48090005" w:tentative="1">
      <w:start w:val="1"/>
      <w:numFmt w:val="bullet"/>
      <w:lvlText w:val=""/>
      <w:lvlJc w:val="left"/>
      <w:pPr>
        <w:ind w:left="6120" w:hanging="360"/>
      </w:pPr>
      <w:rPr>
        <w:rFonts w:ascii="Wingdings" w:hAnsi="Wingdings" w:hint="default"/>
      </w:rPr>
    </w:lvl>
  </w:abstractNum>
  <w:abstractNum w:abstractNumId="5" w15:restartNumberingAfterBreak="0">
    <w:nsid w:val="36465EFF"/>
    <w:multiLevelType w:val="multilevel"/>
    <w:tmpl w:val="D2A0C0C8"/>
    <w:lvl w:ilvl="0">
      <w:start w:val="1"/>
      <w:numFmt w:val="decimal"/>
      <w:lvlText w:val="%1.0"/>
      <w:lvlJc w:val="left"/>
      <w:pPr>
        <w:ind w:left="360" w:hanging="360"/>
      </w:pPr>
      <w:rPr>
        <w:rFonts w:hint="default"/>
        <w:sz w:val="20"/>
        <w:szCs w:val="20"/>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42132526"/>
    <w:multiLevelType w:val="hybridMultilevel"/>
    <w:tmpl w:val="B6EACC12"/>
    <w:lvl w:ilvl="0" w:tplc="61044770">
      <w:start w:val="1"/>
      <w:numFmt w:val="upperLetter"/>
      <w:lvlText w:val="(%1)"/>
      <w:lvlJc w:val="left"/>
      <w:pPr>
        <w:tabs>
          <w:tab w:val="num" w:pos="720"/>
        </w:tabs>
        <w:ind w:left="720" w:hanging="360"/>
      </w:pPr>
    </w:lvl>
    <w:lvl w:ilvl="1" w:tplc="E62477AE" w:tentative="1">
      <w:start w:val="1"/>
      <w:numFmt w:val="upperLetter"/>
      <w:lvlText w:val="(%2)"/>
      <w:lvlJc w:val="left"/>
      <w:pPr>
        <w:tabs>
          <w:tab w:val="num" w:pos="1440"/>
        </w:tabs>
        <w:ind w:left="1440" w:hanging="360"/>
      </w:pPr>
    </w:lvl>
    <w:lvl w:ilvl="2" w:tplc="E1202642" w:tentative="1">
      <w:start w:val="1"/>
      <w:numFmt w:val="upperLetter"/>
      <w:lvlText w:val="(%3)"/>
      <w:lvlJc w:val="left"/>
      <w:pPr>
        <w:tabs>
          <w:tab w:val="num" w:pos="2160"/>
        </w:tabs>
        <w:ind w:left="2160" w:hanging="360"/>
      </w:pPr>
    </w:lvl>
    <w:lvl w:ilvl="3" w:tplc="31AE71D0" w:tentative="1">
      <w:start w:val="1"/>
      <w:numFmt w:val="upperLetter"/>
      <w:lvlText w:val="(%4)"/>
      <w:lvlJc w:val="left"/>
      <w:pPr>
        <w:tabs>
          <w:tab w:val="num" w:pos="2880"/>
        </w:tabs>
        <w:ind w:left="2880" w:hanging="360"/>
      </w:pPr>
    </w:lvl>
    <w:lvl w:ilvl="4" w:tplc="B7BE62A4" w:tentative="1">
      <w:start w:val="1"/>
      <w:numFmt w:val="upperLetter"/>
      <w:lvlText w:val="(%5)"/>
      <w:lvlJc w:val="left"/>
      <w:pPr>
        <w:tabs>
          <w:tab w:val="num" w:pos="3600"/>
        </w:tabs>
        <w:ind w:left="3600" w:hanging="360"/>
      </w:pPr>
    </w:lvl>
    <w:lvl w:ilvl="5" w:tplc="BA76D1E8" w:tentative="1">
      <w:start w:val="1"/>
      <w:numFmt w:val="upperLetter"/>
      <w:lvlText w:val="(%6)"/>
      <w:lvlJc w:val="left"/>
      <w:pPr>
        <w:tabs>
          <w:tab w:val="num" w:pos="4320"/>
        </w:tabs>
        <w:ind w:left="4320" w:hanging="360"/>
      </w:pPr>
    </w:lvl>
    <w:lvl w:ilvl="6" w:tplc="6AA6F46A" w:tentative="1">
      <w:start w:val="1"/>
      <w:numFmt w:val="upperLetter"/>
      <w:lvlText w:val="(%7)"/>
      <w:lvlJc w:val="left"/>
      <w:pPr>
        <w:tabs>
          <w:tab w:val="num" w:pos="5040"/>
        </w:tabs>
        <w:ind w:left="5040" w:hanging="360"/>
      </w:pPr>
    </w:lvl>
    <w:lvl w:ilvl="7" w:tplc="38DE044A" w:tentative="1">
      <w:start w:val="1"/>
      <w:numFmt w:val="upperLetter"/>
      <w:lvlText w:val="(%8)"/>
      <w:lvlJc w:val="left"/>
      <w:pPr>
        <w:tabs>
          <w:tab w:val="num" w:pos="5760"/>
        </w:tabs>
        <w:ind w:left="5760" w:hanging="360"/>
      </w:pPr>
    </w:lvl>
    <w:lvl w:ilvl="8" w:tplc="EAA69628" w:tentative="1">
      <w:start w:val="1"/>
      <w:numFmt w:val="upperLetter"/>
      <w:lvlText w:val="(%9)"/>
      <w:lvlJc w:val="left"/>
      <w:pPr>
        <w:tabs>
          <w:tab w:val="num" w:pos="6480"/>
        </w:tabs>
        <w:ind w:left="6480" w:hanging="360"/>
      </w:pPr>
    </w:lvl>
  </w:abstractNum>
  <w:abstractNum w:abstractNumId="7" w15:restartNumberingAfterBreak="0">
    <w:nsid w:val="4E3101F1"/>
    <w:multiLevelType w:val="hybridMultilevel"/>
    <w:tmpl w:val="5260A11E"/>
    <w:lvl w:ilvl="0" w:tplc="8E027DCC">
      <w:start w:val="1"/>
      <w:numFmt w:val="upperLetter"/>
      <w:lvlText w:val="(%1)"/>
      <w:lvlJc w:val="left"/>
      <w:pPr>
        <w:tabs>
          <w:tab w:val="num" w:pos="720"/>
        </w:tabs>
        <w:ind w:left="720" w:hanging="360"/>
      </w:pPr>
    </w:lvl>
    <w:lvl w:ilvl="1" w:tplc="6E2CF256" w:tentative="1">
      <w:start w:val="1"/>
      <w:numFmt w:val="upperLetter"/>
      <w:lvlText w:val="(%2)"/>
      <w:lvlJc w:val="left"/>
      <w:pPr>
        <w:tabs>
          <w:tab w:val="num" w:pos="1440"/>
        </w:tabs>
        <w:ind w:left="1440" w:hanging="360"/>
      </w:pPr>
    </w:lvl>
    <w:lvl w:ilvl="2" w:tplc="93A24B7E" w:tentative="1">
      <w:start w:val="1"/>
      <w:numFmt w:val="upperLetter"/>
      <w:lvlText w:val="(%3)"/>
      <w:lvlJc w:val="left"/>
      <w:pPr>
        <w:tabs>
          <w:tab w:val="num" w:pos="2160"/>
        </w:tabs>
        <w:ind w:left="2160" w:hanging="360"/>
      </w:pPr>
    </w:lvl>
    <w:lvl w:ilvl="3" w:tplc="9A1CA5CA" w:tentative="1">
      <w:start w:val="1"/>
      <w:numFmt w:val="upperLetter"/>
      <w:lvlText w:val="(%4)"/>
      <w:lvlJc w:val="left"/>
      <w:pPr>
        <w:tabs>
          <w:tab w:val="num" w:pos="2880"/>
        </w:tabs>
        <w:ind w:left="2880" w:hanging="360"/>
      </w:pPr>
    </w:lvl>
    <w:lvl w:ilvl="4" w:tplc="C2A84CA4" w:tentative="1">
      <w:start w:val="1"/>
      <w:numFmt w:val="upperLetter"/>
      <w:lvlText w:val="(%5)"/>
      <w:lvlJc w:val="left"/>
      <w:pPr>
        <w:tabs>
          <w:tab w:val="num" w:pos="3600"/>
        </w:tabs>
        <w:ind w:left="3600" w:hanging="360"/>
      </w:pPr>
    </w:lvl>
    <w:lvl w:ilvl="5" w:tplc="C5A60CE2" w:tentative="1">
      <w:start w:val="1"/>
      <w:numFmt w:val="upperLetter"/>
      <w:lvlText w:val="(%6)"/>
      <w:lvlJc w:val="left"/>
      <w:pPr>
        <w:tabs>
          <w:tab w:val="num" w:pos="4320"/>
        </w:tabs>
        <w:ind w:left="4320" w:hanging="360"/>
      </w:pPr>
    </w:lvl>
    <w:lvl w:ilvl="6" w:tplc="AFC47378" w:tentative="1">
      <w:start w:val="1"/>
      <w:numFmt w:val="upperLetter"/>
      <w:lvlText w:val="(%7)"/>
      <w:lvlJc w:val="left"/>
      <w:pPr>
        <w:tabs>
          <w:tab w:val="num" w:pos="5040"/>
        </w:tabs>
        <w:ind w:left="5040" w:hanging="360"/>
      </w:pPr>
    </w:lvl>
    <w:lvl w:ilvl="7" w:tplc="26A84674" w:tentative="1">
      <w:start w:val="1"/>
      <w:numFmt w:val="upperLetter"/>
      <w:lvlText w:val="(%8)"/>
      <w:lvlJc w:val="left"/>
      <w:pPr>
        <w:tabs>
          <w:tab w:val="num" w:pos="5760"/>
        </w:tabs>
        <w:ind w:left="5760" w:hanging="360"/>
      </w:pPr>
    </w:lvl>
    <w:lvl w:ilvl="8" w:tplc="646E2CA2" w:tentative="1">
      <w:start w:val="1"/>
      <w:numFmt w:val="upperLetter"/>
      <w:lvlText w:val="(%9)"/>
      <w:lvlJc w:val="left"/>
      <w:pPr>
        <w:tabs>
          <w:tab w:val="num" w:pos="6480"/>
        </w:tabs>
        <w:ind w:left="6480" w:hanging="360"/>
      </w:pPr>
    </w:lvl>
  </w:abstractNum>
  <w:abstractNum w:abstractNumId="8" w15:restartNumberingAfterBreak="0">
    <w:nsid w:val="5A007023"/>
    <w:multiLevelType w:val="multilevel"/>
    <w:tmpl w:val="58ECE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B7F61A5"/>
    <w:multiLevelType w:val="hybridMultilevel"/>
    <w:tmpl w:val="695AF92E"/>
    <w:lvl w:ilvl="0" w:tplc="1F9CFC4C">
      <w:start w:val="1"/>
      <w:numFmt w:val="upperLetter"/>
      <w:lvlText w:val="(%1)"/>
      <w:lvlJc w:val="left"/>
      <w:pPr>
        <w:tabs>
          <w:tab w:val="num" w:pos="720"/>
        </w:tabs>
        <w:ind w:left="720" w:hanging="360"/>
      </w:pPr>
    </w:lvl>
    <w:lvl w:ilvl="1" w:tplc="759AFC52" w:tentative="1">
      <w:start w:val="1"/>
      <w:numFmt w:val="upperLetter"/>
      <w:lvlText w:val="(%2)"/>
      <w:lvlJc w:val="left"/>
      <w:pPr>
        <w:tabs>
          <w:tab w:val="num" w:pos="1440"/>
        </w:tabs>
        <w:ind w:left="1440" w:hanging="360"/>
      </w:pPr>
    </w:lvl>
    <w:lvl w:ilvl="2" w:tplc="606A60DC" w:tentative="1">
      <w:start w:val="1"/>
      <w:numFmt w:val="upperLetter"/>
      <w:lvlText w:val="(%3)"/>
      <w:lvlJc w:val="left"/>
      <w:pPr>
        <w:tabs>
          <w:tab w:val="num" w:pos="2160"/>
        </w:tabs>
        <w:ind w:left="2160" w:hanging="360"/>
      </w:pPr>
    </w:lvl>
    <w:lvl w:ilvl="3" w:tplc="4F3ABDCE" w:tentative="1">
      <w:start w:val="1"/>
      <w:numFmt w:val="upperLetter"/>
      <w:lvlText w:val="(%4)"/>
      <w:lvlJc w:val="left"/>
      <w:pPr>
        <w:tabs>
          <w:tab w:val="num" w:pos="2880"/>
        </w:tabs>
        <w:ind w:left="2880" w:hanging="360"/>
      </w:pPr>
    </w:lvl>
    <w:lvl w:ilvl="4" w:tplc="201419AE" w:tentative="1">
      <w:start w:val="1"/>
      <w:numFmt w:val="upperLetter"/>
      <w:lvlText w:val="(%5)"/>
      <w:lvlJc w:val="left"/>
      <w:pPr>
        <w:tabs>
          <w:tab w:val="num" w:pos="3600"/>
        </w:tabs>
        <w:ind w:left="3600" w:hanging="360"/>
      </w:pPr>
    </w:lvl>
    <w:lvl w:ilvl="5" w:tplc="8482FD96" w:tentative="1">
      <w:start w:val="1"/>
      <w:numFmt w:val="upperLetter"/>
      <w:lvlText w:val="(%6)"/>
      <w:lvlJc w:val="left"/>
      <w:pPr>
        <w:tabs>
          <w:tab w:val="num" w:pos="4320"/>
        </w:tabs>
        <w:ind w:left="4320" w:hanging="360"/>
      </w:pPr>
    </w:lvl>
    <w:lvl w:ilvl="6" w:tplc="02061EBE" w:tentative="1">
      <w:start w:val="1"/>
      <w:numFmt w:val="upperLetter"/>
      <w:lvlText w:val="(%7)"/>
      <w:lvlJc w:val="left"/>
      <w:pPr>
        <w:tabs>
          <w:tab w:val="num" w:pos="5040"/>
        </w:tabs>
        <w:ind w:left="5040" w:hanging="360"/>
      </w:pPr>
    </w:lvl>
    <w:lvl w:ilvl="7" w:tplc="B9D23DFA" w:tentative="1">
      <w:start w:val="1"/>
      <w:numFmt w:val="upperLetter"/>
      <w:lvlText w:val="(%8)"/>
      <w:lvlJc w:val="left"/>
      <w:pPr>
        <w:tabs>
          <w:tab w:val="num" w:pos="5760"/>
        </w:tabs>
        <w:ind w:left="5760" w:hanging="360"/>
      </w:pPr>
    </w:lvl>
    <w:lvl w:ilvl="8" w:tplc="E8B62ACA" w:tentative="1">
      <w:start w:val="1"/>
      <w:numFmt w:val="upperLetter"/>
      <w:lvlText w:val="(%9)"/>
      <w:lvlJc w:val="left"/>
      <w:pPr>
        <w:tabs>
          <w:tab w:val="num" w:pos="6480"/>
        </w:tabs>
        <w:ind w:left="6480" w:hanging="360"/>
      </w:pPr>
    </w:lvl>
  </w:abstractNum>
  <w:abstractNum w:abstractNumId="10" w15:restartNumberingAfterBreak="0">
    <w:nsid w:val="5C881D75"/>
    <w:multiLevelType w:val="hybridMultilevel"/>
    <w:tmpl w:val="701A11D4"/>
    <w:lvl w:ilvl="0" w:tplc="5C189BD6">
      <w:start w:val="1"/>
      <w:numFmt w:val="upperLetter"/>
      <w:lvlText w:val="(%1)"/>
      <w:lvlJc w:val="left"/>
      <w:pPr>
        <w:tabs>
          <w:tab w:val="num" w:pos="720"/>
        </w:tabs>
        <w:ind w:left="720" w:hanging="360"/>
      </w:pPr>
    </w:lvl>
    <w:lvl w:ilvl="1" w:tplc="00FC1B6E" w:tentative="1">
      <w:start w:val="1"/>
      <w:numFmt w:val="upperLetter"/>
      <w:lvlText w:val="(%2)"/>
      <w:lvlJc w:val="left"/>
      <w:pPr>
        <w:tabs>
          <w:tab w:val="num" w:pos="1440"/>
        </w:tabs>
        <w:ind w:left="1440" w:hanging="360"/>
      </w:pPr>
    </w:lvl>
    <w:lvl w:ilvl="2" w:tplc="92BE237A" w:tentative="1">
      <w:start w:val="1"/>
      <w:numFmt w:val="upperLetter"/>
      <w:lvlText w:val="(%3)"/>
      <w:lvlJc w:val="left"/>
      <w:pPr>
        <w:tabs>
          <w:tab w:val="num" w:pos="2160"/>
        </w:tabs>
        <w:ind w:left="2160" w:hanging="360"/>
      </w:pPr>
    </w:lvl>
    <w:lvl w:ilvl="3" w:tplc="75B4E0D0" w:tentative="1">
      <w:start w:val="1"/>
      <w:numFmt w:val="upperLetter"/>
      <w:lvlText w:val="(%4)"/>
      <w:lvlJc w:val="left"/>
      <w:pPr>
        <w:tabs>
          <w:tab w:val="num" w:pos="2880"/>
        </w:tabs>
        <w:ind w:left="2880" w:hanging="360"/>
      </w:pPr>
    </w:lvl>
    <w:lvl w:ilvl="4" w:tplc="07942918" w:tentative="1">
      <w:start w:val="1"/>
      <w:numFmt w:val="upperLetter"/>
      <w:lvlText w:val="(%5)"/>
      <w:lvlJc w:val="left"/>
      <w:pPr>
        <w:tabs>
          <w:tab w:val="num" w:pos="3600"/>
        </w:tabs>
        <w:ind w:left="3600" w:hanging="360"/>
      </w:pPr>
    </w:lvl>
    <w:lvl w:ilvl="5" w:tplc="00449100" w:tentative="1">
      <w:start w:val="1"/>
      <w:numFmt w:val="upperLetter"/>
      <w:lvlText w:val="(%6)"/>
      <w:lvlJc w:val="left"/>
      <w:pPr>
        <w:tabs>
          <w:tab w:val="num" w:pos="4320"/>
        </w:tabs>
        <w:ind w:left="4320" w:hanging="360"/>
      </w:pPr>
    </w:lvl>
    <w:lvl w:ilvl="6" w:tplc="2A066B12" w:tentative="1">
      <w:start w:val="1"/>
      <w:numFmt w:val="upperLetter"/>
      <w:lvlText w:val="(%7)"/>
      <w:lvlJc w:val="left"/>
      <w:pPr>
        <w:tabs>
          <w:tab w:val="num" w:pos="5040"/>
        </w:tabs>
        <w:ind w:left="5040" w:hanging="360"/>
      </w:pPr>
    </w:lvl>
    <w:lvl w:ilvl="7" w:tplc="FB1A9752" w:tentative="1">
      <w:start w:val="1"/>
      <w:numFmt w:val="upperLetter"/>
      <w:lvlText w:val="(%8)"/>
      <w:lvlJc w:val="left"/>
      <w:pPr>
        <w:tabs>
          <w:tab w:val="num" w:pos="5760"/>
        </w:tabs>
        <w:ind w:left="5760" w:hanging="360"/>
      </w:pPr>
    </w:lvl>
    <w:lvl w:ilvl="8" w:tplc="C4B879B8" w:tentative="1">
      <w:start w:val="1"/>
      <w:numFmt w:val="upperLetter"/>
      <w:lvlText w:val="(%9)"/>
      <w:lvlJc w:val="left"/>
      <w:pPr>
        <w:tabs>
          <w:tab w:val="num" w:pos="6480"/>
        </w:tabs>
        <w:ind w:left="6480" w:hanging="360"/>
      </w:pPr>
    </w:lvl>
  </w:abstractNum>
  <w:abstractNum w:abstractNumId="11" w15:restartNumberingAfterBreak="0">
    <w:nsid w:val="66190A57"/>
    <w:multiLevelType w:val="hybridMultilevel"/>
    <w:tmpl w:val="DF020144"/>
    <w:lvl w:ilvl="0" w:tplc="F210D076">
      <w:start w:val="1"/>
      <w:numFmt w:val="upperLetter"/>
      <w:lvlText w:val="(%1)"/>
      <w:lvlJc w:val="left"/>
      <w:pPr>
        <w:tabs>
          <w:tab w:val="num" w:pos="720"/>
        </w:tabs>
        <w:ind w:left="720" w:hanging="360"/>
      </w:pPr>
    </w:lvl>
    <w:lvl w:ilvl="1" w:tplc="DA0A5F8E" w:tentative="1">
      <w:start w:val="1"/>
      <w:numFmt w:val="upperLetter"/>
      <w:lvlText w:val="(%2)"/>
      <w:lvlJc w:val="left"/>
      <w:pPr>
        <w:tabs>
          <w:tab w:val="num" w:pos="1440"/>
        </w:tabs>
        <w:ind w:left="1440" w:hanging="360"/>
      </w:pPr>
    </w:lvl>
    <w:lvl w:ilvl="2" w:tplc="5DF879BA" w:tentative="1">
      <w:start w:val="1"/>
      <w:numFmt w:val="upperLetter"/>
      <w:lvlText w:val="(%3)"/>
      <w:lvlJc w:val="left"/>
      <w:pPr>
        <w:tabs>
          <w:tab w:val="num" w:pos="2160"/>
        </w:tabs>
        <w:ind w:left="2160" w:hanging="360"/>
      </w:pPr>
    </w:lvl>
    <w:lvl w:ilvl="3" w:tplc="77627F42" w:tentative="1">
      <w:start w:val="1"/>
      <w:numFmt w:val="upperLetter"/>
      <w:lvlText w:val="(%4)"/>
      <w:lvlJc w:val="left"/>
      <w:pPr>
        <w:tabs>
          <w:tab w:val="num" w:pos="2880"/>
        </w:tabs>
        <w:ind w:left="2880" w:hanging="360"/>
      </w:pPr>
    </w:lvl>
    <w:lvl w:ilvl="4" w:tplc="8AA0C6FC" w:tentative="1">
      <w:start w:val="1"/>
      <w:numFmt w:val="upperLetter"/>
      <w:lvlText w:val="(%5)"/>
      <w:lvlJc w:val="left"/>
      <w:pPr>
        <w:tabs>
          <w:tab w:val="num" w:pos="3600"/>
        </w:tabs>
        <w:ind w:left="3600" w:hanging="360"/>
      </w:pPr>
    </w:lvl>
    <w:lvl w:ilvl="5" w:tplc="4810EF8E" w:tentative="1">
      <w:start w:val="1"/>
      <w:numFmt w:val="upperLetter"/>
      <w:lvlText w:val="(%6)"/>
      <w:lvlJc w:val="left"/>
      <w:pPr>
        <w:tabs>
          <w:tab w:val="num" w:pos="4320"/>
        </w:tabs>
        <w:ind w:left="4320" w:hanging="360"/>
      </w:pPr>
    </w:lvl>
    <w:lvl w:ilvl="6" w:tplc="BA004B32" w:tentative="1">
      <w:start w:val="1"/>
      <w:numFmt w:val="upperLetter"/>
      <w:lvlText w:val="(%7)"/>
      <w:lvlJc w:val="left"/>
      <w:pPr>
        <w:tabs>
          <w:tab w:val="num" w:pos="5040"/>
        </w:tabs>
        <w:ind w:left="5040" w:hanging="360"/>
      </w:pPr>
    </w:lvl>
    <w:lvl w:ilvl="7" w:tplc="52F27E3E" w:tentative="1">
      <w:start w:val="1"/>
      <w:numFmt w:val="upperLetter"/>
      <w:lvlText w:val="(%8)"/>
      <w:lvlJc w:val="left"/>
      <w:pPr>
        <w:tabs>
          <w:tab w:val="num" w:pos="5760"/>
        </w:tabs>
        <w:ind w:left="5760" w:hanging="360"/>
      </w:pPr>
    </w:lvl>
    <w:lvl w:ilvl="8" w:tplc="9FDE8B66" w:tentative="1">
      <w:start w:val="1"/>
      <w:numFmt w:val="upperLetter"/>
      <w:lvlText w:val="(%9)"/>
      <w:lvlJc w:val="left"/>
      <w:pPr>
        <w:tabs>
          <w:tab w:val="num" w:pos="6480"/>
        </w:tabs>
        <w:ind w:left="6480" w:hanging="360"/>
      </w:pPr>
    </w:lvl>
  </w:abstractNum>
  <w:abstractNum w:abstractNumId="12" w15:restartNumberingAfterBreak="0">
    <w:nsid w:val="67E32AB6"/>
    <w:multiLevelType w:val="hybridMultilevel"/>
    <w:tmpl w:val="7EBC53CC"/>
    <w:lvl w:ilvl="0" w:tplc="48090001">
      <w:start w:val="1"/>
      <w:numFmt w:val="bullet"/>
      <w:lvlText w:val=""/>
      <w:lvlJc w:val="left"/>
      <w:pPr>
        <w:ind w:left="-180" w:hanging="360"/>
      </w:pPr>
      <w:rPr>
        <w:rFonts w:ascii="Symbol" w:hAnsi="Symbol" w:hint="default"/>
      </w:rPr>
    </w:lvl>
    <w:lvl w:ilvl="1" w:tplc="48090003" w:tentative="1">
      <w:start w:val="1"/>
      <w:numFmt w:val="bullet"/>
      <w:lvlText w:val="o"/>
      <w:lvlJc w:val="left"/>
      <w:pPr>
        <w:ind w:left="540" w:hanging="360"/>
      </w:pPr>
      <w:rPr>
        <w:rFonts w:ascii="Courier New" w:hAnsi="Courier New" w:cs="Courier New" w:hint="default"/>
      </w:rPr>
    </w:lvl>
    <w:lvl w:ilvl="2" w:tplc="48090005" w:tentative="1">
      <w:start w:val="1"/>
      <w:numFmt w:val="bullet"/>
      <w:lvlText w:val=""/>
      <w:lvlJc w:val="left"/>
      <w:pPr>
        <w:ind w:left="1260" w:hanging="360"/>
      </w:pPr>
      <w:rPr>
        <w:rFonts w:ascii="Wingdings" w:hAnsi="Wingdings" w:hint="default"/>
      </w:rPr>
    </w:lvl>
    <w:lvl w:ilvl="3" w:tplc="48090001" w:tentative="1">
      <w:start w:val="1"/>
      <w:numFmt w:val="bullet"/>
      <w:lvlText w:val=""/>
      <w:lvlJc w:val="left"/>
      <w:pPr>
        <w:ind w:left="1980" w:hanging="360"/>
      </w:pPr>
      <w:rPr>
        <w:rFonts w:ascii="Symbol" w:hAnsi="Symbol" w:hint="default"/>
      </w:rPr>
    </w:lvl>
    <w:lvl w:ilvl="4" w:tplc="48090003" w:tentative="1">
      <w:start w:val="1"/>
      <w:numFmt w:val="bullet"/>
      <w:lvlText w:val="o"/>
      <w:lvlJc w:val="left"/>
      <w:pPr>
        <w:ind w:left="2700" w:hanging="360"/>
      </w:pPr>
      <w:rPr>
        <w:rFonts w:ascii="Courier New" w:hAnsi="Courier New" w:cs="Courier New" w:hint="default"/>
      </w:rPr>
    </w:lvl>
    <w:lvl w:ilvl="5" w:tplc="48090005" w:tentative="1">
      <w:start w:val="1"/>
      <w:numFmt w:val="bullet"/>
      <w:lvlText w:val=""/>
      <w:lvlJc w:val="left"/>
      <w:pPr>
        <w:ind w:left="3420" w:hanging="360"/>
      </w:pPr>
      <w:rPr>
        <w:rFonts w:ascii="Wingdings" w:hAnsi="Wingdings" w:hint="default"/>
      </w:rPr>
    </w:lvl>
    <w:lvl w:ilvl="6" w:tplc="48090001" w:tentative="1">
      <w:start w:val="1"/>
      <w:numFmt w:val="bullet"/>
      <w:lvlText w:val=""/>
      <w:lvlJc w:val="left"/>
      <w:pPr>
        <w:ind w:left="4140" w:hanging="360"/>
      </w:pPr>
      <w:rPr>
        <w:rFonts w:ascii="Symbol" w:hAnsi="Symbol" w:hint="default"/>
      </w:rPr>
    </w:lvl>
    <w:lvl w:ilvl="7" w:tplc="48090003" w:tentative="1">
      <w:start w:val="1"/>
      <w:numFmt w:val="bullet"/>
      <w:lvlText w:val="o"/>
      <w:lvlJc w:val="left"/>
      <w:pPr>
        <w:ind w:left="4860" w:hanging="360"/>
      </w:pPr>
      <w:rPr>
        <w:rFonts w:ascii="Courier New" w:hAnsi="Courier New" w:cs="Courier New" w:hint="default"/>
      </w:rPr>
    </w:lvl>
    <w:lvl w:ilvl="8" w:tplc="48090005" w:tentative="1">
      <w:start w:val="1"/>
      <w:numFmt w:val="bullet"/>
      <w:lvlText w:val=""/>
      <w:lvlJc w:val="left"/>
      <w:pPr>
        <w:ind w:left="5580" w:hanging="360"/>
      </w:pPr>
      <w:rPr>
        <w:rFonts w:ascii="Wingdings" w:hAnsi="Wingdings" w:hint="default"/>
      </w:rPr>
    </w:lvl>
  </w:abstractNum>
  <w:abstractNum w:abstractNumId="13" w15:restartNumberingAfterBreak="0">
    <w:nsid w:val="726B50AB"/>
    <w:multiLevelType w:val="hybridMultilevel"/>
    <w:tmpl w:val="12BE5498"/>
    <w:lvl w:ilvl="0" w:tplc="4809000F">
      <w:start w:val="1"/>
      <w:numFmt w:val="decimal"/>
      <w:lvlText w:val="%1."/>
      <w:lvlJc w:val="left"/>
      <w:pPr>
        <w:ind w:left="360" w:hanging="360"/>
      </w:pPr>
    </w:lvl>
    <w:lvl w:ilvl="1" w:tplc="48090019" w:tentative="1">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14" w15:restartNumberingAfterBreak="0">
    <w:nsid w:val="7A05558F"/>
    <w:multiLevelType w:val="hybridMultilevel"/>
    <w:tmpl w:val="1DA006FE"/>
    <w:lvl w:ilvl="0" w:tplc="8DF6B466">
      <w:start w:val="1"/>
      <w:numFmt w:val="upperLetter"/>
      <w:lvlText w:val="(%1)"/>
      <w:lvlJc w:val="left"/>
      <w:pPr>
        <w:tabs>
          <w:tab w:val="num" w:pos="720"/>
        </w:tabs>
        <w:ind w:left="720" w:hanging="360"/>
      </w:pPr>
    </w:lvl>
    <w:lvl w:ilvl="1" w:tplc="60FCFF5A" w:tentative="1">
      <w:start w:val="1"/>
      <w:numFmt w:val="upperLetter"/>
      <w:lvlText w:val="(%2)"/>
      <w:lvlJc w:val="left"/>
      <w:pPr>
        <w:tabs>
          <w:tab w:val="num" w:pos="1440"/>
        </w:tabs>
        <w:ind w:left="1440" w:hanging="360"/>
      </w:pPr>
    </w:lvl>
    <w:lvl w:ilvl="2" w:tplc="D3260318" w:tentative="1">
      <w:start w:val="1"/>
      <w:numFmt w:val="upperLetter"/>
      <w:lvlText w:val="(%3)"/>
      <w:lvlJc w:val="left"/>
      <w:pPr>
        <w:tabs>
          <w:tab w:val="num" w:pos="2160"/>
        </w:tabs>
        <w:ind w:left="2160" w:hanging="360"/>
      </w:pPr>
    </w:lvl>
    <w:lvl w:ilvl="3" w:tplc="2B363D3A" w:tentative="1">
      <w:start w:val="1"/>
      <w:numFmt w:val="upperLetter"/>
      <w:lvlText w:val="(%4)"/>
      <w:lvlJc w:val="left"/>
      <w:pPr>
        <w:tabs>
          <w:tab w:val="num" w:pos="2880"/>
        </w:tabs>
        <w:ind w:left="2880" w:hanging="360"/>
      </w:pPr>
    </w:lvl>
    <w:lvl w:ilvl="4" w:tplc="675822C6" w:tentative="1">
      <w:start w:val="1"/>
      <w:numFmt w:val="upperLetter"/>
      <w:lvlText w:val="(%5)"/>
      <w:lvlJc w:val="left"/>
      <w:pPr>
        <w:tabs>
          <w:tab w:val="num" w:pos="3600"/>
        </w:tabs>
        <w:ind w:left="3600" w:hanging="360"/>
      </w:pPr>
    </w:lvl>
    <w:lvl w:ilvl="5" w:tplc="79E854FC" w:tentative="1">
      <w:start w:val="1"/>
      <w:numFmt w:val="upperLetter"/>
      <w:lvlText w:val="(%6)"/>
      <w:lvlJc w:val="left"/>
      <w:pPr>
        <w:tabs>
          <w:tab w:val="num" w:pos="4320"/>
        </w:tabs>
        <w:ind w:left="4320" w:hanging="360"/>
      </w:pPr>
    </w:lvl>
    <w:lvl w:ilvl="6" w:tplc="9AF07B26" w:tentative="1">
      <w:start w:val="1"/>
      <w:numFmt w:val="upperLetter"/>
      <w:lvlText w:val="(%7)"/>
      <w:lvlJc w:val="left"/>
      <w:pPr>
        <w:tabs>
          <w:tab w:val="num" w:pos="5040"/>
        </w:tabs>
        <w:ind w:left="5040" w:hanging="360"/>
      </w:pPr>
    </w:lvl>
    <w:lvl w:ilvl="7" w:tplc="0374E27C" w:tentative="1">
      <w:start w:val="1"/>
      <w:numFmt w:val="upperLetter"/>
      <w:lvlText w:val="(%8)"/>
      <w:lvlJc w:val="left"/>
      <w:pPr>
        <w:tabs>
          <w:tab w:val="num" w:pos="5760"/>
        </w:tabs>
        <w:ind w:left="5760" w:hanging="360"/>
      </w:pPr>
    </w:lvl>
    <w:lvl w:ilvl="8" w:tplc="738A001C" w:tentative="1">
      <w:start w:val="1"/>
      <w:numFmt w:val="upperLetter"/>
      <w:lvlText w:val="(%9)"/>
      <w:lvlJc w:val="left"/>
      <w:pPr>
        <w:tabs>
          <w:tab w:val="num" w:pos="6480"/>
        </w:tabs>
        <w:ind w:left="6480" w:hanging="360"/>
      </w:pPr>
    </w:lvl>
  </w:abstractNum>
  <w:abstractNum w:abstractNumId="15" w15:restartNumberingAfterBreak="0">
    <w:nsid w:val="7E3B6975"/>
    <w:multiLevelType w:val="hybridMultilevel"/>
    <w:tmpl w:val="EA02F2EE"/>
    <w:lvl w:ilvl="0" w:tplc="4058D6EC">
      <w:start w:val="1"/>
      <w:numFmt w:val="upperLetter"/>
      <w:lvlText w:val="(%1)"/>
      <w:lvlJc w:val="left"/>
      <w:pPr>
        <w:tabs>
          <w:tab w:val="num" w:pos="720"/>
        </w:tabs>
        <w:ind w:left="720" w:hanging="360"/>
      </w:pPr>
    </w:lvl>
    <w:lvl w:ilvl="1" w:tplc="BDE8F2A0" w:tentative="1">
      <w:start w:val="1"/>
      <w:numFmt w:val="upperLetter"/>
      <w:lvlText w:val="(%2)"/>
      <w:lvlJc w:val="left"/>
      <w:pPr>
        <w:tabs>
          <w:tab w:val="num" w:pos="1440"/>
        </w:tabs>
        <w:ind w:left="1440" w:hanging="360"/>
      </w:pPr>
    </w:lvl>
    <w:lvl w:ilvl="2" w:tplc="7B1663FC" w:tentative="1">
      <w:start w:val="1"/>
      <w:numFmt w:val="upperLetter"/>
      <w:lvlText w:val="(%3)"/>
      <w:lvlJc w:val="left"/>
      <w:pPr>
        <w:tabs>
          <w:tab w:val="num" w:pos="2160"/>
        </w:tabs>
        <w:ind w:left="2160" w:hanging="360"/>
      </w:pPr>
    </w:lvl>
    <w:lvl w:ilvl="3" w:tplc="4CFCDADA" w:tentative="1">
      <w:start w:val="1"/>
      <w:numFmt w:val="upperLetter"/>
      <w:lvlText w:val="(%4)"/>
      <w:lvlJc w:val="left"/>
      <w:pPr>
        <w:tabs>
          <w:tab w:val="num" w:pos="2880"/>
        </w:tabs>
        <w:ind w:left="2880" w:hanging="360"/>
      </w:pPr>
    </w:lvl>
    <w:lvl w:ilvl="4" w:tplc="914A5322" w:tentative="1">
      <w:start w:val="1"/>
      <w:numFmt w:val="upperLetter"/>
      <w:lvlText w:val="(%5)"/>
      <w:lvlJc w:val="left"/>
      <w:pPr>
        <w:tabs>
          <w:tab w:val="num" w:pos="3600"/>
        </w:tabs>
        <w:ind w:left="3600" w:hanging="360"/>
      </w:pPr>
    </w:lvl>
    <w:lvl w:ilvl="5" w:tplc="90C2CBAA" w:tentative="1">
      <w:start w:val="1"/>
      <w:numFmt w:val="upperLetter"/>
      <w:lvlText w:val="(%6)"/>
      <w:lvlJc w:val="left"/>
      <w:pPr>
        <w:tabs>
          <w:tab w:val="num" w:pos="4320"/>
        </w:tabs>
        <w:ind w:left="4320" w:hanging="360"/>
      </w:pPr>
    </w:lvl>
    <w:lvl w:ilvl="6" w:tplc="F3F46102" w:tentative="1">
      <w:start w:val="1"/>
      <w:numFmt w:val="upperLetter"/>
      <w:lvlText w:val="(%7)"/>
      <w:lvlJc w:val="left"/>
      <w:pPr>
        <w:tabs>
          <w:tab w:val="num" w:pos="5040"/>
        </w:tabs>
        <w:ind w:left="5040" w:hanging="360"/>
      </w:pPr>
    </w:lvl>
    <w:lvl w:ilvl="7" w:tplc="1108C634" w:tentative="1">
      <w:start w:val="1"/>
      <w:numFmt w:val="upperLetter"/>
      <w:lvlText w:val="(%8)"/>
      <w:lvlJc w:val="left"/>
      <w:pPr>
        <w:tabs>
          <w:tab w:val="num" w:pos="5760"/>
        </w:tabs>
        <w:ind w:left="5760" w:hanging="360"/>
      </w:pPr>
    </w:lvl>
    <w:lvl w:ilvl="8" w:tplc="649E7E96" w:tentative="1">
      <w:start w:val="1"/>
      <w:numFmt w:val="upperLetter"/>
      <w:lvlText w:val="(%9)"/>
      <w:lvlJc w:val="left"/>
      <w:pPr>
        <w:tabs>
          <w:tab w:val="num" w:pos="6480"/>
        </w:tabs>
        <w:ind w:left="6480" w:hanging="360"/>
      </w:pPr>
    </w:lvl>
  </w:abstractNum>
  <w:num w:numId="1">
    <w:abstractNumId w:val="4"/>
  </w:num>
  <w:num w:numId="2">
    <w:abstractNumId w:val="5"/>
  </w:num>
  <w:num w:numId="3">
    <w:abstractNumId w:val="6"/>
  </w:num>
  <w:num w:numId="4">
    <w:abstractNumId w:val="10"/>
  </w:num>
  <w:num w:numId="5">
    <w:abstractNumId w:val="7"/>
  </w:num>
  <w:num w:numId="6">
    <w:abstractNumId w:val="11"/>
  </w:num>
  <w:num w:numId="7">
    <w:abstractNumId w:val="13"/>
  </w:num>
  <w:num w:numId="8">
    <w:abstractNumId w:val="8"/>
  </w:num>
  <w:num w:numId="9">
    <w:abstractNumId w:val="12"/>
  </w:num>
  <w:num w:numId="10">
    <w:abstractNumId w:val="0"/>
  </w:num>
  <w:num w:numId="11">
    <w:abstractNumId w:val="1"/>
  </w:num>
  <w:num w:numId="12">
    <w:abstractNumId w:val="9"/>
  </w:num>
  <w:num w:numId="13">
    <w:abstractNumId w:val="15"/>
  </w:num>
  <w:num w:numId="14">
    <w:abstractNumId w:val="14"/>
  </w:num>
  <w:num w:numId="15">
    <w:abstractNumId w:val="2"/>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7761"/>
    <w:rsid w:val="00006881"/>
    <w:rsid w:val="00012F8E"/>
    <w:rsid w:val="00013F1B"/>
    <w:rsid w:val="00017258"/>
    <w:rsid w:val="000276A2"/>
    <w:rsid w:val="0003539F"/>
    <w:rsid w:val="000378BD"/>
    <w:rsid w:val="000429B9"/>
    <w:rsid w:val="00044346"/>
    <w:rsid w:val="00046471"/>
    <w:rsid w:val="00047E6D"/>
    <w:rsid w:val="000514B9"/>
    <w:rsid w:val="00067421"/>
    <w:rsid w:val="00071436"/>
    <w:rsid w:val="00073E4B"/>
    <w:rsid w:val="00080A0A"/>
    <w:rsid w:val="00083BD5"/>
    <w:rsid w:val="00087D3C"/>
    <w:rsid w:val="000962E0"/>
    <w:rsid w:val="000A0F06"/>
    <w:rsid w:val="000A6D77"/>
    <w:rsid w:val="000B0B98"/>
    <w:rsid w:val="000C164E"/>
    <w:rsid w:val="000C56E8"/>
    <w:rsid w:val="000D29CF"/>
    <w:rsid w:val="000E59AC"/>
    <w:rsid w:val="000F70F7"/>
    <w:rsid w:val="00110472"/>
    <w:rsid w:val="00113882"/>
    <w:rsid w:val="0012125E"/>
    <w:rsid w:val="00122E0E"/>
    <w:rsid w:val="001326C3"/>
    <w:rsid w:val="00134F21"/>
    <w:rsid w:val="0013766A"/>
    <w:rsid w:val="00151E75"/>
    <w:rsid w:val="00153903"/>
    <w:rsid w:val="00153B8A"/>
    <w:rsid w:val="00173FA9"/>
    <w:rsid w:val="00183FBA"/>
    <w:rsid w:val="00190EFC"/>
    <w:rsid w:val="00191E3F"/>
    <w:rsid w:val="0019500D"/>
    <w:rsid w:val="001A145E"/>
    <w:rsid w:val="001B0B15"/>
    <w:rsid w:val="001B6002"/>
    <w:rsid w:val="001E0555"/>
    <w:rsid w:val="001F026E"/>
    <w:rsid w:val="002033FE"/>
    <w:rsid w:val="00207580"/>
    <w:rsid w:val="002131DF"/>
    <w:rsid w:val="00226B1C"/>
    <w:rsid w:val="002277B3"/>
    <w:rsid w:val="00243DAD"/>
    <w:rsid w:val="002458A2"/>
    <w:rsid w:val="00256BB6"/>
    <w:rsid w:val="002656EA"/>
    <w:rsid w:val="0027203F"/>
    <w:rsid w:val="00295752"/>
    <w:rsid w:val="00297E9E"/>
    <w:rsid w:val="002A3383"/>
    <w:rsid w:val="002B237C"/>
    <w:rsid w:val="002B2D43"/>
    <w:rsid w:val="002C29BA"/>
    <w:rsid w:val="002C4206"/>
    <w:rsid w:val="002C5925"/>
    <w:rsid w:val="002D5880"/>
    <w:rsid w:val="002D7229"/>
    <w:rsid w:val="002E58DE"/>
    <w:rsid w:val="002E6399"/>
    <w:rsid w:val="002E69CA"/>
    <w:rsid w:val="00317216"/>
    <w:rsid w:val="00330496"/>
    <w:rsid w:val="00332265"/>
    <w:rsid w:val="00336B9E"/>
    <w:rsid w:val="00347462"/>
    <w:rsid w:val="00356074"/>
    <w:rsid w:val="00374EAC"/>
    <w:rsid w:val="00383F5B"/>
    <w:rsid w:val="00392638"/>
    <w:rsid w:val="003929BD"/>
    <w:rsid w:val="003B42D3"/>
    <w:rsid w:val="003D0C26"/>
    <w:rsid w:val="003E5701"/>
    <w:rsid w:val="00403B32"/>
    <w:rsid w:val="00403E8B"/>
    <w:rsid w:val="00420728"/>
    <w:rsid w:val="00426938"/>
    <w:rsid w:val="0043301D"/>
    <w:rsid w:val="00436509"/>
    <w:rsid w:val="00442407"/>
    <w:rsid w:val="00444CB1"/>
    <w:rsid w:val="00453CDF"/>
    <w:rsid w:val="004561F1"/>
    <w:rsid w:val="0046095A"/>
    <w:rsid w:val="00467C96"/>
    <w:rsid w:val="00473084"/>
    <w:rsid w:val="004740D6"/>
    <w:rsid w:val="004918CA"/>
    <w:rsid w:val="004B17B5"/>
    <w:rsid w:val="004B79DF"/>
    <w:rsid w:val="004D1D44"/>
    <w:rsid w:val="004D587A"/>
    <w:rsid w:val="004E6AB1"/>
    <w:rsid w:val="00505B60"/>
    <w:rsid w:val="005068B8"/>
    <w:rsid w:val="005138BA"/>
    <w:rsid w:val="00517174"/>
    <w:rsid w:val="00523588"/>
    <w:rsid w:val="00524FA8"/>
    <w:rsid w:val="0053225E"/>
    <w:rsid w:val="00534757"/>
    <w:rsid w:val="00541D87"/>
    <w:rsid w:val="005438D2"/>
    <w:rsid w:val="00556F19"/>
    <w:rsid w:val="00560F98"/>
    <w:rsid w:val="005739BA"/>
    <w:rsid w:val="0058290B"/>
    <w:rsid w:val="005F274F"/>
    <w:rsid w:val="005F2DC6"/>
    <w:rsid w:val="005F5243"/>
    <w:rsid w:val="006025EB"/>
    <w:rsid w:val="00615120"/>
    <w:rsid w:val="00622148"/>
    <w:rsid w:val="00626E07"/>
    <w:rsid w:val="0063041B"/>
    <w:rsid w:val="0063423F"/>
    <w:rsid w:val="00635B84"/>
    <w:rsid w:val="006442CC"/>
    <w:rsid w:val="006709D2"/>
    <w:rsid w:val="00691DFE"/>
    <w:rsid w:val="00692EB7"/>
    <w:rsid w:val="006A1FEA"/>
    <w:rsid w:val="006C2C88"/>
    <w:rsid w:val="006C3654"/>
    <w:rsid w:val="006E37B9"/>
    <w:rsid w:val="006F7735"/>
    <w:rsid w:val="00706DB8"/>
    <w:rsid w:val="00772EDD"/>
    <w:rsid w:val="00787B47"/>
    <w:rsid w:val="007A2AED"/>
    <w:rsid w:val="007C279D"/>
    <w:rsid w:val="007E227E"/>
    <w:rsid w:val="007E6622"/>
    <w:rsid w:val="007E76C6"/>
    <w:rsid w:val="00807779"/>
    <w:rsid w:val="00821B28"/>
    <w:rsid w:val="00834289"/>
    <w:rsid w:val="00843711"/>
    <w:rsid w:val="00854E98"/>
    <w:rsid w:val="00871606"/>
    <w:rsid w:val="008848DE"/>
    <w:rsid w:val="008903B2"/>
    <w:rsid w:val="00894A1F"/>
    <w:rsid w:val="008A3B49"/>
    <w:rsid w:val="008B24C0"/>
    <w:rsid w:val="008D0FC3"/>
    <w:rsid w:val="008D2E24"/>
    <w:rsid w:val="00912D04"/>
    <w:rsid w:val="009343F5"/>
    <w:rsid w:val="0094100A"/>
    <w:rsid w:val="00947912"/>
    <w:rsid w:val="00954602"/>
    <w:rsid w:val="009854EF"/>
    <w:rsid w:val="0098754D"/>
    <w:rsid w:val="009A05B5"/>
    <w:rsid w:val="009A5284"/>
    <w:rsid w:val="009B2B9C"/>
    <w:rsid w:val="009B3093"/>
    <w:rsid w:val="009B4D7C"/>
    <w:rsid w:val="009C0EDA"/>
    <w:rsid w:val="009C5548"/>
    <w:rsid w:val="009C6811"/>
    <w:rsid w:val="009D7563"/>
    <w:rsid w:val="009E4495"/>
    <w:rsid w:val="009F11C6"/>
    <w:rsid w:val="00A01FE7"/>
    <w:rsid w:val="00A0743D"/>
    <w:rsid w:val="00A228B6"/>
    <w:rsid w:val="00A25345"/>
    <w:rsid w:val="00A25C14"/>
    <w:rsid w:val="00A36D9F"/>
    <w:rsid w:val="00A40B00"/>
    <w:rsid w:val="00A45E88"/>
    <w:rsid w:val="00A473A9"/>
    <w:rsid w:val="00A47A3C"/>
    <w:rsid w:val="00A5368C"/>
    <w:rsid w:val="00A5600F"/>
    <w:rsid w:val="00A60CDA"/>
    <w:rsid w:val="00A717B2"/>
    <w:rsid w:val="00A73D4E"/>
    <w:rsid w:val="00AB2346"/>
    <w:rsid w:val="00AB633A"/>
    <w:rsid w:val="00AC2E97"/>
    <w:rsid w:val="00AC3FE6"/>
    <w:rsid w:val="00AD04CA"/>
    <w:rsid w:val="00AD4FC3"/>
    <w:rsid w:val="00AF003C"/>
    <w:rsid w:val="00B17B2D"/>
    <w:rsid w:val="00B25823"/>
    <w:rsid w:val="00B56A97"/>
    <w:rsid w:val="00B6238F"/>
    <w:rsid w:val="00B64FF4"/>
    <w:rsid w:val="00B7748B"/>
    <w:rsid w:val="00B8352A"/>
    <w:rsid w:val="00B8792E"/>
    <w:rsid w:val="00BB2F83"/>
    <w:rsid w:val="00BB7E31"/>
    <w:rsid w:val="00BD318B"/>
    <w:rsid w:val="00BE0AD8"/>
    <w:rsid w:val="00BE58FB"/>
    <w:rsid w:val="00BE5F7D"/>
    <w:rsid w:val="00BF348C"/>
    <w:rsid w:val="00C02B7A"/>
    <w:rsid w:val="00C0445E"/>
    <w:rsid w:val="00C130E0"/>
    <w:rsid w:val="00C320EF"/>
    <w:rsid w:val="00C37AC8"/>
    <w:rsid w:val="00C44E03"/>
    <w:rsid w:val="00C57820"/>
    <w:rsid w:val="00C677C0"/>
    <w:rsid w:val="00C71129"/>
    <w:rsid w:val="00C81542"/>
    <w:rsid w:val="00C83F57"/>
    <w:rsid w:val="00C8415E"/>
    <w:rsid w:val="00C85DD8"/>
    <w:rsid w:val="00C976F3"/>
    <w:rsid w:val="00CA73F7"/>
    <w:rsid w:val="00CB4EA1"/>
    <w:rsid w:val="00CC1C52"/>
    <w:rsid w:val="00CC71B8"/>
    <w:rsid w:val="00CD2E6C"/>
    <w:rsid w:val="00CD7805"/>
    <w:rsid w:val="00CE0223"/>
    <w:rsid w:val="00CE370D"/>
    <w:rsid w:val="00CF5936"/>
    <w:rsid w:val="00CF64A0"/>
    <w:rsid w:val="00D029FD"/>
    <w:rsid w:val="00D1114A"/>
    <w:rsid w:val="00D16CAB"/>
    <w:rsid w:val="00D41DAC"/>
    <w:rsid w:val="00D66528"/>
    <w:rsid w:val="00D76F98"/>
    <w:rsid w:val="00DA42E7"/>
    <w:rsid w:val="00DB7CA9"/>
    <w:rsid w:val="00DC1341"/>
    <w:rsid w:val="00DC6576"/>
    <w:rsid w:val="00DD4BEB"/>
    <w:rsid w:val="00DF2F6A"/>
    <w:rsid w:val="00DF37DA"/>
    <w:rsid w:val="00DF4DC4"/>
    <w:rsid w:val="00DF67F4"/>
    <w:rsid w:val="00E01208"/>
    <w:rsid w:val="00E177EC"/>
    <w:rsid w:val="00E2260D"/>
    <w:rsid w:val="00E5045A"/>
    <w:rsid w:val="00E7448E"/>
    <w:rsid w:val="00E91746"/>
    <w:rsid w:val="00EA4A44"/>
    <w:rsid w:val="00EA6AA5"/>
    <w:rsid w:val="00EB4924"/>
    <w:rsid w:val="00EC3BAC"/>
    <w:rsid w:val="00ED2CF0"/>
    <w:rsid w:val="00ED3DA2"/>
    <w:rsid w:val="00EE4AE3"/>
    <w:rsid w:val="00EF1670"/>
    <w:rsid w:val="00EF7820"/>
    <w:rsid w:val="00F01133"/>
    <w:rsid w:val="00F02735"/>
    <w:rsid w:val="00F0434A"/>
    <w:rsid w:val="00F04A6A"/>
    <w:rsid w:val="00F2316D"/>
    <w:rsid w:val="00F27761"/>
    <w:rsid w:val="00F407F4"/>
    <w:rsid w:val="00F555C0"/>
    <w:rsid w:val="00F66556"/>
    <w:rsid w:val="00F74855"/>
    <w:rsid w:val="00F800D4"/>
    <w:rsid w:val="00F9080C"/>
    <w:rsid w:val="00FA4062"/>
    <w:rsid w:val="00FB3B52"/>
    <w:rsid w:val="00FC1D25"/>
    <w:rsid w:val="00FC394E"/>
    <w:rsid w:val="00FC4A25"/>
    <w:rsid w:val="00FC670E"/>
    <w:rsid w:val="00FD376F"/>
    <w:rsid w:val="00FF0343"/>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6EF97"/>
  <w15:chartTrackingRefBased/>
  <w15:docId w15:val="{26470A87-7378-44C3-A88B-A28689B7C6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SG"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4100A"/>
    <w:rPr>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4100A"/>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Hyperlink">
    <w:name w:val="Hyperlink"/>
    <w:rsid w:val="0043301D"/>
    <w:rPr>
      <w:color w:val="0000FF"/>
      <w:u w:val="single"/>
    </w:rPr>
  </w:style>
  <w:style w:type="paragraph" w:styleId="ListParagraph">
    <w:name w:val="List Paragraph"/>
    <w:basedOn w:val="Normal"/>
    <w:uiPriority w:val="34"/>
    <w:qFormat/>
    <w:rsid w:val="0043301D"/>
    <w:pPr>
      <w:spacing w:after="200" w:line="276" w:lineRule="auto"/>
      <w:ind w:left="720"/>
      <w:contextualSpacing/>
    </w:pPr>
    <w:rPr>
      <w:rFonts w:ascii="Calibri" w:eastAsia="Calibri" w:hAnsi="Calibri" w:cs="Times New Roman"/>
      <w:kern w:val="0"/>
      <w:lang w:eastAsia="en-US"/>
      <w14:ligatures w14:val="none"/>
    </w:rPr>
  </w:style>
  <w:style w:type="character" w:styleId="CommentReference">
    <w:name w:val="annotation reference"/>
    <w:basedOn w:val="DefaultParagraphFont"/>
    <w:uiPriority w:val="99"/>
    <w:semiHidden/>
    <w:unhideWhenUsed/>
    <w:rsid w:val="00560F98"/>
    <w:rPr>
      <w:sz w:val="16"/>
      <w:szCs w:val="16"/>
    </w:rPr>
  </w:style>
  <w:style w:type="paragraph" w:styleId="CommentText">
    <w:name w:val="annotation text"/>
    <w:basedOn w:val="Normal"/>
    <w:link w:val="CommentTextChar"/>
    <w:uiPriority w:val="99"/>
    <w:semiHidden/>
    <w:unhideWhenUsed/>
    <w:rsid w:val="00560F98"/>
    <w:pPr>
      <w:spacing w:line="240" w:lineRule="auto"/>
    </w:pPr>
    <w:rPr>
      <w:sz w:val="20"/>
      <w:szCs w:val="20"/>
    </w:rPr>
  </w:style>
  <w:style w:type="character" w:customStyle="1" w:styleId="CommentTextChar">
    <w:name w:val="Comment Text Char"/>
    <w:basedOn w:val="DefaultParagraphFont"/>
    <w:link w:val="CommentText"/>
    <w:uiPriority w:val="99"/>
    <w:semiHidden/>
    <w:rsid w:val="00560F98"/>
    <w:rPr>
      <w:kern w:val="2"/>
      <w:sz w:val="20"/>
      <w:szCs w:val="20"/>
      <w14:ligatures w14:val="standardContextual"/>
    </w:rPr>
  </w:style>
  <w:style w:type="paragraph" w:styleId="CommentSubject">
    <w:name w:val="annotation subject"/>
    <w:basedOn w:val="CommentText"/>
    <w:next w:val="CommentText"/>
    <w:link w:val="CommentSubjectChar"/>
    <w:uiPriority w:val="99"/>
    <w:semiHidden/>
    <w:unhideWhenUsed/>
    <w:rsid w:val="00560F98"/>
    <w:rPr>
      <w:b/>
      <w:bCs/>
    </w:rPr>
  </w:style>
  <w:style w:type="character" w:customStyle="1" w:styleId="CommentSubjectChar">
    <w:name w:val="Comment Subject Char"/>
    <w:basedOn w:val="CommentTextChar"/>
    <w:link w:val="CommentSubject"/>
    <w:uiPriority w:val="99"/>
    <w:semiHidden/>
    <w:rsid w:val="00560F98"/>
    <w:rPr>
      <w:b/>
      <w:bCs/>
      <w:kern w:val="2"/>
      <w:sz w:val="20"/>
      <w:szCs w:val="20"/>
      <w14:ligatures w14:val="standardContextual"/>
    </w:rPr>
  </w:style>
  <w:style w:type="paragraph" w:styleId="BalloonText">
    <w:name w:val="Balloon Text"/>
    <w:basedOn w:val="Normal"/>
    <w:link w:val="BalloonTextChar"/>
    <w:uiPriority w:val="99"/>
    <w:semiHidden/>
    <w:unhideWhenUsed/>
    <w:rsid w:val="00560F9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0F98"/>
    <w:rPr>
      <w:rFonts w:ascii="Segoe UI" w:hAnsi="Segoe UI" w:cs="Segoe UI"/>
      <w:kern w:val="2"/>
      <w:sz w:val="18"/>
      <w:szCs w:val="18"/>
      <w14:ligatures w14:val="standardContextual"/>
    </w:rPr>
  </w:style>
  <w:style w:type="paragraph" w:customStyle="1" w:styleId="Default">
    <w:name w:val="Default"/>
    <w:rsid w:val="009A5284"/>
    <w:pPr>
      <w:autoSpaceDE w:val="0"/>
      <w:autoSpaceDN w:val="0"/>
      <w:adjustRightInd w:val="0"/>
      <w:spacing w:after="0" w:line="240" w:lineRule="auto"/>
    </w:pPr>
    <w:rPr>
      <w:rFonts w:ascii="Calibri" w:hAnsi="Calibri" w:cs="Calibri"/>
      <w:color w:val="000000"/>
      <w:sz w:val="24"/>
      <w:szCs w:val="24"/>
    </w:rPr>
  </w:style>
  <w:style w:type="character" w:styleId="Emphasis">
    <w:name w:val="Emphasis"/>
    <w:basedOn w:val="DefaultParagraphFont"/>
    <w:uiPriority w:val="20"/>
    <w:qFormat/>
    <w:rsid w:val="00772EDD"/>
    <w:rPr>
      <w:i/>
      <w:iCs/>
    </w:rPr>
  </w:style>
  <w:style w:type="character" w:customStyle="1" w:styleId="label">
    <w:name w:val="label"/>
    <w:basedOn w:val="DefaultParagraphFont"/>
    <w:rsid w:val="00B6238F"/>
  </w:style>
  <w:style w:type="character" w:styleId="HTMLCite">
    <w:name w:val="HTML Cite"/>
    <w:basedOn w:val="DefaultParagraphFont"/>
    <w:uiPriority w:val="99"/>
    <w:semiHidden/>
    <w:unhideWhenUsed/>
    <w:rsid w:val="00B6238F"/>
    <w:rPr>
      <w:i/>
      <w:iCs/>
    </w:rPr>
  </w:style>
  <w:style w:type="character" w:customStyle="1" w:styleId="anchor-text">
    <w:name w:val="anchor-text"/>
    <w:basedOn w:val="DefaultParagraphFont"/>
    <w:rsid w:val="00912D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982482">
      <w:bodyDiv w:val="1"/>
      <w:marLeft w:val="0"/>
      <w:marRight w:val="0"/>
      <w:marTop w:val="0"/>
      <w:marBottom w:val="0"/>
      <w:divBdr>
        <w:top w:val="none" w:sz="0" w:space="0" w:color="auto"/>
        <w:left w:val="none" w:sz="0" w:space="0" w:color="auto"/>
        <w:bottom w:val="none" w:sz="0" w:space="0" w:color="auto"/>
        <w:right w:val="none" w:sz="0" w:space="0" w:color="auto"/>
      </w:divBdr>
    </w:div>
    <w:div w:id="41172900">
      <w:bodyDiv w:val="1"/>
      <w:marLeft w:val="0"/>
      <w:marRight w:val="0"/>
      <w:marTop w:val="0"/>
      <w:marBottom w:val="0"/>
      <w:divBdr>
        <w:top w:val="none" w:sz="0" w:space="0" w:color="auto"/>
        <w:left w:val="none" w:sz="0" w:space="0" w:color="auto"/>
        <w:bottom w:val="none" w:sz="0" w:space="0" w:color="auto"/>
        <w:right w:val="none" w:sz="0" w:space="0" w:color="auto"/>
      </w:divBdr>
    </w:div>
    <w:div w:id="53966989">
      <w:bodyDiv w:val="1"/>
      <w:marLeft w:val="0"/>
      <w:marRight w:val="0"/>
      <w:marTop w:val="0"/>
      <w:marBottom w:val="0"/>
      <w:divBdr>
        <w:top w:val="none" w:sz="0" w:space="0" w:color="auto"/>
        <w:left w:val="none" w:sz="0" w:space="0" w:color="auto"/>
        <w:bottom w:val="none" w:sz="0" w:space="0" w:color="auto"/>
        <w:right w:val="none" w:sz="0" w:space="0" w:color="auto"/>
      </w:divBdr>
    </w:div>
    <w:div w:id="76250496">
      <w:bodyDiv w:val="1"/>
      <w:marLeft w:val="0"/>
      <w:marRight w:val="0"/>
      <w:marTop w:val="0"/>
      <w:marBottom w:val="0"/>
      <w:divBdr>
        <w:top w:val="none" w:sz="0" w:space="0" w:color="auto"/>
        <w:left w:val="none" w:sz="0" w:space="0" w:color="auto"/>
        <w:bottom w:val="none" w:sz="0" w:space="0" w:color="auto"/>
        <w:right w:val="none" w:sz="0" w:space="0" w:color="auto"/>
      </w:divBdr>
      <w:divsChild>
        <w:div w:id="1258367806">
          <w:marLeft w:val="259"/>
          <w:marRight w:val="0"/>
          <w:marTop w:val="141"/>
          <w:marBottom w:val="0"/>
          <w:divBdr>
            <w:top w:val="none" w:sz="0" w:space="0" w:color="auto"/>
            <w:left w:val="none" w:sz="0" w:space="0" w:color="auto"/>
            <w:bottom w:val="none" w:sz="0" w:space="0" w:color="auto"/>
            <w:right w:val="none" w:sz="0" w:space="0" w:color="auto"/>
          </w:divBdr>
        </w:div>
      </w:divsChild>
    </w:div>
    <w:div w:id="118497660">
      <w:bodyDiv w:val="1"/>
      <w:marLeft w:val="0"/>
      <w:marRight w:val="0"/>
      <w:marTop w:val="0"/>
      <w:marBottom w:val="0"/>
      <w:divBdr>
        <w:top w:val="none" w:sz="0" w:space="0" w:color="auto"/>
        <w:left w:val="none" w:sz="0" w:space="0" w:color="auto"/>
        <w:bottom w:val="none" w:sz="0" w:space="0" w:color="auto"/>
        <w:right w:val="none" w:sz="0" w:space="0" w:color="auto"/>
      </w:divBdr>
    </w:div>
    <w:div w:id="128057673">
      <w:bodyDiv w:val="1"/>
      <w:marLeft w:val="0"/>
      <w:marRight w:val="0"/>
      <w:marTop w:val="0"/>
      <w:marBottom w:val="0"/>
      <w:divBdr>
        <w:top w:val="none" w:sz="0" w:space="0" w:color="auto"/>
        <w:left w:val="none" w:sz="0" w:space="0" w:color="auto"/>
        <w:bottom w:val="none" w:sz="0" w:space="0" w:color="auto"/>
        <w:right w:val="none" w:sz="0" w:space="0" w:color="auto"/>
      </w:divBdr>
      <w:divsChild>
        <w:div w:id="585384444">
          <w:marLeft w:val="360"/>
          <w:marRight w:val="0"/>
          <w:marTop w:val="0"/>
          <w:marBottom w:val="0"/>
          <w:divBdr>
            <w:top w:val="none" w:sz="0" w:space="0" w:color="auto"/>
            <w:left w:val="none" w:sz="0" w:space="0" w:color="auto"/>
            <w:bottom w:val="none" w:sz="0" w:space="0" w:color="auto"/>
            <w:right w:val="none" w:sz="0" w:space="0" w:color="auto"/>
          </w:divBdr>
        </w:div>
      </w:divsChild>
    </w:div>
    <w:div w:id="136843913">
      <w:bodyDiv w:val="1"/>
      <w:marLeft w:val="0"/>
      <w:marRight w:val="0"/>
      <w:marTop w:val="0"/>
      <w:marBottom w:val="0"/>
      <w:divBdr>
        <w:top w:val="none" w:sz="0" w:space="0" w:color="auto"/>
        <w:left w:val="none" w:sz="0" w:space="0" w:color="auto"/>
        <w:bottom w:val="none" w:sz="0" w:space="0" w:color="auto"/>
        <w:right w:val="none" w:sz="0" w:space="0" w:color="auto"/>
      </w:divBdr>
    </w:div>
    <w:div w:id="193662294">
      <w:bodyDiv w:val="1"/>
      <w:marLeft w:val="0"/>
      <w:marRight w:val="0"/>
      <w:marTop w:val="0"/>
      <w:marBottom w:val="0"/>
      <w:divBdr>
        <w:top w:val="none" w:sz="0" w:space="0" w:color="auto"/>
        <w:left w:val="none" w:sz="0" w:space="0" w:color="auto"/>
        <w:bottom w:val="none" w:sz="0" w:space="0" w:color="auto"/>
        <w:right w:val="none" w:sz="0" w:space="0" w:color="auto"/>
      </w:divBdr>
    </w:div>
    <w:div w:id="256911803">
      <w:bodyDiv w:val="1"/>
      <w:marLeft w:val="0"/>
      <w:marRight w:val="0"/>
      <w:marTop w:val="0"/>
      <w:marBottom w:val="0"/>
      <w:divBdr>
        <w:top w:val="none" w:sz="0" w:space="0" w:color="auto"/>
        <w:left w:val="none" w:sz="0" w:space="0" w:color="auto"/>
        <w:bottom w:val="none" w:sz="0" w:space="0" w:color="auto"/>
        <w:right w:val="none" w:sz="0" w:space="0" w:color="auto"/>
      </w:divBdr>
      <w:divsChild>
        <w:div w:id="295993187">
          <w:marLeft w:val="360"/>
          <w:marRight w:val="0"/>
          <w:marTop w:val="0"/>
          <w:marBottom w:val="0"/>
          <w:divBdr>
            <w:top w:val="none" w:sz="0" w:space="0" w:color="auto"/>
            <w:left w:val="none" w:sz="0" w:space="0" w:color="auto"/>
            <w:bottom w:val="none" w:sz="0" w:space="0" w:color="auto"/>
            <w:right w:val="none" w:sz="0" w:space="0" w:color="auto"/>
          </w:divBdr>
        </w:div>
        <w:div w:id="1309745111">
          <w:marLeft w:val="360"/>
          <w:marRight w:val="0"/>
          <w:marTop w:val="0"/>
          <w:marBottom w:val="0"/>
          <w:divBdr>
            <w:top w:val="none" w:sz="0" w:space="0" w:color="auto"/>
            <w:left w:val="none" w:sz="0" w:space="0" w:color="auto"/>
            <w:bottom w:val="none" w:sz="0" w:space="0" w:color="auto"/>
            <w:right w:val="none" w:sz="0" w:space="0" w:color="auto"/>
          </w:divBdr>
        </w:div>
        <w:div w:id="1985425924">
          <w:marLeft w:val="360"/>
          <w:marRight w:val="0"/>
          <w:marTop w:val="0"/>
          <w:marBottom w:val="0"/>
          <w:divBdr>
            <w:top w:val="none" w:sz="0" w:space="0" w:color="auto"/>
            <w:left w:val="none" w:sz="0" w:space="0" w:color="auto"/>
            <w:bottom w:val="none" w:sz="0" w:space="0" w:color="auto"/>
            <w:right w:val="none" w:sz="0" w:space="0" w:color="auto"/>
          </w:divBdr>
        </w:div>
        <w:div w:id="1302541353">
          <w:marLeft w:val="360"/>
          <w:marRight w:val="0"/>
          <w:marTop w:val="0"/>
          <w:marBottom w:val="0"/>
          <w:divBdr>
            <w:top w:val="none" w:sz="0" w:space="0" w:color="auto"/>
            <w:left w:val="none" w:sz="0" w:space="0" w:color="auto"/>
            <w:bottom w:val="none" w:sz="0" w:space="0" w:color="auto"/>
            <w:right w:val="none" w:sz="0" w:space="0" w:color="auto"/>
          </w:divBdr>
        </w:div>
      </w:divsChild>
    </w:div>
    <w:div w:id="299847961">
      <w:bodyDiv w:val="1"/>
      <w:marLeft w:val="0"/>
      <w:marRight w:val="0"/>
      <w:marTop w:val="0"/>
      <w:marBottom w:val="0"/>
      <w:divBdr>
        <w:top w:val="none" w:sz="0" w:space="0" w:color="auto"/>
        <w:left w:val="none" w:sz="0" w:space="0" w:color="auto"/>
        <w:bottom w:val="none" w:sz="0" w:space="0" w:color="auto"/>
        <w:right w:val="none" w:sz="0" w:space="0" w:color="auto"/>
      </w:divBdr>
      <w:divsChild>
        <w:div w:id="592394915">
          <w:marLeft w:val="360"/>
          <w:marRight w:val="0"/>
          <w:marTop w:val="200"/>
          <w:marBottom w:val="0"/>
          <w:divBdr>
            <w:top w:val="none" w:sz="0" w:space="0" w:color="auto"/>
            <w:left w:val="none" w:sz="0" w:space="0" w:color="auto"/>
            <w:bottom w:val="none" w:sz="0" w:space="0" w:color="auto"/>
            <w:right w:val="none" w:sz="0" w:space="0" w:color="auto"/>
          </w:divBdr>
        </w:div>
      </w:divsChild>
    </w:div>
    <w:div w:id="441189856">
      <w:bodyDiv w:val="1"/>
      <w:marLeft w:val="0"/>
      <w:marRight w:val="0"/>
      <w:marTop w:val="0"/>
      <w:marBottom w:val="0"/>
      <w:divBdr>
        <w:top w:val="none" w:sz="0" w:space="0" w:color="auto"/>
        <w:left w:val="none" w:sz="0" w:space="0" w:color="auto"/>
        <w:bottom w:val="none" w:sz="0" w:space="0" w:color="auto"/>
        <w:right w:val="none" w:sz="0" w:space="0" w:color="auto"/>
      </w:divBdr>
    </w:div>
    <w:div w:id="460920802">
      <w:bodyDiv w:val="1"/>
      <w:marLeft w:val="0"/>
      <w:marRight w:val="0"/>
      <w:marTop w:val="0"/>
      <w:marBottom w:val="0"/>
      <w:divBdr>
        <w:top w:val="none" w:sz="0" w:space="0" w:color="auto"/>
        <w:left w:val="none" w:sz="0" w:space="0" w:color="auto"/>
        <w:bottom w:val="none" w:sz="0" w:space="0" w:color="auto"/>
        <w:right w:val="none" w:sz="0" w:space="0" w:color="auto"/>
      </w:divBdr>
    </w:div>
    <w:div w:id="463622116">
      <w:bodyDiv w:val="1"/>
      <w:marLeft w:val="0"/>
      <w:marRight w:val="0"/>
      <w:marTop w:val="0"/>
      <w:marBottom w:val="0"/>
      <w:divBdr>
        <w:top w:val="none" w:sz="0" w:space="0" w:color="auto"/>
        <w:left w:val="none" w:sz="0" w:space="0" w:color="auto"/>
        <w:bottom w:val="none" w:sz="0" w:space="0" w:color="auto"/>
        <w:right w:val="none" w:sz="0" w:space="0" w:color="auto"/>
      </w:divBdr>
    </w:div>
    <w:div w:id="545022940">
      <w:bodyDiv w:val="1"/>
      <w:marLeft w:val="0"/>
      <w:marRight w:val="0"/>
      <w:marTop w:val="0"/>
      <w:marBottom w:val="0"/>
      <w:divBdr>
        <w:top w:val="none" w:sz="0" w:space="0" w:color="auto"/>
        <w:left w:val="none" w:sz="0" w:space="0" w:color="auto"/>
        <w:bottom w:val="none" w:sz="0" w:space="0" w:color="auto"/>
        <w:right w:val="none" w:sz="0" w:space="0" w:color="auto"/>
      </w:divBdr>
    </w:div>
    <w:div w:id="626938627">
      <w:bodyDiv w:val="1"/>
      <w:marLeft w:val="0"/>
      <w:marRight w:val="0"/>
      <w:marTop w:val="0"/>
      <w:marBottom w:val="0"/>
      <w:divBdr>
        <w:top w:val="none" w:sz="0" w:space="0" w:color="auto"/>
        <w:left w:val="none" w:sz="0" w:space="0" w:color="auto"/>
        <w:bottom w:val="none" w:sz="0" w:space="0" w:color="auto"/>
        <w:right w:val="none" w:sz="0" w:space="0" w:color="auto"/>
      </w:divBdr>
    </w:div>
    <w:div w:id="683022328">
      <w:bodyDiv w:val="1"/>
      <w:marLeft w:val="0"/>
      <w:marRight w:val="0"/>
      <w:marTop w:val="0"/>
      <w:marBottom w:val="0"/>
      <w:divBdr>
        <w:top w:val="none" w:sz="0" w:space="0" w:color="auto"/>
        <w:left w:val="none" w:sz="0" w:space="0" w:color="auto"/>
        <w:bottom w:val="none" w:sz="0" w:space="0" w:color="auto"/>
        <w:right w:val="none" w:sz="0" w:space="0" w:color="auto"/>
      </w:divBdr>
    </w:div>
    <w:div w:id="695736646">
      <w:bodyDiv w:val="1"/>
      <w:marLeft w:val="0"/>
      <w:marRight w:val="0"/>
      <w:marTop w:val="0"/>
      <w:marBottom w:val="0"/>
      <w:divBdr>
        <w:top w:val="none" w:sz="0" w:space="0" w:color="auto"/>
        <w:left w:val="none" w:sz="0" w:space="0" w:color="auto"/>
        <w:bottom w:val="none" w:sz="0" w:space="0" w:color="auto"/>
        <w:right w:val="none" w:sz="0" w:space="0" w:color="auto"/>
      </w:divBdr>
      <w:divsChild>
        <w:div w:id="1966304104">
          <w:marLeft w:val="360"/>
          <w:marRight w:val="0"/>
          <w:marTop w:val="0"/>
          <w:marBottom w:val="0"/>
          <w:divBdr>
            <w:top w:val="none" w:sz="0" w:space="0" w:color="auto"/>
            <w:left w:val="none" w:sz="0" w:space="0" w:color="auto"/>
            <w:bottom w:val="none" w:sz="0" w:space="0" w:color="auto"/>
            <w:right w:val="none" w:sz="0" w:space="0" w:color="auto"/>
          </w:divBdr>
        </w:div>
      </w:divsChild>
    </w:div>
    <w:div w:id="755787697">
      <w:bodyDiv w:val="1"/>
      <w:marLeft w:val="0"/>
      <w:marRight w:val="0"/>
      <w:marTop w:val="0"/>
      <w:marBottom w:val="0"/>
      <w:divBdr>
        <w:top w:val="none" w:sz="0" w:space="0" w:color="auto"/>
        <w:left w:val="none" w:sz="0" w:space="0" w:color="auto"/>
        <w:bottom w:val="none" w:sz="0" w:space="0" w:color="auto"/>
        <w:right w:val="none" w:sz="0" w:space="0" w:color="auto"/>
      </w:divBdr>
    </w:div>
    <w:div w:id="786774719">
      <w:bodyDiv w:val="1"/>
      <w:marLeft w:val="0"/>
      <w:marRight w:val="0"/>
      <w:marTop w:val="0"/>
      <w:marBottom w:val="0"/>
      <w:divBdr>
        <w:top w:val="none" w:sz="0" w:space="0" w:color="auto"/>
        <w:left w:val="none" w:sz="0" w:space="0" w:color="auto"/>
        <w:bottom w:val="none" w:sz="0" w:space="0" w:color="auto"/>
        <w:right w:val="none" w:sz="0" w:space="0" w:color="auto"/>
      </w:divBdr>
      <w:divsChild>
        <w:div w:id="1704557837">
          <w:marLeft w:val="360"/>
          <w:marRight w:val="0"/>
          <w:marTop w:val="0"/>
          <w:marBottom w:val="0"/>
          <w:divBdr>
            <w:top w:val="none" w:sz="0" w:space="0" w:color="auto"/>
            <w:left w:val="none" w:sz="0" w:space="0" w:color="auto"/>
            <w:bottom w:val="none" w:sz="0" w:space="0" w:color="auto"/>
            <w:right w:val="none" w:sz="0" w:space="0" w:color="auto"/>
          </w:divBdr>
        </w:div>
        <w:div w:id="1490948739">
          <w:marLeft w:val="360"/>
          <w:marRight w:val="0"/>
          <w:marTop w:val="0"/>
          <w:marBottom w:val="0"/>
          <w:divBdr>
            <w:top w:val="none" w:sz="0" w:space="0" w:color="auto"/>
            <w:left w:val="none" w:sz="0" w:space="0" w:color="auto"/>
            <w:bottom w:val="none" w:sz="0" w:space="0" w:color="auto"/>
            <w:right w:val="none" w:sz="0" w:space="0" w:color="auto"/>
          </w:divBdr>
        </w:div>
        <w:div w:id="1268777536">
          <w:marLeft w:val="360"/>
          <w:marRight w:val="0"/>
          <w:marTop w:val="0"/>
          <w:marBottom w:val="0"/>
          <w:divBdr>
            <w:top w:val="none" w:sz="0" w:space="0" w:color="auto"/>
            <w:left w:val="none" w:sz="0" w:space="0" w:color="auto"/>
            <w:bottom w:val="none" w:sz="0" w:space="0" w:color="auto"/>
            <w:right w:val="none" w:sz="0" w:space="0" w:color="auto"/>
          </w:divBdr>
        </w:div>
        <w:div w:id="2107260990">
          <w:marLeft w:val="360"/>
          <w:marRight w:val="0"/>
          <w:marTop w:val="0"/>
          <w:marBottom w:val="0"/>
          <w:divBdr>
            <w:top w:val="none" w:sz="0" w:space="0" w:color="auto"/>
            <w:left w:val="none" w:sz="0" w:space="0" w:color="auto"/>
            <w:bottom w:val="none" w:sz="0" w:space="0" w:color="auto"/>
            <w:right w:val="none" w:sz="0" w:space="0" w:color="auto"/>
          </w:divBdr>
        </w:div>
      </w:divsChild>
    </w:div>
    <w:div w:id="829101545">
      <w:bodyDiv w:val="1"/>
      <w:marLeft w:val="0"/>
      <w:marRight w:val="0"/>
      <w:marTop w:val="0"/>
      <w:marBottom w:val="0"/>
      <w:divBdr>
        <w:top w:val="none" w:sz="0" w:space="0" w:color="auto"/>
        <w:left w:val="none" w:sz="0" w:space="0" w:color="auto"/>
        <w:bottom w:val="none" w:sz="0" w:space="0" w:color="auto"/>
        <w:right w:val="none" w:sz="0" w:space="0" w:color="auto"/>
      </w:divBdr>
    </w:div>
    <w:div w:id="832455454">
      <w:bodyDiv w:val="1"/>
      <w:marLeft w:val="0"/>
      <w:marRight w:val="0"/>
      <w:marTop w:val="0"/>
      <w:marBottom w:val="0"/>
      <w:divBdr>
        <w:top w:val="none" w:sz="0" w:space="0" w:color="auto"/>
        <w:left w:val="none" w:sz="0" w:space="0" w:color="auto"/>
        <w:bottom w:val="none" w:sz="0" w:space="0" w:color="auto"/>
        <w:right w:val="none" w:sz="0" w:space="0" w:color="auto"/>
      </w:divBdr>
    </w:div>
    <w:div w:id="834610574">
      <w:bodyDiv w:val="1"/>
      <w:marLeft w:val="0"/>
      <w:marRight w:val="0"/>
      <w:marTop w:val="0"/>
      <w:marBottom w:val="0"/>
      <w:divBdr>
        <w:top w:val="none" w:sz="0" w:space="0" w:color="auto"/>
        <w:left w:val="none" w:sz="0" w:space="0" w:color="auto"/>
        <w:bottom w:val="none" w:sz="0" w:space="0" w:color="auto"/>
        <w:right w:val="none" w:sz="0" w:space="0" w:color="auto"/>
      </w:divBdr>
    </w:div>
    <w:div w:id="854805742">
      <w:bodyDiv w:val="1"/>
      <w:marLeft w:val="0"/>
      <w:marRight w:val="0"/>
      <w:marTop w:val="0"/>
      <w:marBottom w:val="0"/>
      <w:divBdr>
        <w:top w:val="none" w:sz="0" w:space="0" w:color="auto"/>
        <w:left w:val="none" w:sz="0" w:space="0" w:color="auto"/>
        <w:bottom w:val="none" w:sz="0" w:space="0" w:color="auto"/>
        <w:right w:val="none" w:sz="0" w:space="0" w:color="auto"/>
      </w:divBdr>
      <w:divsChild>
        <w:div w:id="515313841">
          <w:marLeft w:val="0"/>
          <w:marRight w:val="0"/>
          <w:marTop w:val="0"/>
          <w:marBottom w:val="0"/>
          <w:divBdr>
            <w:top w:val="none" w:sz="0" w:space="0" w:color="auto"/>
            <w:left w:val="none" w:sz="0" w:space="0" w:color="auto"/>
            <w:bottom w:val="none" w:sz="0" w:space="0" w:color="auto"/>
            <w:right w:val="none" w:sz="0" w:space="0" w:color="auto"/>
          </w:divBdr>
        </w:div>
        <w:div w:id="1579708714">
          <w:marLeft w:val="0"/>
          <w:marRight w:val="0"/>
          <w:marTop w:val="0"/>
          <w:marBottom w:val="0"/>
          <w:divBdr>
            <w:top w:val="none" w:sz="0" w:space="0" w:color="auto"/>
            <w:left w:val="none" w:sz="0" w:space="0" w:color="auto"/>
            <w:bottom w:val="none" w:sz="0" w:space="0" w:color="auto"/>
            <w:right w:val="none" w:sz="0" w:space="0" w:color="auto"/>
          </w:divBdr>
        </w:div>
        <w:div w:id="1965428708">
          <w:marLeft w:val="0"/>
          <w:marRight w:val="0"/>
          <w:marTop w:val="0"/>
          <w:marBottom w:val="0"/>
          <w:divBdr>
            <w:top w:val="none" w:sz="0" w:space="0" w:color="auto"/>
            <w:left w:val="none" w:sz="0" w:space="0" w:color="auto"/>
            <w:bottom w:val="none" w:sz="0" w:space="0" w:color="auto"/>
            <w:right w:val="none" w:sz="0" w:space="0" w:color="auto"/>
          </w:divBdr>
        </w:div>
        <w:div w:id="679544633">
          <w:marLeft w:val="0"/>
          <w:marRight w:val="0"/>
          <w:marTop w:val="0"/>
          <w:marBottom w:val="0"/>
          <w:divBdr>
            <w:top w:val="none" w:sz="0" w:space="0" w:color="auto"/>
            <w:left w:val="none" w:sz="0" w:space="0" w:color="auto"/>
            <w:bottom w:val="none" w:sz="0" w:space="0" w:color="auto"/>
            <w:right w:val="none" w:sz="0" w:space="0" w:color="auto"/>
          </w:divBdr>
        </w:div>
        <w:div w:id="687026271">
          <w:marLeft w:val="0"/>
          <w:marRight w:val="0"/>
          <w:marTop w:val="0"/>
          <w:marBottom w:val="0"/>
          <w:divBdr>
            <w:top w:val="none" w:sz="0" w:space="0" w:color="auto"/>
            <w:left w:val="none" w:sz="0" w:space="0" w:color="auto"/>
            <w:bottom w:val="none" w:sz="0" w:space="0" w:color="auto"/>
            <w:right w:val="none" w:sz="0" w:space="0" w:color="auto"/>
          </w:divBdr>
        </w:div>
        <w:div w:id="911550992">
          <w:marLeft w:val="0"/>
          <w:marRight w:val="0"/>
          <w:marTop w:val="0"/>
          <w:marBottom w:val="0"/>
          <w:divBdr>
            <w:top w:val="none" w:sz="0" w:space="0" w:color="auto"/>
            <w:left w:val="none" w:sz="0" w:space="0" w:color="auto"/>
            <w:bottom w:val="none" w:sz="0" w:space="0" w:color="auto"/>
            <w:right w:val="none" w:sz="0" w:space="0" w:color="auto"/>
          </w:divBdr>
        </w:div>
        <w:div w:id="885409613">
          <w:marLeft w:val="0"/>
          <w:marRight w:val="0"/>
          <w:marTop w:val="0"/>
          <w:marBottom w:val="0"/>
          <w:divBdr>
            <w:top w:val="none" w:sz="0" w:space="0" w:color="auto"/>
            <w:left w:val="none" w:sz="0" w:space="0" w:color="auto"/>
            <w:bottom w:val="none" w:sz="0" w:space="0" w:color="auto"/>
            <w:right w:val="none" w:sz="0" w:space="0" w:color="auto"/>
          </w:divBdr>
        </w:div>
        <w:div w:id="1721006881">
          <w:marLeft w:val="0"/>
          <w:marRight w:val="0"/>
          <w:marTop w:val="0"/>
          <w:marBottom w:val="0"/>
          <w:divBdr>
            <w:top w:val="none" w:sz="0" w:space="0" w:color="auto"/>
            <w:left w:val="none" w:sz="0" w:space="0" w:color="auto"/>
            <w:bottom w:val="none" w:sz="0" w:space="0" w:color="auto"/>
            <w:right w:val="none" w:sz="0" w:space="0" w:color="auto"/>
          </w:divBdr>
        </w:div>
        <w:div w:id="1609464128">
          <w:marLeft w:val="0"/>
          <w:marRight w:val="0"/>
          <w:marTop w:val="0"/>
          <w:marBottom w:val="0"/>
          <w:divBdr>
            <w:top w:val="none" w:sz="0" w:space="0" w:color="auto"/>
            <w:left w:val="none" w:sz="0" w:space="0" w:color="auto"/>
            <w:bottom w:val="none" w:sz="0" w:space="0" w:color="auto"/>
            <w:right w:val="none" w:sz="0" w:space="0" w:color="auto"/>
          </w:divBdr>
        </w:div>
        <w:div w:id="804392443">
          <w:marLeft w:val="0"/>
          <w:marRight w:val="0"/>
          <w:marTop w:val="0"/>
          <w:marBottom w:val="0"/>
          <w:divBdr>
            <w:top w:val="none" w:sz="0" w:space="0" w:color="auto"/>
            <w:left w:val="none" w:sz="0" w:space="0" w:color="auto"/>
            <w:bottom w:val="none" w:sz="0" w:space="0" w:color="auto"/>
            <w:right w:val="none" w:sz="0" w:space="0" w:color="auto"/>
          </w:divBdr>
        </w:div>
        <w:div w:id="1963918794">
          <w:marLeft w:val="0"/>
          <w:marRight w:val="0"/>
          <w:marTop w:val="0"/>
          <w:marBottom w:val="0"/>
          <w:divBdr>
            <w:top w:val="none" w:sz="0" w:space="0" w:color="auto"/>
            <w:left w:val="none" w:sz="0" w:space="0" w:color="auto"/>
            <w:bottom w:val="none" w:sz="0" w:space="0" w:color="auto"/>
            <w:right w:val="none" w:sz="0" w:space="0" w:color="auto"/>
          </w:divBdr>
        </w:div>
        <w:div w:id="241067643">
          <w:marLeft w:val="0"/>
          <w:marRight w:val="0"/>
          <w:marTop w:val="0"/>
          <w:marBottom w:val="0"/>
          <w:divBdr>
            <w:top w:val="none" w:sz="0" w:space="0" w:color="auto"/>
            <w:left w:val="none" w:sz="0" w:space="0" w:color="auto"/>
            <w:bottom w:val="none" w:sz="0" w:space="0" w:color="auto"/>
            <w:right w:val="none" w:sz="0" w:space="0" w:color="auto"/>
          </w:divBdr>
        </w:div>
        <w:div w:id="536818976">
          <w:marLeft w:val="0"/>
          <w:marRight w:val="0"/>
          <w:marTop w:val="0"/>
          <w:marBottom w:val="0"/>
          <w:divBdr>
            <w:top w:val="none" w:sz="0" w:space="0" w:color="auto"/>
            <w:left w:val="none" w:sz="0" w:space="0" w:color="auto"/>
            <w:bottom w:val="none" w:sz="0" w:space="0" w:color="auto"/>
            <w:right w:val="none" w:sz="0" w:space="0" w:color="auto"/>
          </w:divBdr>
        </w:div>
        <w:div w:id="777215713">
          <w:marLeft w:val="0"/>
          <w:marRight w:val="0"/>
          <w:marTop w:val="0"/>
          <w:marBottom w:val="0"/>
          <w:divBdr>
            <w:top w:val="none" w:sz="0" w:space="0" w:color="auto"/>
            <w:left w:val="none" w:sz="0" w:space="0" w:color="auto"/>
            <w:bottom w:val="none" w:sz="0" w:space="0" w:color="auto"/>
            <w:right w:val="none" w:sz="0" w:space="0" w:color="auto"/>
          </w:divBdr>
        </w:div>
        <w:div w:id="1951621416">
          <w:marLeft w:val="0"/>
          <w:marRight w:val="0"/>
          <w:marTop w:val="0"/>
          <w:marBottom w:val="0"/>
          <w:divBdr>
            <w:top w:val="none" w:sz="0" w:space="0" w:color="auto"/>
            <w:left w:val="none" w:sz="0" w:space="0" w:color="auto"/>
            <w:bottom w:val="none" w:sz="0" w:space="0" w:color="auto"/>
            <w:right w:val="none" w:sz="0" w:space="0" w:color="auto"/>
          </w:divBdr>
        </w:div>
        <w:div w:id="1567179478">
          <w:marLeft w:val="0"/>
          <w:marRight w:val="0"/>
          <w:marTop w:val="0"/>
          <w:marBottom w:val="0"/>
          <w:divBdr>
            <w:top w:val="none" w:sz="0" w:space="0" w:color="auto"/>
            <w:left w:val="none" w:sz="0" w:space="0" w:color="auto"/>
            <w:bottom w:val="none" w:sz="0" w:space="0" w:color="auto"/>
            <w:right w:val="none" w:sz="0" w:space="0" w:color="auto"/>
          </w:divBdr>
        </w:div>
        <w:div w:id="981926873">
          <w:marLeft w:val="0"/>
          <w:marRight w:val="0"/>
          <w:marTop w:val="0"/>
          <w:marBottom w:val="0"/>
          <w:divBdr>
            <w:top w:val="none" w:sz="0" w:space="0" w:color="auto"/>
            <w:left w:val="none" w:sz="0" w:space="0" w:color="auto"/>
            <w:bottom w:val="none" w:sz="0" w:space="0" w:color="auto"/>
            <w:right w:val="none" w:sz="0" w:space="0" w:color="auto"/>
          </w:divBdr>
        </w:div>
        <w:div w:id="847326372">
          <w:marLeft w:val="0"/>
          <w:marRight w:val="0"/>
          <w:marTop w:val="0"/>
          <w:marBottom w:val="0"/>
          <w:divBdr>
            <w:top w:val="none" w:sz="0" w:space="0" w:color="auto"/>
            <w:left w:val="none" w:sz="0" w:space="0" w:color="auto"/>
            <w:bottom w:val="none" w:sz="0" w:space="0" w:color="auto"/>
            <w:right w:val="none" w:sz="0" w:space="0" w:color="auto"/>
          </w:divBdr>
        </w:div>
        <w:div w:id="464929502">
          <w:marLeft w:val="0"/>
          <w:marRight w:val="0"/>
          <w:marTop w:val="0"/>
          <w:marBottom w:val="0"/>
          <w:divBdr>
            <w:top w:val="none" w:sz="0" w:space="0" w:color="auto"/>
            <w:left w:val="none" w:sz="0" w:space="0" w:color="auto"/>
            <w:bottom w:val="none" w:sz="0" w:space="0" w:color="auto"/>
            <w:right w:val="none" w:sz="0" w:space="0" w:color="auto"/>
          </w:divBdr>
        </w:div>
        <w:div w:id="1567689694">
          <w:marLeft w:val="0"/>
          <w:marRight w:val="0"/>
          <w:marTop w:val="0"/>
          <w:marBottom w:val="0"/>
          <w:divBdr>
            <w:top w:val="none" w:sz="0" w:space="0" w:color="auto"/>
            <w:left w:val="none" w:sz="0" w:space="0" w:color="auto"/>
            <w:bottom w:val="none" w:sz="0" w:space="0" w:color="auto"/>
            <w:right w:val="none" w:sz="0" w:space="0" w:color="auto"/>
          </w:divBdr>
        </w:div>
        <w:div w:id="1624386573">
          <w:marLeft w:val="0"/>
          <w:marRight w:val="0"/>
          <w:marTop w:val="0"/>
          <w:marBottom w:val="0"/>
          <w:divBdr>
            <w:top w:val="none" w:sz="0" w:space="0" w:color="auto"/>
            <w:left w:val="none" w:sz="0" w:space="0" w:color="auto"/>
            <w:bottom w:val="none" w:sz="0" w:space="0" w:color="auto"/>
            <w:right w:val="none" w:sz="0" w:space="0" w:color="auto"/>
          </w:divBdr>
        </w:div>
        <w:div w:id="225723022">
          <w:marLeft w:val="0"/>
          <w:marRight w:val="0"/>
          <w:marTop w:val="0"/>
          <w:marBottom w:val="0"/>
          <w:divBdr>
            <w:top w:val="none" w:sz="0" w:space="0" w:color="auto"/>
            <w:left w:val="none" w:sz="0" w:space="0" w:color="auto"/>
            <w:bottom w:val="none" w:sz="0" w:space="0" w:color="auto"/>
            <w:right w:val="none" w:sz="0" w:space="0" w:color="auto"/>
          </w:divBdr>
        </w:div>
        <w:div w:id="1662926303">
          <w:marLeft w:val="0"/>
          <w:marRight w:val="0"/>
          <w:marTop w:val="0"/>
          <w:marBottom w:val="0"/>
          <w:divBdr>
            <w:top w:val="none" w:sz="0" w:space="0" w:color="auto"/>
            <w:left w:val="none" w:sz="0" w:space="0" w:color="auto"/>
            <w:bottom w:val="none" w:sz="0" w:space="0" w:color="auto"/>
            <w:right w:val="none" w:sz="0" w:space="0" w:color="auto"/>
          </w:divBdr>
        </w:div>
        <w:div w:id="735207396">
          <w:marLeft w:val="0"/>
          <w:marRight w:val="0"/>
          <w:marTop w:val="0"/>
          <w:marBottom w:val="0"/>
          <w:divBdr>
            <w:top w:val="none" w:sz="0" w:space="0" w:color="auto"/>
            <w:left w:val="none" w:sz="0" w:space="0" w:color="auto"/>
            <w:bottom w:val="none" w:sz="0" w:space="0" w:color="auto"/>
            <w:right w:val="none" w:sz="0" w:space="0" w:color="auto"/>
          </w:divBdr>
        </w:div>
        <w:div w:id="1634284285">
          <w:marLeft w:val="0"/>
          <w:marRight w:val="0"/>
          <w:marTop w:val="0"/>
          <w:marBottom w:val="0"/>
          <w:divBdr>
            <w:top w:val="none" w:sz="0" w:space="0" w:color="auto"/>
            <w:left w:val="none" w:sz="0" w:space="0" w:color="auto"/>
            <w:bottom w:val="none" w:sz="0" w:space="0" w:color="auto"/>
            <w:right w:val="none" w:sz="0" w:space="0" w:color="auto"/>
          </w:divBdr>
        </w:div>
        <w:div w:id="933827250">
          <w:marLeft w:val="0"/>
          <w:marRight w:val="0"/>
          <w:marTop w:val="0"/>
          <w:marBottom w:val="0"/>
          <w:divBdr>
            <w:top w:val="none" w:sz="0" w:space="0" w:color="auto"/>
            <w:left w:val="none" w:sz="0" w:space="0" w:color="auto"/>
            <w:bottom w:val="none" w:sz="0" w:space="0" w:color="auto"/>
            <w:right w:val="none" w:sz="0" w:space="0" w:color="auto"/>
          </w:divBdr>
        </w:div>
        <w:div w:id="1348673333">
          <w:marLeft w:val="0"/>
          <w:marRight w:val="0"/>
          <w:marTop w:val="0"/>
          <w:marBottom w:val="0"/>
          <w:divBdr>
            <w:top w:val="none" w:sz="0" w:space="0" w:color="auto"/>
            <w:left w:val="none" w:sz="0" w:space="0" w:color="auto"/>
            <w:bottom w:val="none" w:sz="0" w:space="0" w:color="auto"/>
            <w:right w:val="none" w:sz="0" w:space="0" w:color="auto"/>
          </w:divBdr>
        </w:div>
        <w:div w:id="1229417416">
          <w:marLeft w:val="0"/>
          <w:marRight w:val="0"/>
          <w:marTop w:val="0"/>
          <w:marBottom w:val="0"/>
          <w:divBdr>
            <w:top w:val="none" w:sz="0" w:space="0" w:color="auto"/>
            <w:left w:val="none" w:sz="0" w:space="0" w:color="auto"/>
            <w:bottom w:val="none" w:sz="0" w:space="0" w:color="auto"/>
            <w:right w:val="none" w:sz="0" w:space="0" w:color="auto"/>
          </w:divBdr>
        </w:div>
        <w:div w:id="116024256">
          <w:marLeft w:val="0"/>
          <w:marRight w:val="0"/>
          <w:marTop w:val="0"/>
          <w:marBottom w:val="0"/>
          <w:divBdr>
            <w:top w:val="none" w:sz="0" w:space="0" w:color="auto"/>
            <w:left w:val="none" w:sz="0" w:space="0" w:color="auto"/>
            <w:bottom w:val="none" w:sz="0" w:space="0" w:color="auto"/>
            <w:right w:val="none" w:sz="0" w:space="0" w:color="auto"/>
          </w:divBdr>
        </w:div>
        <w:div w:id="1378628498">
          <w:marLeft w:val="0"/>
          <w:marRight w:val="0"/>
          <w:marTop w:val="0"/>
          <w:marBottom w:val="0"/>
          <w:divBdr>
            <w:top w:val="none" w:sz="0" w:space="0" w:color="auto"/>
            <w:left w:val="none" w:sz="0" w:space="0" w:color="auto"/>
            <w:bottom w:val="none" w:sz="0" w:space="0" w:color="auto"/>
            <w:right w:val="none" w:sz="0" w:space="0" w:color="auto"/>
          </w:divBdr>
        </w:div>
        <w:div w:id="2002074138">
          <w:marLeft w:val="0"/>
          <w:marRight w:val="0"/>
          <w:marTop w:val="0"/>
          <w:marBottom w:val="0"/>
          <w:divBdr>
            <w:top w:val="none" w:sz="0" w:space="0" w:color="auto"/>
            <w:left w:val="none" w:sz="0" w:space="0" w:color="auto"/>
            <w:bottom w:val="none" w:sz="0" w:space="0" w:color="auto"/>
            <w:right w:val="none" w:sz="0" w:space="0" w:color="auto"/>
          </w:divBdr>
        </w:div>
        <w:div w:id="452755106">
          <w:marLeft w:val="0"/>
          <w:marRight w:val="0"/>
          <w:marTop w:val="0"/>
          <w:marBottom w:val="0"/>
          <w:divBdr>
            <w:top w:val="none" w:sz="0" w:space="0" w:color="auto"/>
            <w:left w:val="none" w:sz="0" w:space="0" w:color="auto"/>
            <w:bottom w:val="none" w:sz="0" w:space="0" w:color="auto"/>
            <w:right w:val="none" w:sz="0" w:space="0" w:color="auto"/>
          </w:divBdr>
        </w:div>
        <w:div w:id="1122381782">
          <w:marLeft w:val="0"/>
          <w:marRight w:val="0"/>
          <w:marTop w:val="0"/>
          <w:marBottom w:val="0"/>
          <w:divBdr>
            <w:top w:val="none" w:sz="0" w:space="0" w:color="auto"/>
            <w:left w:val="none" w:sz="0" w:space="0" w:color="auto"/>
            <w:bottom w:val="none" w:sz="0" w:space="0" w:color="auto"/>
            <w:right w:val="none" w:sz="0" w:space="0" w:color="auto"/>
          </w:divBdr>
        </w:div>
        <w:div w:id="1182544789">
          <w:marLeft w:val="0"/>
          <w:marRight w:val="0"/>
          <w:marTop w:val="0"/>
          <w:marBottom w:val="0"/>
          <w:divBdr>
            <w:top w:val="none" w:sz="0" w:space="0" w:color="auto"/>
            <w:left w:val="none" w:sz="0" w:space="0" w:color="auto"/>
            <w:bottom w:val="none" w:sz="0" w:space="0" w:color="auto"/>
            <w:right w:val="none" w:sz="0" w:space="0" w:color="auto"/>
          </w:divBdr>
        </w:div>
        <w:div w:id="1751847572">
          <w:marLeft w:val="0"/>
          <w:marRight w:val="0"/>
          <w:marTop w:val="0"/>
          <w:marBottom w:val="0"/>
          <w:divBdr>
            <w:top w:val="none" w:sz="0" w:space="0" w:color="auto"/>
            <w:left w:val="none" w:sz="0" w:space="0" w:color="auto"/>
            <w:bottom w:val="none" w:sz="0" w:space="0" w:color="auto"/>
            <w:right w:val="none" w:sz="0" w:space="0" w:color="auto"/>
          </w:divBdr>
        </w:div>
        <w:div w:id="1344473045">
          <w:marLeft w:val="0"/>
          <w:marRight w:val="0"/>
          <w:marTop w:val="0"/>
          <w:marBottom w:val="0"/>
          <w:divBdr>
            <w:top w:val="none" w:sz="0" w:space="0" w:color="auto"/>
            <w:left w:val="none" w:sz="0" w:space="0" w:color="auto"/>
            <w:bottom w:val="none" w:sz="0" w:space="0" w:color="auto"/>
            <w:right w:val="none" w:sz="0" w:space="0" w:color="auto"/>
          </w:divBdr>
        </w:div>
        <w:div w:id="2065256783">
          <w:marLeft w:val="0"/>
          <w:marRight w:val="0"/>
          <w:marTop w:val="0"/>
          <w:marBottom w:val="0"/>
          <w:divBdr>
            <w:top w:val="none" w:sz="0" w:space="0" w:color="auto"/>
            <w:left w:val="none" w:sz="0" w:space="0" w:color="auto"/>
            <w:bottom w:val="none" w:sz="0" w:space="0" w:color="auto"/>
            <w:right w:val="none" w:sz="0" w:space="0" w:color="auto"/>
          </w:divBdr>
        </w:div>
        <w:div w:id="1432505107">
          <w:marLeft w:val="0"/>
          <w:marRight w:val="0"/>
          <w:marTop w:val="0"/>
          <w:marBottom w:val="0"/>
          <w:divBdr>
            <w:top w:val="none" w:sz="0" w:space="0" w:color="auto"/>
            <w:left w:val="none" w:sz="0" w:space="0" w:color="auto"/>
            <w:bottom w:val="none" w:sz="0" w:space="0" w:color="auto"/>
            <w:right w:val="none" w:sz="0" w:space="0" w:color="auto"/>
          </w:divBdr>
        </w:div>
        <w:div w:id="620571290">
          <w:marLeft w:val="0"/>
          <w:marRight w:val="0"/>
          <w:marTop w:val="0"/>
          <w:marBottom w:val="0"/>
          <w:divBdr>
            <w:top w:val="none" w:sz="0" w:space="0" w:color="auto"/>
            <w:left w:val="none" w:sz="0" w:space="0" w:color="auto"/>
            <w:bottom w:val="none" w:sz="0" w:space="0" w:color="auto"/>
            <w:right w:val="none" w:sz="0" w:space="0" w:color="auto"/>
          </w:divBdr>
        </w:div>
        <w:div w:id="1575578503">
          <w:marLeft w:val="0"/>
          <w:marRight w:val="0"/>
          <w:marTop w:val="0"/>
          <w:marBottom w:val="0"/>
          <w:divBdr>
            <w:top w:val="none" w:sz="0" w:space="0" w:color="auto"/>
            <w:left w:val="none" w:sz="0" w:space="0" w:color="auto"/>
            <w:bottom w:val="none" w:sz="0" w:space="0" w:color="auto"/>
            <w:right w:val="none" w:sz="0" w:space="0" w:color="auto"/>
          </w:divBdr>
        </w:div>
        <w:div w:id="1231036377">
          <w:marLeft w:val="0"/>
          <w:marRight w:val="0"/>
          <w:marTop w:val="0"/>
          <w:marBottom w:val="0"/>
          <w:divBdr>
            <w:top w:val="none" w:sz="0" w:space="0" w:color="auto"/>
            <w:left w:val="none" w:sz="0" w:space="0" w:color="auto"/>
            <w:bottom w:val="none" w:sz="0" w:space="0" w:color="auto"/>
            <w:right w:val="none" w:sz="0" w:space="0" w:color="auto"/>
          </w:divBdr>
        </w:div>
        <w:div w:id="1462188347">
          <w:marLeft w:val="0"/>
          <w:marRight w:val="0"/>
          <w:marTop w:val="0"/>
          <w:marBottom w:val="0"/>
          <w:divBdr>
            <w:top w:val="none" w:sz="0" w:space="0" w:color="auto"/>
            <w:left w:val="none" w:sz="0" w:space="0" w:color="auto"/>
            <w:bottom w:val="none" w:sz="0" w:space="0" w:color="auto"/>
            <w:right w:val="none" w:sz="0" w:space="0" w:color="auto"/>
          </w:divBdr>
        </w:div>
        <w:div w:id="480082654">
          <w:marLeft w:val="0"/>
          <w:marRight w:val="0"/>
          <w:marTop w:val="0"/>
          <w:marBottom w:val="0"/>
          <w:divBdr>
            <w:top w:val="none" w:sz="0" w:space="0" w:color="auto"/>
            <w:left w:val="none" w:sz="0" w:space="0" w:color="auto"/>
            <w:bottom w:val="none" w:sz="0" w:space="0" w:color="auto"/>
            <w:right w:val="none" w:sz="0" w:space="0" w:color="auto"/>
          </w:divBdr>
        </w:div>
        <w:div w:id="1263688073">
          <w:marLeft w:val="0"/>
          <w:marRight w:val="0"/>
          <w:marTop w:val="0"/>
          <w:marBottom w:val="0"/>
          <w:divBdr>
            <w:top w:val="none" w:sz="0" w:space="0" w:color="auto"/>
            <w:left w:val="none" w:sz="0" w:space="0" w:color="auto"/>
            <w:bottom w:val="none" w:sz="0" w:space="0" w:color="auto"/>
            <w:right w:val="none" w:sz="0" w:space="0" w:color="auto"/>
          </w:divBdr>
        </w:div>
        <w:div w:id="1861427439">
          <w:marLeft w:val="0"/>
          <w:marRight w:val="0"/>
          <w:marTop w:val="0"/>
          <w:marBottom w:val="0"/>
          <w:divBdr>
            <w:top w:val="none" w:sz="0" w:space="0" w:color="auto"/>
            <w:left w:val="none" w:sz="0" w:space="0" w:color="auto"/>
            <w:bottom w:val="none" w:sz="0" w:space="0" w:color="auto"/>
            <w:right w:val="none" w:sz="0" w:space="0" w:color="auto"/>
          </w:divBdr>
        </w:div>
        <w:div w:id="58552491">
          <w:marLeft w:val="0"/>
          <w:marRight w:val="0"/>
          <w:marTop w:val="0"/>
          <w:marBottom w:val="0"/>
          <w:divBdr>
            <w:top w:val="none" w:sz="0" w:space="0" w:color="auto"/>
            <w:left w:val="none" w:sz="0" w:space="0" w:color="auto"/>
            <w:bottom w:val="none" w:sz="0" w:space="0" w:color="auto"/>
            <w:right w:val="none" w:sz="0" w:space="0" w:color="auto"/>
          </w:divBdr>
        </w:div>
        <w:div w:id="1753309387">
          <w:marLeft w:val="0"/>
          <w:marRight w:val="0"/>
          <w:marTop w:val="0"/>
          <w:marBottom w:val="0"/>
          <w:divBdr>
            <w:top w:val="none" w:sz="0" w:space="0" w:color="auto"/>
            <w:left w:val="none" w:sz="0" w:space="0" w:color="auto"/>
            <w:bottom w:val="none" w:sz="0" w:space="0" w:color="auto"/>
            <w:right w:val="none" w:sz="0" w:space="0" w:color="auto"/>
          </w:divBdr>
        </w:div>
        <w:div w:id="1807501041">
          <w:marLeft w:val="0"/>
          <w:marRight w:val="0"/>
          <w:marTop w:val="0"/>
          <w:marBottom w:val="0"/>
          <w:divBdr>
            <w:top w:val="none" w:sz="0" w:space="0" w:color="auto"/>
            <w:left w:val="none" w:sz="0" w:space="0" w:color="auto"/>
            <w:bottom w:val="none" w:sz="0" w:space="0" w:color="auto"/>
            <w:right w:val="none" w:sz="0" w:space="0" w:color="auto"/>
          </w:divBdr>
        </w:div>
        <w:div w:id="720591123">
          <w:marLeft w:val="0"/>
          <w:marRight w:val="0"/>
          <w:marTop w:val="0"/>
          <w:marBottom w:val="0"/>
          <w:divBdr>
            <w:top w:val="none" w:sz="0" w:space="0" w:color="auto"/>
            <w:left w:val="none" w:sz="0" w:space="0" w:color="auto"/>
            <w:bottom w:val="none" w:sz="0" w:space="0" w:color="auto"/>
            <w:right w:val="none" w:sz="0" w:space="0" w:color="auto"/>
          </w:divBdr>
        </w:div>
        <w:div w:id="1244297150">
          <w:marLeft w:val="0"/>
          <w:marRight w:val="0"/>
          <w:marTop w:val="0"/>
          <w:marBottom w:val="0"/>
          <w:divBdr>
            <w:top w:val="none" w:sz="0" w:space="0" w:color="auto"/>
            <w:left w:val="none" w:sz="0" w:space="0" w:color="auto"/>
            <w:bottom w:val="none" w:sz="0" w:space="0" w:color="auto"/>
            <w:right w:val="none" w:sz="0" w:space="0" w:color="auto"/>
          </w:divBdr>
        </w:div>
        <w:div w:id="1597051567">
          <w:marLeft w:val="0"/>
          <w:marRight w:val="0"/>
          <w:marTop w:val="0"/>
          <w:marBottom w:val="0"/>
          <w:divBdr>
            <w:top w:val="none" w:sz="0" w:space="0" w:color="auto"/>
            <w:left w:val="none" w:sz="0" w:space="0" w:color="auto"/>
            <w:bottom w:val="none" w:sz="0" w:space="0" w:color="auto"/>
            <w:right w:val="none" w:sz="0" w:space="0" w:color="auto"/>
          </w:divBdr>
        </w:div>
        <w:div w:id="1336107087">
          <w:marLeft w:val="0"/>
          <w:marRight w:val="0"/>
          <w:marTop w:val="0"/>
          <w:marBottom w:val="0"/>
          <w:divBdr>
            <w:top w:val="none" w:sz="0" w:space="0" w:color="auto"/>
            <w:left w:val="none" w:sz="0" w:space="0" w:color="auto"/>
            <w:bottom w:val="none" w:sz="0" w:space="0" w:color="auto"/>
            <w:right w:val="none" w:sz="0" w:space="0" w:color="auto"/>
          </w:divBdr>
        </w:div>
        <w:div w:id="1670907690">
          <w:marLeft w:val="0"/>
          <w:marRight w:val="0"/>
          <w:marTop w:val="0"/>
          <w:marBottom w:val="0"/>
          <w:divBdr>
            <w:top w:val="none" w:sz="0" w:space="0" w:color="auto"/>
            <w:left w:val="none" w:sz="0" w:space="0" w:color="auto"/>
            <w:bottom w:val="none" w:sz="0" w:space="0" w:color="auto"/>
            <w:right w:val="none" w:sz="0" w:space="0" w:color="auto"/>
          </w:divBdr>
        </w:div>
        <w:div w:id="1789272460">
          <w:marLeft w:val="0"/>
          <w:marRight w:val="0"/>
          <w:marTop w:val="0"/>
          <w:marBottom w:val="0"/>
          <w:divBdr>
            <w:top w:val="none" w:sz="0" w:space="0" w:color="auto"/>
            <w:left w:val="none" w:sz="0" w:space="0" w:color="auto"/>
            <w:bottom w:val="none" w:sz="0" w:space="0" w:color="auto"/>
            <w:right w:val="none" w:sz="0" w:space="0" w:color="auto"/>
          </w:divBdr>
        </w:div>
        <w:div w:id="434131660">
          <w:marLeft w:val="0"/>
          <w:marRight w:val="0"/>
          <w:marTop w:val="0"/>
          <w:marBottom w:val="0"/>
          <w:divBdr>
            <w:top w:val="none" w:sz="0" w:space="0" w:color="auto"/>
            <w:left w:val="none" w:sz="0" w:space="0" w:color="auto"/>
            <w:bottom w:val="none" w:sz="0" w:space="0" w:color="auto"/>
            <w:right w:val="none" w:sz="0" w:space="0" w:color="auto"/>
          </w:divBdr>
        </w:div>
        <w:div w:id="177739511">
          <w:marLeft w:val="0"/>
          <w:marRight w:val="0"/>
          <w:marTop w:val="0"/>
          <w:marBottom w:val="0"/>
          <w:divBdr>
            <w:top w:val="none" w:sz="0" w:space="0" w:color="auto"/>
            <w:left w:val="none" w:sz="0" w:space="0" w:color="auto"/>
            <w:bottom w:val="none" w:sz="0" w:space="0" w:color="auto"/>
            <w:right w:val="none" w:sz="0" w:space="0" w:color="auto"/>
          </w:divBdr>
        </w:div>
        <w:div w:id="367099820">
          <w:marLeft w:val="0"/>
          <w:marRight w:val="0"/>
          <w:marTop w:val="0"/>
          <w:marBottom w:val="0"/>
          <w:divBdr>
            <w:top w:val="none" w:sz="0" w:space="0" w:color="auto"/>
            <w:left w:val="none" w:sz="0" w:space="0" w:color="auto"/>
            <w:bottom w:val="none" w:sz="0" w:space="0" w:color="auto"/>
            <w:right w:val="none" w:sz="0" w:space="0" w:color="auto"/>
          </w:divBdr>
        </w:div>
        <w:div w:id="421611215">
          <w:marLeft w:val="0"/>
          <w:marRight w:val="0"/>
          <w:marTop w:val="0"/>
          <w:marBottom w:val="0"/>
          <w:divBdr>
            <w:top w:val="none" w:sz="0" w:space="0" w:color="auto"/>
            <w:left w:val="none" w:sz="0" w:space="0" w:color="auto"/>
            <w:bottom w:val="none" w:sz="0" w:space="0" w:color="auto"/>
            <w:right w:val="none" w:sz="0" w:space="0" w:color="auto"/>
          </w:divBdr>
        </w:div>
        <w:div w:id="165902407">
          <w:marLeft w:val="0"/>
          <w:marRight w:val="0"/>
          <w:marTop w:val="0"/>
          <w:marBottom w:val="0"/>
          <w:divBdr>
            <w:top w:val="none" w:sz="0" w:space="0" w:color="auto"/>
            <w:left w:val="none" w:sz="0" w:space="0" w:color="auto"/>
            <w:bottom w:val="none" w:sz="0" w:space="0" w:color="auto"/>
            <w:right w:val="none" w:sz="0" w:space="0" w:color="auto"/>
          </w:divBdr>
        </w:div>
        <w:div w:id="1962420799">
          <w:marLeft w:val="0"/>
          <w:marRight w:val="0"/>
          <w:marTop w:val="0"/>
          <w:marBottom w:val="0"/>
          <w:divBdr>
            <w:top w:val="none" w:sz="0" w:space="0" w:color="auto"/>
            <w:left w:val="none" w:sz="0" w:space="0" w:color="auto"/>
            <w:bottom w:val="none" w:sz="0" w:space="0" w:color="auto"/>
            <w:right w:val="none" w:sz="0" w:space="0" w:color="auto"/>
          </w:divBdr>
        </w:div>
        <w:div w:id="1103570445">
          <w:marLeft w:val="0"/>
          <w:marRight w:val="0"/>
          <w:marTop w:val="0"/>
          <w:marBottom w:val="0"/>
          <w:divBdr>
            <w:top w:val="none" w:sz="0" w:space="0" w:color="auto"/>
            <w:left w:val="none" w:sz="0" w:space="0" w:color="auto"/>
            <w:bottom w:val="none" w:sz="0" w:space="0" w:color="auto"/>
            <w:right w:val="none" w:sz="0" w:space="0" w:color="auto"/>
          </w:divBdr>
        </w:div>
        <w:div w:id="1468668815">
          <w:marLeft w:val="0"/>
          <w:marRight w:val="0"/>
          <w:marTop w:val="0"/>
          <w:marBottom w:val="0"/>
          <w:divBdr>
            <w:top w:val="none" w:sz="0" w:space="0" w:color="auto"/>
            <w:left w:val="none" w:sz="0" w:space="0" w:color="auto"/>
            <w:bottom w:val="none" w:sz="0" w:space="0" w:color="auto"/>
            <w:right w:val="none" w:sz="0" w:space="0" w:color="auto"/>
          </w:divBdr>
        </w:div>
        <w:div w:id="1058358829">
          <w:marLeft w:val="0"/>
          <w:marRight w:val="0"/>
          <w:marTop w:val="0"/>
          <w:marBottom w:val="0"/>
          <w:divBdr>
            <w:top w:val="none" w:sz="0" w:space="0" w:color="auto"/>
            <w:left w:val="none" w:sz="0" w:space="0" w:color="auto"/>
            <w:bottom w:val="none" w:sz="0" w:space="0" w:color="auto"/>
            <w:right w:val="none" w:sz="0" w:space="0" w:color="auto"/>
          </w:divBdr>
        </w:div>
        <w:div w:id="1316908009">
          <w:marLeft w:val="0"/>
          <w:marRight w:val="0"/>
          <w:marTop w:val="0"/>
          <w:marBottom w:val="0"/>
          <w:divBdr>
            <w:top w:val="none" w:sz="0" w:space="0" w:color="auto"/>
            <w:left w:val="none" w:sz="0" w:space="0" w:color="auto"/>
            <w:bottom w:val="none" w:sz="0" w:space="0" w:color="auto"/>
            <w:right w:val="none" w:sz="0" w:space="0" w:color="auto"/>
          </w:divBdr>
        </w:div>
        <w:div w:id="73936190">
          <w:marLeft w:val="0"/>
          <w:marRight w:val="0"/>
          <w:marTop w:val="0"/>
          <w:marBottom w:val="0"/>
          <w:divBdr>
            <w:top w:val="none" w:sz="0" w:space="0" w:color="auto"/>
            <w:left w:val="none" w:sz="0" w:space="0" w:color="auto"/>
            <w:bottom w:val="none" w:sz="0" w:space="0" w:color="auto"/>
            <w:right w:val="none" w:sz="0" w:space="0" w:color="auto"/>
          </w:divBdr>
        </w:div>
        <w:div w:id="1117219388">
          <w:marLeft w:val="0"/>
          <w:marRight w:val="0"/>
          <w:marTop w:val="0"/>
          <w:marBottom w:val="0"/>
          <w:divBdr>
            <w:top w:val="none" w:sz="0" w:space="0" w:color="auto"/>
            <w:left w:val="none" w:sz="0" w:space="0" w:color="auto"/>
            <w:bottom w:val="none" w:sz="0" w:space="0" w:color="auto"/>
            <w:right w:val="none" w:sz="0" w:space="0" w:color="auto"/>
          </w:divBdr>
        </w:div>
        <w:div w:id="811022741">
          <w:marLeft w:val="0"/>
          <w:marRight w:val="0"/>
          <w:marTop w:val="0"/>
          <w:marBottom w:val="0"/>
          <w:divBdr>
            <w:top w:val="none" w:sz="0" w:space="0" w:color="auto"/>
            <w:left w:val="none" w:sz="0" w:space="0" w:color="auto"/>
            <w:bottom w:val="none" w:sz="0" w:space="0" w:color="auto"/>
            <w:right w:val="none" w:sz="0" w:space="0" w:color="auto"/>
          </w:divBdr>
        </w:div>
        <w:div w:id="542863210">
          <w:marLeft w:val="0"/>
          <w:marRight w:val="0"/>
          <w:marTop w:val="0"/>
          <w:marBottom w:val="0"/>
          <w:divBdr>
            <w:top w:val="none" w:sz="0" w:space="0" w:color="auto"/>
            <w:left w:val="none" w:sz="0" w:space="0" w:color="auto"/>
            <w:bottom w:val="none" w:sz="0" w:space="0" w:color="auto"/>
            <w:right w:val="none" w:sz="0" w:space="0" w:color="auto"/>
          </w:divBdr>
        </w:div>
        <w:div w:id="1807549827">
          <w:marLeft w:val="0"/>
          <w:marRight w:val="0"/>
          <w:marTop w:val="0"/>
          <w:marBottom w:val="0"/>
          <w:divBdr>
            <w:top w:val="none" w:sz="0" w:space="0" w:color="auto"/>
            <w:left w:val="none" w:sz="0" w:space="0" w:color="auto"/>
            <w:bottom w:val="none" w:sz="0" w:space="0" w:color="auto"/>
            <w:right w:val="none" w:sz="0" w:space="0" w:color="auto"/>
          </w:divBdr>
        </w:div>
        <w:div w:id="2026789107">
          <w:marLeft w:val="0"/>
          <w:marRight w:val="0"/>
          <w:marTop w:val="0"/>
          <w:marBottom w:val="0"/>
          <w:divBdr>
            <w:top w:val="none" w:sz="0" w:space="0" w:color="auto"/>
            <w:left w:val="none" w:sz="0" w:space="0" w:color="auto"/>
            <w:bottom w:val="none" w:sz="0" w:space="0" w:color="auto"/>
            <w:right w:val="none" w:sz="0" w:space="0" w:color="auto"/>
          </w:divBdr>
        </w:div>
        <w:div w:id="196283186">
          <w:marLeft w:val="0"/>
          <w:marRight w:val="0"/>
          <w:marTop w:val="0"/>
          <w:marBottom w:val="0"/>
          <w:divBdr>
            <w:top w:val="none" w:sz="0" w:space="0" w:color="auto"/>
            <w:left w:val="none" w:sz="0" w:space="0" w:color="auto"/>
            <w:bottom w:val="none" w:sz="0" w:space="0" w:color="auto"/>
            <w:right w:val="none" w:sz="0" w:space="0" w:color="auto"/>
          </w:divBdr>
        </w:div>
        <w:div w:id="2116755160">
          <w:marLeft w:val="0"/>
          <w:marRight w:val="0"/>
          <w:marTop w:val="0"/>
          <w:marBottom w:val="0"/>
          <w:divBdr>
            <w:top w:val="none" w:sz="0" w:space="0" w:color="auto"/>
            <w:left w:val="none" w:sz="0" w:space="0" w:color="auto"/>
            <w:bottom w:val="none" w:sz="0" w:space="0" w:color="auto"/>
            <w:right w:val="none" w:sz="0" w:space="0" w:color="auto"/>
          </w:divBdr>
        </w:div>
        <w:div w:id="1520508768">
          <w:marLeft w:val="0"/>
          <w:marRight w:val="0"/>
          <w:marTop w:val="0"/>
          <w:marBottom w:val="0"/>
          <w:divBdr>
            <w:top w:val="none" w:sz="0" w:space="0" w:color="auto"/>
            <w:left w:val="none" w:sz="0" w:space="0" w:color="auto"/>
            <w:bottom w:val="none" w:sz="0" w:space="0" w:color="auto"/>
            <w:right w:val="none" w:sz="0" w:space="0" w:color="auto"/>
          </w:divBdr>
        </w:div>
        <w:div w:id="971400835">
          <w:marLeft w:val="0"/>
          <w:marRight w:val="0"/>
          <w:marTop w:val="0"/>
          <w:marBottom w:val="0"/>
          <w:divBdr>
            <w:top w:val="none" w:sz="0" w:space="0" w:color="auto"/>
            <w:left w:val="none" w:sz="0" w:space="0" w:color="auto"/>
            <w:bottom w:val="none" w:sz="0" w:space="0" w:color="auto"/>
            <w:right w:val="none" w:sz="0" w:space="0" w:color="auto"/>
          </w:divBdr>
        </w:div>
        <w:div w:id="1598369298">
          <w:marLeft w:val="0"/>
          <w:marRight w:val="0"/>
          <w:marTop w:val="0"/>
          <w:marBottom w:val="0"/>
          <w:divBdr>
            <w:top w:val="none" w:sz="0" w:space="0" w:color="auto"/>
            <w:left w:val="none" w:sz="0" w:space="0" w:color="auto"/>
            <w:bottom w:val="none" w:sz="0" w:space="0" w:color="auto"/>
            <w:right w:val="none" w:sz="0" w:space="0" w:color="auto"/>
          </w:divBdr>
        </w:div>
        <w:div w:id="104807944">
          <w:marLeft w:val="0"/>
          <w:marRight w:val="0"/>
          <w:marTop w:val="0"/>
          <w:marBottom w:val="0"/>
          <w:divBdr>
            <w:top w:val="none" w:sz="0" w:space="0" w:color="auto"/>
            <w:left w:val="none" w:sz="0" w:space="0" w:color="auto"/>
            <w:bottom w:val="none" w:sz="0" w:space="0" w:color="auto"/>
            <w:right w:val="none" w:sz="0" w:space="0" w:color="auto"/>
          </w:divBdr>
        </w:div>
        <w:div w:id="1087964778">
          <w:marLeft w:val="0"/>
          <w:marRight w:val="0"/>
          <w:marTop w:val="0"/>
          <w:marBottom w:val="0"/>
          <w:divBdr>
            <w:top w:val="none" w:sz="0" w:space="0" w:color="auto"/>
            <w:left w:val="none" w:sz="0" w:space="0" w:color="auto"/>
            <w:bottom w:val="none" w:sz="0" w:space="0" w:color="auto"/>
            <w:right w:val="none" w:sz="0" w:space="0" w:color="auto"/>
          </w:divBdr>
        </w:div>
        <w:div w:id="697582895">
          <w:marLeft w:val="0"/>
          <w:marRight w:val="0"/>
          <w:marTop w:val="0"/>
          <w:marBottom w:val="0"/>
          <w:divBdr>
            <w:top w:val="none" w:sz="0" w:space="0" w:color="auto"/>
            <w:left w:val="none" w:sz="0" w:space="0" w:color="auto"/>
            <w:bottom w:val="none" w:sz="0" w:space="0" w:color="auto"/>
            <w:right w:val="none" w:sz="0" w:space="0" w:color="auto"/>
          </w:divBdr>
        </w:div>
      </w:divsChild>
    </w:div>
    <w:div w:id="869412395">
      <w:bodyDiv w:val="1"/>
      <w:marLeft w:val="0"/>
      <w:marRight w:val="0"/>
      <w:marTop w:val="0"/>
      <w:marBottom w:val="0"/>
      <w:divBdr>
        <w:top w:val="none" w:sz="0" w:space="0" w:color="auto"/>
        <w:left w:val="none" w:sz="0" w:space="0" w:color="auto"/>
        <w:bottom w:val="none" w:sz="0" w:space="0" w:color="auto"/>
        <w:right w:val="none" w:sz="0" w:space="0" w:color="auto"/>
      </w:divBdr>
    </w:div>
    <w:div w:id="879903582">
      <w:bodyDiv w:val="1"/>
      <w:marLeft w:val="0"/>
      <w:marRight w:val="0"/>
      <w:marTop w:val="0"/>
      <w:marBottom w:val="0"/>
      <w:divBdr>
        <w:top w:val="none" w:sz="0" w:space="0" w:color="auto"/>
        <w:left w:val="none" w:sz="0" w:space="0" w:color="auto"/>
        <w:bottom w:val="none" w:sz="0" w:space="0" w:color="auto"/>
        <w:right w:val="none" w:sz="0" w:space="0" w:color="auto"/>
      </w:divBdr>
    </w:div>
    <w:div w:id="924531013">
      <w:bodyDiv w:val="1"/>
      <w:marLeft w:val="0"/>
      <w:marRight w:val="0"/>
      <w:marTop w:val="0"/>
      <w:marBottom w:val="0"/>
      <w:divBdr>
        <w:top w:val="none" w:sz="0" w:space="0" w:color="auto"/>
        <w:left w:val="none" w:sz="0" w:space="0" w:color="auto"/>
        <w:bottom w:val="none" w:sz="0" w:space="0" w:color="auto"/>
        <w:right w:val="none" w:sz="0" w:space="0" w:color="auto"/>
      </w:divBdr>
    </w:div>
    <w:div w:id="949513534">
      <w:bodyDiv w:val="1"/>
      <w:marLeft w:val="0"/>
      <w:marRight w:val="0"/>
      <w:marTop w:val="0"/>
      <w:marBottom w:val="0"/>
      <w:divBdr>
        <w:top w:val="none" w:sz="0" w:space="0" w:color="auto"/>
        <w:left w:val="none" w:sz="0" w:space="0" w:color="auto"/>
        <w:bottom w:val="none" w:sz="0" w:space="0" w:color="auto"/>
        <w:right w:val="none" w:sz="0" w:space="0" w:color="auto"/>
      </w:divBdr>
      <w:divsChild>
        <w:div w:id="674960860">
          <w:marLeft w:val="360"/>
          <w:marRight w:val="0"/>
          <w:marTop w:val="0"/>
          <w:marBottom w:val="0"/>
          <w:divBdr>
            <w:top w:val="none" w:sz="0" w:space="0" w:color="auto"/>
            <w:left w:val="none" w:sz="0" w:space="0" w:color="auto"/>
            <w:bottom w:val="none" w:sz="0" w:space="0" w:color="auto"/>
            <w:right w:val="none" w:sz="0" w:space="0" w:color="auto"/>
          </w:divBdr>
        </w:div>
        <w:div w:id="1539322256">
          <w:marLeft w:val="360"/>
          <w:marRight w:val="0"/>
          <w:marTop w:val="0"/>
          <w:marBottom w:val="0"/>
          <w:divBdr>
            <w:top w:val="none" w:sz="0" w:space="0" w:color="auto"/>
            <w:left w:val="none" w:sz="0" w:space="0" w:color="auto"/>
            <w:bottom w:val="none" w:sz="0" w:space="0" w:color="auto"/>
            <w:right w:val="none" w:sz="0" w:space="0" w:color="auto"/>
          </w:divBdr>
        </w:div>
        <w:div w:id="1405369947">
          <w:marLeft w:val="360"/>
          <w:marRight w:val="0"/>
          <w:marTop w:val="0"/>
          <w:marBottom w:val="0"/>
          <w:divBdr>
            <w:top w:val="none" w:sz="0" w:space="0" w:color="auto"/>
            <w:left w:val="none" w:sz="0" w:space="0" w:color="auto"/>
            <w:bottom w:val="none" w:sz="0" w:space="0" w:color="auto"/>
            <w:right w:val="none" w:sz="0" w:space="0" w:color="auto"/>
          </w:divBdr>
        </w:div>
        <w:div w:id="1651865436">
          <w:marLeft w:val="360"/>
          <w:marRight w:val="0"/>
          <w:marTop w:val="0"/>
          <w:marBottom w:val="0"/>
          <w:divBdr>
            <w:top w:val="none" w:sz="0" w:space="0" w:color="auto"/>
            <w:left w:val="none" w:sz="0" w:space="0" w:color="auto"/>
            <w:bottom w:val="none" w:sz="0" w:space="0" w:color="auto"/>
            <w:right w:val="none" w:sz="0" w:space="0" w:color="auto"/>
          </w:divBdr>
        </w:div>
      </w:divsChild>
    </w:div>
    <w:div w:id="985889231">
      <w:bodyDiv w:val="1"/>
      <w:marLeft w:val="0"/>
      <w:marRight w:val="0"/>
      <w:marTop w:val="0"/>
      <w:marBottom w:val="0"/>
      <w:divBdr>
        <w:top w:val="none" w:sz="0" w:space="0" w:color="auto"/>
        <w:left w:val="none" w:sz="0" w:space="0" w:color="auto"/>
        <w:bottom w:val="none" w:sz="0" w:space="0" w:color="auto"/>
        <w:right w:val="none" w:sz="0" w:space="0" w:color="auto"/>
      </w:divBdr>
    </w:div>
    <w:div w:id="991713028">
      <w:bodyDiv w:val="1"/>
      <w:marLeft w:val="0"/>
      <w:marRight w:val="0"/>
      <w:marTop w:val="0"/>
      <w:marBottom w:val="0"/>
      <w:divBdr>
        <w:top w:val="none" w:sz="0" w:space="0" w:color="auto"/>
        <w:left w:val="none" w:sz="0" w:space="0" w:color="auto"/>
        <w:bottom w:val="none" w:sz="0" w:space="0" w:color="auto"/>
        <w:right w:val="none" w:sz="0" w:space="0" w:color="auto"/>
      </w:divBdr>
    </w:div>
    <w:div w:id="1011295317">
      <w:bodyDiv w:val="1"/>
      <w:marLeft w:val="0"/>
      <w:marRight w:val="0"/>
      <w:marTop w:val="0"/>
      <w:marBottom w:val="0"/>
      <w:divBdr>
        <w:top w:val="none" w:sz="0" w:space="0" w:color="auto"/>
        <w:left w:val="none" w:sz="0" w:space="0" w:color="auto"/>
        <w:bottom w:val="none" w:sz="0" w:space="0" w:color="auto"/>
        <w:right w:val="none" w:sz="0" w:space="0" w:color="auto"/>
      </w:divBdr>
    </w:div>
    <w:div w:id="1034428925">
      <w:bodyDiv w:val="1"/>
      <w:marLeft w:val="0"/>
      <w:marRight w:val="0"/>
      <w:marTop w:val="0"/>
      <w:marBottom w:val="0"/>
      <w:divBdr>
        <w:top w:val="none" w:sz="0" w:space="0" w:color="auto"/>
        <w:left w:val="none" w:sz="0" w:space="0" w:color="auto"/>
        <w:bottom w:val="none" w:sz="0" w:space="0" w:color="auto"/>
        <w:right w:val="none" w:sz="0" w:space="0" w:color="auto"/>
      </w:divBdr>
    </w:div>
    <w:div w:id="1034578085">
      <w:bodyDiv w:val="1"/>
      <w:marLeft w:val="0"/>
      <w:marRight w:val="0"/>
      <w:marTop w:val="0"/>
      <w:marBottom w:val="0"/>
      <w:divBdr>
        <w:top w:val="none" w:sz="0" w:space="0" w:color="auto"/>
        <w:left w:val="none" w:sz="0" w:space="0" w:color="auto"/>
        <w:bottom w:val="none" w:sz="0" w:space="0" w:color="auto"/>
        <w:right w:val="none" w:sz="0" w:space="0" w:color="auto"/>
      </w:divBdr>
    </w:div>
    <w:div w:id="1044479762">
      <w:bodyDiv w:val="1"/>
      <w:marLeft w:val="0"/>
      <w:marRight w:val="0"/>
      <w:marTop w:val="0"/>
      <w:marBottom w:val="0"/>
      <w:divBdr>
        <w:top w:val="none" w:sz="0" w:space="0" w:color="auto"/>
        <w:left w:val="none" w:sz="0" w:space="0" w:color="auto"/>
        <w:bottom w:val="none" w:sz="0" w:space="0" w:color="auto"/>
        <w:right w:val="none" w:sz="0" w:space="0" w:color="auto"/>
      </w:divBdr>
    </w:div>
    <w:div w:id="1044670710">
      <w:bodyDiv w:val="1"/>
      <w:marLeft w:val="0"/>
      <w:marRight w:val="0"/>
      <w:marTop w:val="0"/>
      <w:marBottom w:val="0"/>
      <w:divBdr>
        <w:top w:val="none" w:sz="0" w:space="0" w:color="auto"/>
        <w:left w:val="none" w:sz="0" w:space="0" w:color="auto"/>
        <w:bottom w:val="none" w:sz="0" w:space="0" w:color="auto"/>
        <w:right w:val="none" w:sz="0" w:space="0" w:color="auto"/>
      </w:divBdr>
    </w:div>
    <w:div w:id="1051345576">
      <w:bodyDiv w:val="1"/>
      <w:marLeft w:val="0"/>
      <w:marRight w:val="0"/>
      <w:marTop w:val="0"/>
      <w:marBottom w:val="0"/>
      <w:divBdr>
        <w:top w:val="none" w:sz="0" w:space="0" w:color="auto"/>
        <w:left w:val="none" w:sz="0" w:space="0" w:color="auto"/>
        <w:bottom w:val="none" w:sz="0" w:space="0" w:color="auto"/>
        <w:right w:val="none" w:sz="0" w:space="0" w:color="auto"/>
      </w:divBdr>
    </w:div>
    <w:div w:id="1069498995">
      <w:bodyDiv w:val="1"/>
      <w:marLeft w:val="0"/>
      <w:marRight w:val="0"/>
      <w:marTop w:val="0"/>
      <w:marBottom w:val="0"/>
      <w:divBdr>
        <w:top w:val="none" w:sz="0" w:space="0" w:color="auto"/>
        <w:left w:val="none" w:sz="0" w:space="0" w:color="auto"/>
        <w:bottom w:val="none" w:sz="0" w:space="0" w:color="auto"/>
        <w:right w:val="none" w:sz="0" w:space="0" w:color="auto"/>
      </w:divBdr>
    </w:div>
    <w:div w:id="1142699830">
      <w:bodyDiv w:val="1"/>
      <w:marLeft w:val="0"/>
      <w:marRight w:val="0"/>
      <w:marTop w:val="0"/>
      <w:marBottom w:val="0"/>
      <w:divBdr>
        <w:top w:val="none" w:sz="0" w:space="0" w:color="auto"/>
        <w:left w:val="none" w:sz="0" w:space="0" w:color="auto"/>
        <w:bottom w:val="none" w:sz="0" w:space="0" w:color="auto"/>
        <w:right w:val="none" w:sz="0" w:space="0" w:color="auto"/>
      </w:divBdr>
      <w:divsChild>
        <w:div w:id="796920935">
          <w:marLeft w:val="259"/>
          <w:marRight w:val="0"/>
          <w:marTop w:val="141"/>
          <w:marBottom w:val="0"/>
          <w:divBdr>
            <w:top w:val="none" w:sz="0" w:space="0" w:color="auto"/>
            <w:left w:val="none" w:sz="0" w:space="0" w:color="auto"/>
            <w:bottom w:val="none" w:sz="0" w:space="0" w:color="auto"/>
            <w:right w:val="none" w:sz="0" w:space="0" w:color="auto"/>
          </w:divBdr>
        </w:div>
        <w:div w:id="1081876415">
          <w:marLeft w:val="259"/>
          <w:marRight w:val="0"/>
          <w:marTop w:val="141"/>
          <w:marBottom w:val="0"/>
          <w:divBdr>
            <w:top w:val="none" w:sz="0" w:space="0" w:color="auto"/>
            <w:left w:val="none" w:sz="0" w:space="0" w:color="auto"/>
            <w:bottom w:val="none" w:sz="0" w:space="0" w:color="auto"/>
            <w:right w:val="none" w:sz="0" w:space="0" w:color="auto"/>
          </w:divBdr>
        </w:div>
        <w:div w:id="355472701">
          <w:marLeft w:val="259"/>
          <w:marRight w:val="0"/>
          <w:marTop w:val="141"/>
          <w:marBottom w:val="0"/>
          <w:divBdr>
            <w:top w:val="none" w:sz="0" w:space="0" w:color="auto"/>
            <w:left w:val="none" w:sz="0" w:space="0" w:color="auto"/>
            <w:bottom w:val="none" w:sz="0" w:space="0" w:color="auto"/>
            <w:right w:val="none" w:sz="0" w:space="0" w:color="auto"/>
          </w:divBdr>
        </w:div>
        <w:div w:id="236789260">
          <w:marLeft w:val="259"/>
          <w:marRight w:val="0"/>
          <w:marTop w:val="141"/>
          <w:marBottom w:val="0"/>
          <w:divBdr>
            <w:top w:val="none" w:sz="0" w:space="0" w:color="auto"/>
            <w:left w:val="none" w:sz="0" w:space="0" w:color="auto"/>
            <w:bottom w:val="none" w:sz="0" w:space="0" w:color="auto"/>
            <w:right w:val="none" w:sz="0" w:space="0" w:color="auto"/>
          </w:divBdr>
        </w:div>
        <w:div w:id="1512797305">
          <w:marLeft w:val="259"/>
          <w:marRight w:val="0"/>
          <w:marTop w:val="141"/>
          <w:marBottom w:val="0"/>
          <w:divBdr>
            <w:top w:val="none" w:sz="0" w:space="0" w:color="auto"/>
            <w:left w:val="none" w:sz="0" w:space="0" w:color="auto"/>
            <w:bottom w:val="none" w:sz="0" w:space="0" w:color="auto"/>
            <w:right w:val="none" w:sz="0" w:space="0" w:color="auto"/>
          </w:divBdr>
        </w:div>
        <w:div w:id="1895307332">
          <w:marLeft w:val="259"/>
          <w:marRight w:val="0"/>
          <w:marTop w:val="141"/>
          <w:marBottom w:val="0"/>
          <w:divBdr>
            <w:top w:val="none" w:sz="0" w:space="0" w:color="auto"/>
            <w:left w:val="none" w:sz="0" w:space="0" w:color="auto"/>
            <w:bottom w:val="none" w:sz="0" w:space="0" w:color="auto"/>
            <w:right w:val="none" w:sz="0" w:space="0" w:color="auto"/>
          </w:divBdr>
        </w:div>
        <w:div w:id="1832716148">
          <w:marLeft w:val="259"/>
          <w:marRight w:val="0"/>
          <w:marTop w:val="141"/>
          <w:marBottom w:val="0"/>
          <w:divBdr>
            <w:top w:val="none" w:sz="0" w:space="0" w:color="auto"/>
            <w:left w:val="none" w:sz="0" w:space="0" w:color="auto"/>
            <w:bottom w:val="none" w:sz="0" w:space="0" w:color="auto"/>
            <w:right w:val="none" w:sz="0" w:space="0" w:color="auto"/>
          </w:divBdr>
        </w:div>
        <w:div w:id="922297098">
          <w:marLeft w:val="259"/>
          <w:marRight w:val="0"/>
          <w:marTop w:val="141"/>
          <w:marBottom w:val="0"/>
          <w:divBdr>
            <w:top w:val="none" w:sz="0" w:space="0" w:color="auto"/>
            <w:left w:val="none" w:sz="0" w:space="0" w:color="auto"/>
            <w:bottom w:val="none" w:sz="0" w:space="0" w:color="auto"/>
            <w:right w:val="none" w:sz="0" w:space="0" w:color="auto"/>
          </w:divBdr>
        </w:div>
        <w:div w:id="1202934607">
          <w:marLeft w:val="259"/>
          <w:marRight w:val="0"/>
          <w:marTop w:val="141"/>
          <w:marBottom w:val="0"/>
          <w:divBdr>
            <w:top w:val="none" w:sz="0" w:space="0" w:color="auto"/>
            <w:left w:val="none" w:sz="0" w:space="0" w:color="auto"/>
            <w:bottom w:val="none" w:sz="0" w:space="0" w:color="auto"/>
            <w:right w:val="none" w:sz="0" w:space="0" w:color="auto"/>
          </w:divBdr>
        </w:div>
        <w:div w:id="1586376727">
          <w:marLeft w:val="259"/>
          <w:marRight w:val="0"/>
          <w:marTop w:val="141"/>
          <w:marBottom w:val="0"/>
          <w:divBdr>
            <w:top w:val="none" w:sz="0" w:space="0" w:color="auto"/>
            <w:left w:val="none" w:sz="0" w:space="0" w:color="auto"/>
            <w:bottom w:val="none" w:sz="0" w:space="0" w:color="auto"/>
            <w:right w:val="none" w:sz="0" w:space="0" w:color="auto"/>
          </w:divBdr>
        </w:div>
        <w:div w:id="920454643">
          <w:marLeft w:val="259"/>
          <w:marRight w:val="0"/>
          <w:marTop w:val="141"/>
          <w:marBottom w:val="0"/>
          <w:divBdr>
            <w:top w:val="none" w:sz="0" w:space="0" w:color="auto"/>
            <w:left w:val="none" w:sz="0" w:space="0" w:color="auto"/>
            <w:bottom w:val="none" w:sz="0" w:space="0" w:color="auto"/>
            <w:right w:val="none" w:sz="0" w:space="0" w:color="auto"/>
          </w:divBdr>
        </w:div>
        <w:div w:id="1507473658">
          <w:marLeft w:val="259"/>
          <w:marRight w:val="0"/>
          <w:marTop w:val="141"/>
          <w:marBottom w:val="0"/>
          <w:divBdr>
            <w:top w:val="none" w:sz="0" w:space="0" w:color="auto"/>
            <w:left w:val="none" w:sz="0" w:space="0" w:color="auto"/>
            <w:bottom w:val="none" w:sz="0" w:space="0" w:color="auto"/>
            <w:right w:val="none" w:sz="0" w:space="0" w:color="auto"/>
          </w:divBdr>
        </w:div>
        <w:div w:id="2103185603">
          <w:marLeft w:val="259"/>
          <w:marRight w:val="0"/>
          <w:marTop w:val="141"/>
          <w:marBottom w:val="0"/>
          <w:divBdr>
            <w:top w:val="none" w:sz="0" w:space="0" w:color="auto"/>
            <w:left w:val="none" w:sz="0" w:space="0" w:color="auto"/>
            <w:bottom w:val="none" w:sz="0" w:space="0" w:color="auto"/>
            <w:right w:val="none" w:sz="0" w:space="0" w:color="auto"/>
          </w:divBdr>
        </w:div>
        <w:div w:id="2059671250">
          <w:marLeft w:val="259"/>
          <w:marRight w:val="0"/>
          <w:marTop w:val="141"/>
          <w:marBottom w:val="0"/>
          <w:divBdr>
            <w:top w:val="none" w:sz="0" w:space="0" w:color="auto"/>
            <w:left w:val="none" w:sz="0" w:space="0" w:color="auto"/>
            <w:bottom w:val="none" w:sz="0" w:space="0" w:color="auto"/>
            <w:right w:val="none" w:sz="0" w:space="0" w:color="auto"/>
          </w:divBdr>
        </w:div>
        <w:div w:id="1568759098">
          <w:marLeft w:val="259"/>
          <w:marRight w:val="0"/>
          <w:marTop w:val="141"/>
          <w:marBottom w:val="0"/>
          <w:divBdr>
            <w:top w:val="none" w:sz="0" w:space="0" w:color="auto"/>
            <w:left w:val="none" w:sz="0" w:space="0" w:color="auto"/>
            <w:bottom w:val="none" w:sz="0" w:space="0" w:color="auto"/>
            <w:right w:val="none" w:sz="0" w:space="0" w:color="auto"/>
          </w:divBdr>
        </w:div>
        <w:div w:id="524904028">
          <w:marLeft w:val="259"/>
          <w:marRight w:val="0"/>
          <w:marTop w:val="141"/>
          <w:marBottom w:val="0"/>
          <w:divBdr>
            <w:top w:val="none" w:sz="0" w:space="0" w:color="auto"/>
            <w:left w:val="none" w:sz="0" w:space="0" w:color="auto"/>
            <w:bottom w:val="none" w:sz="0" w:space="0" w:color="auto"/>
            <w:right w:val="none" w:sz="0" w:space="0" w:color="auto"/>
          </w:divBdr>
        </w:div>
        <w:div w:id="586964004">
          <w:marLeft w:val="259"/>
          <w:marRight w:val="0"/>
          <w:marTop w:val="141"/>
          <w:marBottom w:val="0"/>
          <w:divBdr>
            <w:top w:val="none" w:sz="0" w:space="0" w:color="auto"/>
            <w:left w:val="none" w:sz="0" w:space="0" w:color="auto"/>
            <w:bottom w:val="none" w:sz="0" w:space="0" w:color="auto"/>
            <w:right w:val="none" w:sz="0" w:space="0" w:color="auto"/>
          </w:divBdr>
        </w:div>
        <w:div w:id="2109040346">
          <w:marLeft w:val="259"/>
          <w:marRight w:val="0"/>
          <w:marTop w:val="141"/>
          <w:marBottom w:val="0"/>
          <w:divBdr>
            <w:top w:val="none" w:sz="0" w:space="0" w:color="auto"/>
            <w:left w:val="none" w:sz="0" w:space="0" w:color="auto"/>
            <w:bottom w:val="none" w:sz="0" w:space="0" w:color="auto"/>
            <w:right w:val="none" w:sz="0" w:space="0" w:color="auto"/>
          </w:divBdr>
        </w:div>
        <w:div w:id="375663306">
          <w:marLeft w:val="259"/>
          <w:marRight w:val="0"/>
          <w:marTop w:val="141"/>
          <w:marBottom w:val="0"/>
          <w:divBdr>
            <w:top w:val="none" w:sz="0" w:space="0" w:color="auto"/>
            <w:left w:val="none" w:sz="0" w:space="0" w:color="auto"/>
            <w:bottom w:val="none" w:sz="0" w:space="0" w:color="auto"/>
            <w:right w:val="none" w:sz="0" w:space="0" w:color="auto"/>
          </w:divBdr>
        </w:div>
        <w:div w:id="1374574191">
          <w:marLeft w:val="259"/>
          <w:marRight w:val="0"/>
          <w:marTop w:val="141"/>
          <w:marBottom w:val="0"/>
          <w:divBdr>
            <w:top w:val="none" w:sz="0" w:space="0" w:color="auto"/>
            <w:left w:val="none" w:sz="0" w:space="0" w:color="auto"/>
            <w:bottom w:val="none" w:sz="0" w:space="0" w:color="auto"/>
            <w:right w:val="none" w:sz="0" w:space="0" w:color="auto"/>
          </w:divBdr>
        </w:div>
        <w:div w:id="1308168375">
          <w:marLeft w:val="259"/>
          <w:marRight w:val="0"/>
          <w:marTop w:val="141"/>
          <w:marBottom w:val="0"/>
          <w:divBdr>
            <w:top w:val="none" w:sz="0" w:space="0" w:color="auto"/>
            <w:left w:val="none" w:sz="0" w:space="0" w:color="auto"/>
            <w:bottom w:val="none" w:sz="0" w:space="0" w:color="auto"/>
            <w:right w:val="none" w:sz="0" w:space="0" w:color="auto"/>
          </w:divBdr>
        </w:div>
        <w:div w:id="669213535">
          <w:marLeft w:val="259"/>
          <w:marRight w:val="0"/>
          <w:marTop w:val="141"/>
          <w:marBottom w:val="0"/>
          <w:divBdr>
            <w:top w:val="none" w:sz="0" w:space="0" w:color="auto"/>
            <w:left w:val="none" w:sz="0" w:space="0" w:color="auto"/>
            <w:bottom w:val="none" w:sz="0" w:space="0" w:color="auto"/>
            <w:right w:val="none" w:sz="0" w:space="0" w:color="auto"/>
          </w:divBdr>
        </w:div>
        <w:div w:id="196623058">
          <w:marLeft w:val="259"/>
          <w:marRight w:val="0"/>
          <w:marTop w:val="141"/>
          <w:marBottom w:val="0"/>
          <w:divBdr>
            <w:top w:val="none" w:sz="0" w:space="0" w:color="auto"/>
            <w:left w:val="none" w:sz="0" w:space="0" w:color="auto"/>
            <w:bottom w:val="none" w:sz="0" w:space="0" w:color="auto"/>
            <w:right w:val="none" w:sz="0" w:space="0" w:color="auto"/>
          </w:divBdr>
        </w:div>
        <w:div w:id="833952155">
          <w:marLeft w:val="259"/>
          <w:marRight w:val="0"/>
          <w:marTop w:val="141"/>
          <w:marBottom w:val="0"/>
          <w:divBdr>
            <w:top w:val="none" w:sz="0" w:space="0" w:color="auto"/>
            <w:left w:val="none" w:sz="0" w:space="0" w:color="auto"/>
            <w:bottom w:val="none" w:sz="0" w:space="0" w:color="auto"/>
            <w:right w:val="none" w:sz="0" w:space="0" w:color="auto"/>
          </w:divBdr>
        </w:div>
        <w:div w:id="1417942183">
          <w:marLeft w:val="259"/>
          <w:marRight w:val="0"/>
          <w:marTop w:val="141"/>
          <w:marBottom w:val="0"/>
          <w:divBdr>
            <w:top w:val="none" w:sz="0" w:space="0" w:color="auto"/>
            <w:left w:val="none" w:sz="0" w:space="0" w:color="auto"/>
            <w:bottom w:val="none" w:sz="0" w:space="0" w:color="auto"/>
            <w:right w:val="none" w:sz="0" w:space="0" w:color="auto"/>
          </w:divBdr>
        </w:div>
        <w:div w:id="736175412">
          <w:marLeft w:val="259"/>
          <w:marRight w:val="0"/>
          <w:marTop w:val="141"/>
          <w:marBottom w:val="0"/>
          <w:divBdr>
            <w:top w:val="none" w:sz="0" w:space="0" w:color="auto"/>
            <w:left w:val="none" w:sz="0" w:space="0" w:color="auto"/>
            <w:bottom w:val="none" w:sz="0" w:space="0" w:color="auto"/>
            <w:right w:val="none" w:sz="0" w:space="0" w:color="auto"/>
          </w:divBdr>
        </w:div>
        <w:div w:id="1552958291">
          <w:marLeft w:val="259"/>
          <w:marRight w:val="0"/>
          <w:marTop w:val="141"/>
          <w:marBottom w:val="0"/>
          <w:divBdr>
            <w:top w:val="none" w:sz="0" w:space="0" w:color="auto"/>
            <w:left w:val="none" w:sz="0" w:space="0" w:color="auto"/>
            <w:bottom w:val="none" w:sz="0" w:space="0" w:color="auto"/>
            <w:right w:val="none" w:sz="0" w:space="0" w:color="auto"/>
          </w:divBdr>
        </w:div>
        <w:div w:id="2003119040">
          <w:marLeft w:val="259"/>
          <w:marRight w:val="0"/>
          <w:marTop w:val="141"/>
          <w:marBottom w:val="0"/>
          <w:divBdr>
            <w:top w:val="none" w:sz="0" w:space="0" w:color="auto"/>
            <w:left w:val="none" w:sz="0" w:space="0" w:color="auto"/>
            <w:bottom w:val="none" w:sz="0" w:space="0" w:color="auto"/>
            <w:right w:val="none" w:sz="0" w:space="0" w:color="auto"/>
          </w:divBdr>
        </w:div>
        <w:div w:id="2008901214">
          <w:marLeft w:val="259"/>
          <w:marRight w:val="0"/>
          <w:marTop w:val="141"/>
          <w:marBottom w:val="0"/>
          <w:divBdr>
            <w:top w:val="none" w:sz="0" w:space="0" w:color="auto"/>
            <w:left w:val="none" w:sz="0" w:space="0" w:color="auto"/>
            <w:bottom w:val="none" w:sz="0" w:space="0" w:color="auto"/>
            <w:right w:val="none" w:sz="0" w:space="0" w:color="auto"/>
          </w:divBdr>
        </w:div>
      </w:divsChild>
    </w:div>
    <w:div w:id="1183282379">
      <w:bodyDiv w:val="1"/>
      <w:marLeft w:val="0"/>
      <w:marRight w:val="0"/>
      <w:marTop w:val="0"/>
      <w:marBottom w:val="0"/>
      <w:divBdr>
        <w:top w:val="none" w:sz="0" w:space="0" w:color="auto"/>
        <w:left w:val="none" w:sz="0" w:space="0" w:color="auto"/>
        <w:bottom w:val="none" w:sz="0" w:space="0" w:color="auto"/>
        <w:right w:val="none" w:sz="0" w:space="0" w:color="auto"/>
      </w:divBdr>
      <w:divsChild>
        <w:div w:id="1097095591">
          <w:marLeft w:val="0"/>
          <w:marRight w:val="0"/>
          <w:marTop w:val="0"/>
          <w:marBottom w:val="0"/>
          <w:divBdr>
            <w:top w:val="none" w:sz="0" w:space="0" w:color="auto"/>
            <w:left w:val="none" w:sz="0" w:space="0" w:color="auto"/>
            <w:bottom w:val="none" w:sz="0" w:space="0" w:color="auto"/>
            <w:right w:val="none" w:sz="0" w:space="0" w:color="auto"/>
          </w:divBdr>
        </w:div>
        <w:div w:id="2047675271">
          <w:marLeft w:val="0"/>
          <w:marRight w:val="0"/>
          <w:marTop w:val="0"/>
          <w:marBottom w:val="0"/>
          <w:divBdr>
            <w:top w:val="none" w:sz="0" w:space="0" w:color="auto"/>
            <w:left w:val="none" w:sz="0" w:space="0" w:color="auto"/>
            <w:bottom w:val="none" w:sz="0" w:space="0" w:color="auto"/>
            <w:right w:val="none" w:sz="0" w:space="0" w:color="auto"/>
          </w:divBdr>
        </w:div>
      </w:divsChild>
    </w:div>
    <w:div w:id="1183324972">
      <w:bodyDiv w:val="1"/>
      <w:marLeft w:val="0"/>
      <w:marRight w:val="0"/>
      <w:marTop w:val="0"/>
      <w:marBottom w:val="0"/>
      <w:divBdr>
        <w:top w:val="none" w:sz="0" w:space="0" w:color="auto"/>
        <w:left w:val="none" w:sz="0" w:space="0" w:color="auto"/>
        <w:bottom w:val="none" w:sz="0" w:space="0" w:color="auto"/>
        <w:right w:val="none" w:sz="0" w:space="0" w:color="auto"/>
      </w:divBdr>
    </w:div>
    <w:div w:id="1210267005">
      <w:bodyDiv w:val="1"/>
      <w:marLeft w:val="0"/>
      <w:marRight w:val="0"/>
      <w:marTop w:val="0"/>
      <w:marBottom w:val="0"/>
      <w:divBdr>
        <w:top w:val="none" w:sz="0" w:space="0" w:color="auto"/>
        <w:left w:val="none" w:sz="0" w:space="0" w:color="auto"/>
        <w:bottom w:val="none" w:sz="0" w:space="0" w:color="auto"/>
        <w:right w:val="none" w:sz="0" w:space="0" w:color="auto"/>
      </w:divBdr>
      <w:divsChild>
        <w:div w:id="1557349441">
          <w:marLeft w:val="360"/>
          <w:marRight w:val="0"/>
          <w:marTop w:val="0"/>
          <w:marBottom w:val="0"/>
          <w:divBdr>
            <w:top w:val="none" w:sz="0" w:space="0" w:color="auto"/>
            <w:left w:val="none" w:sz="0" w:space="0" w:color="auto"/>
            <w:bottom w:val="none" w:sz="0" w:space="0" w:color="auto"/>
            <w:right w:val="none" w:sz="0" w:space="0" w:color="auto"/>
          </w:divBdr>
        </w:div>
        <w:div w:id="680204902">
          <w:marLeft w:val="360"/>
          <w:marRight w:val="0"/>
          <w:marTop w:val="0"/>
          <w:marBottom w:val="0"/>
          <w:divBdr>
            <w:top w:val="none" w:sz="0" w:space="0" w:color="auto"/>
            <w:left w:val="none" w:sz="0" w:space="0" w:color="auto"/>
            <w:bottom w:val="none" w:sz="0" w:space="0" w:color="auto"/>
            <w:right w:val="none" w:sz="0" w:space="0" w:color="auto"/>
          </w:divBdr>
        </w:div>
        <w:div w:id="184028566">
          <w:marLeft w:val="360"/>
          <w:marRight w:val="0"/>
          <w:marTop w:val="0"/>
          <w:marBottom w:val="0"/>
          <w:divBdr>
            <w:top w:val="none" w:sz="0" w:space="0" w:color="auto"/>
            <w:left w:val="none" w:sz="0" w:space="0" w:color="auto"/>
            <w:bottom w:val="none" w:sz="0" w:space="0" w:color="auto"/>
            <w:right w:val="none" w:sz="0" w:space="0" w:color="auto"/>
          </w:divBdr>
        </w:div>
        <w:div w:id="1093472789">
          <w:marLeft w:val="360"/>
          <w:marRight w:val="0"/>
          <w:marTop w:val="0"/>
          <w:marBottom w:val="0"/>
          <w:divBdr>
            <w:top w:val="none" w:sz="0" w:space="0" w:color="auto"/>
            <w:left w:val="none" w:sz="0" w:space="0" w:color="auto"/>
            <w:bottom w:val="none" w:sz="0" w:space="0" w:color="auto"/>
            <w:right w:val="none" w:sz="0" w:space="0" w:color="auto"/>
          </w:divBdr>
        </w:div>
      </w:divsChild>
    </w:div>
    <w:div w:id="1250655646">
      <w:bodyDiv w:val="1"/>
      <w:marLeft w:val="0"/>
      <w:marRight w:val="0"/>
      <w:marTop w:val="0"/>
      <w:marBottom w:val="0"/>
      <w:divBdr>
        <w:top w:val="none" w:sz="0" w:space="0" w:color="auto"/>
        <w:left w:val="none" w:sz="0" w:space="0" w:color="auto"/>
        <w:bottom w:val="none" w:sz="0" w:space="0" w:color="auto"/>
        <w:right w:val="none" w:sz="0" w:space="0" w:color="auto"/>
      </w:divBdr>
      <w:divsChild>
        <w:div w:id="191382094">
          <w:marLeft w:val="360"/>
          <w:marRight w:val="0"/>
          <w:marTop w:val="0"/>
          <w:marBottom w:val="0"/>
          <w:divBdr>
            <w:top w:val="none" w:sz="0" w:space="0" w:color="auto"/>
            <w:left w:val="none" w:sz="0" w:space="0" w:color="auto"/>
            <w:bottom w:val="none" w:sz="0" w:space="0" w:color="auto"/>
            <w:right w:val="none" w:sz="0" w:space="0" w:color="auto"/>
          </w:divBdr>
        </w:div>
      </w:divsChild>
    </w:div>
    <w:div w:id="1254128908">
      <w:bodyDiv w:val="1"/>
      <w:marLeft w:val="0"/>
      <w:marRight w:val="0"/>
      <w:marTop w:val="0"/>
      <w:marBottom w:val="0"/>
      <w:divBdr>
        <w:top w:val="none" w:sz="0" w:space="0" w:color="auto"/>
        <w:left w:val="none" w:sz="0" w:space="0" w:color="auto"/>
        <w:bottom w:val="none" w:sz="0" w:space="0" w:color="auto"/>
        <w:right w:val="none" w:sz="0" w:space="0" w:color="auto"/>
      </w:divBdr>
    </w:div>
    <w:div w:id="1273171177">
      <w:bodyDiv w:val="1"/>
      <w:marLeft w:val="0"/>
      <w:marRight w:val="0"/>
      <w:marTop w:val="0"/>
      <w:marBottom w:val="0"/>
      <w:divBdr>
        <w:top w:val="none" w:sz="0" w:space="0" w:color="auto"/>
        <w:left w:val="none" w:sz="0" w:space="0" w:color="auto"/>
        <w:bottom w:val="none" w:sz="0" w:space="0" w:color="auto"/>
        <w:right w:val="none" w:sz="0" w:space="0" w:color="auto"/>
      </w:divBdr>
    </w:div>
    <w:div w:id="1320157562">
      <w:bodyDiv w:val="1"/>
      <w:marLeft w:val="0"/>
      <w:marRight w:val="0"/>
      <w:marTop w:val="0"/>
      <w:marBottom w:val="0"/>
      <w:divBdr>
        <w:top w:val="none" w:sz="0" w:space="0" w:color="auto"/>
        <w:left w:val="none" w:sz="0" w:space="0" w:color="auto"/>
        <w:bottom w:val="none" w:sz="0" w:space="0" w:color="auto"/>
        <w:right w:val="none" w:sz="0" w:space="0" w:color="auto"/>
      </w:divBdr>
    </w:div>
    <w:div w:id="1367294731">
      <w:bodyDiv w:val="1"/>
      <w:marLeft w:val="0"/>
      <w:marRight w:val="0"/>
      <w:marTop w:val="0"/>
      <w:marBottom w:val="0"/>
      <w:divBdr>
        <w:top w:val="none" w:sz="0" w:space="0" w:color="auto"/>
        <w:left w:val="none" w:sz="0" w:space="0" w:color="auto"/>
        <w:bottom w:val="none" w:sz="0" w:space="0" w:color="auto"/>
        <w:right w:val="none" w:sz="0" w:space="0" w:color="auto"/>
      </w:divBdr>
    </w:div>
    <w:div w:id="1367484653">
      <w:bodyDiv w:val="1"/>
      <w:marLeft w:val="0"/>
      <w:marRight w:val="0"/>
      <w:marTop w:val="0"/>
      <w:marBottom w:val="0"/>
      <w:divBdr>
        <w:top w:val="none" w:sz="0" w:space="0" w:color="auto"/>
        <w:left w:val="none" w:sz="0" w:space="0" w:color="auto"/>
        <w:bottom w:val="none" w:sz="0" w:space="0" w:color="auto"/>
        <w:right w:val="none" w:sz="0" w:space="0" w:color="auto"/>
      </w:divBdr>
      <w:divsChild>
        <w:div w:id="996762903">
          <w:marLeft w:val="360"/>
          <w:marRight w:val="0"/>
          <w:marTop w:val="0"/>
          <w:marBottom w:val="0"/>
          <w:divBdr>
            <w:top w:val="none" w:sz="0" w:space="0" w:color="auto"/>
            <w:left w:val="none" w:sz="0" w:space="0" w:color="auto"/>
            <w:bottom w:val="none" w:sz="0" w:space="0" w:color="auto"/>
            <w:right w:val="none" w:sz="0" w:space="0" w:color="auto"/>
          </w:divBdr>
        </w:div>
      </w:divsChild>
    </w:div>
    <w:div w:id="1383364828">
      <w:bodyDiv w:val="1"/>
      <w:marLeft w:val="0"/>
      <w:marRight w:val="0"/>
      <w:marTop w:val="0"/>
      <w:marBottom w:val="0"/>
      <w:divBdr>
        <w:top w:val="none" w:sz="0" w:space="0" w:color="auto"/>
        <w:left w:val="none" w:sz="0" w:space="0" w:color="auto"/>
        <w:bottom w:val="none" w:sz="0" w:space="0" w:color="auto"/>
        <w:right w:val="none" w:sz="0" w:space="0" w:color="auto"/>
      </w:divBdr>
    </w:div>
    <w:div w:id="1415203467">
      <w:bodyDiv w:val="1"/>
      <w:marLeft w:val="0"/>
      <w:marRight w:val="0"/>
      <w:marTop w:val="0"/>
      <w:marBottom w:val="0"/>
      <w:divBdr>
        <w:top w:val="none" w:sz="0" w:space="0" w:color="auto"/>
        <w:left w:val="none" w:sz="0" w:space="0" w:color="auto"/>
        <w:bottom w:val="none" w:sz="0" w:space="0" w:color="auto"/>
        <w:right w:val="none" w:sz="0" w:space="0" w:color="auto"/>
      </w:divBdr>
      <w:divsChild>
        <w:div w:id="1473447197">
          <w:marLeft w:val="259"/>
          <w:marRight w:val="0"/>
          <w:marTop w:val="141"/>
          <w:marBottom w:val="0"/>
          <w:divBdr>
            <w:top w:val="none" w:sz="0" w:space="0" w:color="auto"/>
            <w:left w:val="none" w:sz="0" w:space="0" w:color="auto"/>
            <w:bottom w:val="none" w:sz="0" w:space="0" w:color="auto"/>
            <w:right w:val="none" w:sz="0" w:space="0" w:color="auto"/>
          </w:divBdr>
        </w:div>
        <w:div w:id="1415710722">
          <w:marLeft w:val="259"/>
          <w:marRight w:val="0"/>
          <w:marTop w:val="141"/>
          <w:marBottom w:val="0"/>
          <w:divBdr>
            <w:top w:val="none" w:sz="0" w:space="0" w:color="auto"/>
            <w:left w:val="none" w:sz="0" w:space="0" w:color="auto"/>
            <w:bottom w:val="none" w:sz="0" w:space="0" w:color="auto"/>
            <w:right w:val="none" w:sz="0" w:space="0" w:color="auto"/>
          </w:divBdr>
        </w:div>
        <w:div w:id="1153719358">
          <w:marLeft w:val="259"/>
          <w:marRight w:val="0"/>
          <w:marTop w:val="141"/>
          <w:marBottom w:val="0"/>
          <w:divBdr>
            <w:top w:val="none" w:sz="0" w:space="0" w:color="auto"/>
            <w:left w:val="none" w:sz="0" w:space="0" w:color="auto"/>
            <w:bottom w:val="none" w:sz="0" w:space="0" w:color="auto"/>
            <w:right w:val="none" w:sz="0" w:space="0" w:color="auto"/>
          </w:divBdr>
        </w:div>
      </w:divsChild>
    </w:div>
    <w:div w:id="1435633710">
      <w:bodyDiv w:val="1"/>
      <w:marLeft w:val="0"/>
      <w:marRight w:val="0"/>
      <w:marTop w:val="0"/>
      <w:marBottom w:val="0"/>
      <w:divBdr>
        <w:top w:val="none" w:sz="0" w:space="0" w:color="auto"/>
        <w:left w:val="none" w:sz="0" w:space="0" w:color="auto"/>
        <w:bottom w:val="none" w:sz="0" w:space="0" w:color="auto"/>
        <w:right w:val="none" w:sz="0" w:space="0" w:color="auto"/>
      </w:divBdr>
    </w:div>
    <w:div w:id="1461150945">
      <w:bodyDiv w:val="1"/>
      <w:marLeft w:val="0"/>
      <w:marRight w:val="0"/>
      <w:marTop w:val="0"/>
      <w:marBottom w:val="0"/>
      <w:divBdr>
        <w:top w:val="none" w:sz="0" w:space="0" w:color="auto"/>
        <w:left w:val="none" w:sz="0" w:space="0" w:color="auto"/>
        <w:bottom w:val="none" w:sz="0" w:space="0" w:color="auto"/>
        <w:right w:val="none" w:sz="0" w:space="0" w:color="auto"/>
      </w:divBdr>
    </w:div>
    <w:div w:id="1465350303">
      <w:bodyDiv w:val="1"/>
      <w:marLeft w:val="0"/>
      <w:marRight w:val="0"/>
      <w:marTop w:val="0"/>
      <w:marBottom w:val="0"/>
      <w:divBdr>
        <w:top w:val="none" w:sz="0" w:space="0" w:color="auto"/>
        <w:left w:val="none" w:sz="0" w:space="0" w:color="auto"/>
        <w:bottom w:val="none" w:sz="0" w:space="0" w:color="auto"/>
        <w:right w:val="none" w:sz="0" w:space="0" w:color="auto"/>
      </w:divBdr>
    </w:div>
    <w:div w:id="1490905461">
      <w:bodyDiv w:val="1"/>
      <w:marLeft w:val="0"/>
      <w:marRight w:val="0"/>
      <w:marTop w:val="0"/>
      <w:marBottom w:val="0"/>
      <w:divBdr>
        <w:top w:val="none" w:sz="0" w:space="0" w:color="auto"/>
        <w:left w:val="none" w:sz="0" w:space="0" w:color="auto"/>
        <w:bottom w:val="none" w:sz="0" w:space="0" w:color="auto"/>
        <w:right w:val="none" w:sz="0" w:space="0" w:color="auto"/>
      </w:divBdr>
      <w:divsChild>
        <w:div w:id="1607538175">
          <w:marLeft w:val="259"/>
          <w:marRight w:val="0"/>
          <w:marTop w:val="141"/>
          <w:marBottom w:val="0"/>
          <w:divBdr>
            <w:top w:val="none" w:sz="0" w:space="0" w:color="auto"/>
            <w:left w:val="none" w:sz="0" w:space="0" w:color="auto"/>
            <w:bottom w:val="none" w:sz="0" w:space="0" w:color="auto"/>
            <w:right w:val="none" w:sz="0" w:space="0" w:color="auto"/>
          </w:divBdr>
        </w:div>
        <w:div w:id="1739009292">
          <w:marLeft w:val="259"/>
          <w:marRight w:val="0"/>
          <w:marTop w:val="141"/>
          <w:marBottom w:val="0"/>
          <w:divBdr>
            <w:top w:val="none" w:sz="0" w:space="0" w:color="auto"/>
            <w:left w:val="none" w:sz="0" w:space="0" w:color="auto"/>
            <w:bottom w:val="none" w:sz="0" w:space="0" w:color="auto"/>
            <w:right w:val="none" w:sz="0" w:space="0" w:color="auto"/>
          </w:divBdr>
        </w:div>
        <w:div w:id="781265952">
          <w:marLeft w:val="259"/>
          <w:marRight w:val="0"/>
          <w:marTop w:val="141"/>
          <w:marBottom w:val="0"/>
          <w:divBdr>
            <w:top w:val="none" w:sz="0" w:space="0" w:color="auto"/>
            <w:left w:val="none" w:sz="0" w:space="0" w:color="auto"/>
            <w:bottom w:val="none" w:sz="0" w:space="0" w:color="auto"/>
            <w:right w:val="none" w:sz="0" w:space="0" w:color="auto"/>
          </w:divBdr>
        </w:div>
        <w:div w:id="567425241">
          <w:marLeft w:val="259"/>
          <w:marRight w:val="0"/>
          <w:marTop w:val="141"/>
          <w:marBottom w:val="0"/>
          <w:divBdr>
            <w:top w:val="none" w:sz="0" w:space="0" w:color="auto"/>
            <w:left w:val="none" w:sz="0" w:space="0" w:color="auto"/>
            <w:bottom w:val="none" w:sz="0" w:space="0" w:color="auto"/>
            <w:right w:val="none" w:sz="0" w:space="0" w:color="auto"/>
          </w:divBdr>
        </w:div>
        <w:div w:id="1613897432">
          <w:marLeft w:val="259"/>
          <w:marRight w:val="0"/>
          <w:marTop w:val="141"/>
          <w:marBottom w:val="0"/>
          <w:divBdr>
            <w:top w:val="none" w:sz="0" w:space="0" w:color="auto"/>
            <w:left w:val="none" w:sz="0" w:space="0" w:color="auto"/>
            <w:bottom w:val="none" w:sz="0" w:space="0" w:color="auto"/>
            <w:right w:val="none" w:sz="0" w:space="0" w:color="auto"/>
          </w:divBdr>
        </w:div>
        <w:div w:id="1519999814">
          <w:marLeft w:val="259"/>
          <w:marRight w:val="0"/>
          <w:marTop w:val="141"/>
          <w:marBottom w:val="0"/>
          <w:divBdr>
            <w:top w:val="none" w:sz="0" w:space="0" w:color="auto"/>
            <w:left w:val="none" w:sz="0" w:space="0" w:color="auto"/>
            <w:bottom w:val="none" w:sz="0" w:space="0" w:color="auto"/>
            <w:right w:val="none" w:sz="0" w:space="0" w:color="auto"/>
          </w:divBdr>
        </w:div>
        <w:div w:id="410781678">
          <w:marLeft w:val="259"/>
          <w:marRight w:val="0"/>
          <w:marTop w:val="141"/>
          <w:marBottom w:val="0"/>
          <w:divBdr>
            <w:top w:val="none" w:sz="0" w:space="0" w:color="auto"/>
            <w:left w:val="none" w:sz="0" w:space="0" w:color="auto"/>
            <w:bottom w:val="none" w:sz="0" w:space="0" w:color="auto"/>
            <w:right w:val="none" w:sz="0" w:space="0" w:color="auto"/>
          </w:divBdr>
        </w:div>
        <w:div w:id="36635977">
          <w:marLeft w:val="259"/>
          <w:marRight w:val="0"/>
          <w:marTop w:val="141"/>
          <w:marBottom w:val="0"/>
          <w:divBdr>
            <w:top w:val="none" w:sz="0" w:space="0" w:color="auto"/>
            <w:left w:val="none" w:sz="0" w:space="0" w:color="auto"/>
            <w:bottom w:val="none" w:sz="0" w:space="0" w:color="auto"/>
            <w:right w:val="none" w:sz="0" w:space="0" w:color="auto"/>
          </w:divBdr>
        </w:div>
        <w:div w:id="569468128">
          <w:marLeft w:val="259"/>
          <w:marRight w:val="0"/>
          <w:marTop w:val="141"/>
          <w:marBottom w:val="0"/>
          <w:divBdr>
            <w:top w:val="none" w:sz="0" w:space="0" w:color="auto"/>
            <w:left w:val="none" w:sz="0" w:space="0" w:color="auto"/>
            <w:bottom w:val="none" w:sz="0" w:space="0" w:color="auto"/>
            <w:right w:val="none" w:sz="0" w:space="0" w:color="auto"/>
          </w:divBdr>
        </w:div>
        <w:div w:id="2011446854">
          <w:marLeft w:val="259"/>
          <w:marRight w:val="0"/>
          <w:marTop w:val="141"/>
          <w:marBottom w:val="0"/>
          <w:divBdr>
            <w:top w:val="none" w:sz="0" w:space="0" w:color="auto"/>
            <w:left w:val="none" w:sz="0" w:space="0" w:color="auto"/>
            <w:bottom w:val="none" w:sz="0" w:space="0" w:color="auto"/>
            <w:right w:val="none" w:sz="0" w:space="0" w:color="auto"/>
          </w:divBdr>
        </w:div>
        <w:div w:id="1673794909">
          <w:marLeft w:val="259"/>
          <w:marRight w:val="0"/>
          <w:marTop w:val="141"/>
          <w:marBottom w:val="0"/>
          <w:divBdr>
            <w:top w:val="none" w:sz="0" w:space="0" w:color="auto"/>
            <w:left w:val="none" w:sz="0" w:space="0" w:color="auto"/>
            <w:bottom w:val="none" w:sz="0" w:space="0" w:color="auto"/>
            <w:right w:val="none" w:sz="0" w:space="0" w:color="auto"/>
          </w:divBdr>
        </w:div>
        <w:div w:id="1699117922">
          <w:marLeft w:val="259"/>
          <w:marRight w:val="0"/>
          <w:marTop w:val="141"/>
          <w:marBottom w:val="0"/>
          <w:divBdr>
            <w:top w:val="none" w:sz="0" w:space="0" w:color="auto"/>
            <w:left w:val="none" w:sz="0" w:space="0" w:color="auto"/>
            <w:bottom w:val="none" w:sz="0" w:space="0" w:color="auto"/>
            <w:right w:val="none" w:sz="0" w:space="0" w:color="auto"/>
          </w:divBdr>
        </w:div>
        <w:div w:id="474876003">
          <w:marLeft w:val="259"/>
          <w:marRight w:val="0"/>
          <w:marTop w:val="141"/>
          <w:marBottom w:val="0"/>
          <w:divBdr>
            <w:top w:val="none" w:sz="0" w:space="0" w:color="auto"/>
            <w:left w:val="none" w:sz="0" w:space="0" w:color="auto"/>
            <w:bottom w:val="none" w:sz="0" w:space="0" w:color="auto"/>
            <w:right w:val="none" w:sz="0" w:space="0" w:color="auto"/>
          </w:divBdr>
        </w:div>
      </w:divsChild>
    </w:div>
    <w:div w:id="1501434524">
      <w:bodyDiv w:val="1"/>
      <w:marLeft w:val="0"/>
      <w:marRight w:val="0"/>
      <w:marTop w:val="0"/>
      <w:marBottom w:val="0"/>
      <w:divBdr>
        <w:top w:val="none" w:sz="0" w:space="0" w:color="auto"/>
        <w:left w:val="none" w:sz="0" w:space="0" w:color="auto"/>
        <w:bottom w:val="none" w:sz="0" w:space="0" w:color="auto"/>
        <w:right w:val="none" w:sz="0" w:space="0" w:color="auto"/>
      </w:divBdr>
      <w:divsChild>
        <w:div w:id="1257177380">
          <w:marLeft w:val="360"/>
          <w:marRight w:val="0"/>
          <w:marTop w:val="0"/>
          <w:marBottom w:val="0"/>
          <w:divBdr>
            <w:top w:val="none" w:sz="0" w:space="0" w:color="auto"/>
            <w:left w:val="none" w:sz="0" w:space="0" w:color="auto"/>
            <w:bottom w:val="none" w:sz="0" w:space="0" w:color="auto"/>
            <w:right w:val="none" w:sz="0" w:space="0" w:color="auto"/>
          </w:divBdr>
        </w:div>
      </w:divsChild>
    </w:div>
    <w:div w:id="1526863582">
      <w:bodyDiv w:val="1"/>
      <w:marLeft w:val="0"/>
      <w:marRight w:val="0"/>
      <w:marTop w:val="0"/>
      <w:marBottom w:val="0"/>
      <w:divBdr>
        <w:top w:val="none" w:sz="0" w:space="0" w:color="auto"/>
        <w:left w:val="none" w:sz="0" w:space="0" w:color="auto"/>
        <w:bottom w:val="none" w:sz="0" w:space="0" w:color="auto"/>
        <w:right w:val="none" w:sz="0" w:space="0" w:color="auto"/>
      </w:divBdr>
    </w:div>
    <w:div w:id="1579829176">
      <w:bodyDiv w:val="1"/>
      <w:marLeft w:val="0"/>
      <w:marRight w:val="0"/>
      <w:marTop w:val="0"/>
      <w:marBottom w:val="0"/>
      <w:divBdr>
        <w:top w:val="none" w:sz="0" w:space="0" w:color="auto"/>
        <w:left w:val="none" w:sz="0" w:space="0" w:color="auto"/>
        <w:bottom w:val="none" w:sz="0" w:space="0" w:color="auto"/>
        <w:right w:val="none" w:sz="0" w:space="0" w:color="auto"/>
      </w:divBdr>
    </w:div>
    <w:div w:id="1585645899">
      <w:bodyDiv w:val="1"/>
      <w:marLeft w:val="0"/>
      <w:marRight w:val="0"/>
      <w:marTop w:val="0"/>
      <w:marBottom w:val="0"/>
      <w:divBdr>
        <w:top w:val="none" w:sz="0" w:space="0" w:color="auto"/>
        <w:left w:val="none" w:sz="0" w:space="0" w:color="auto"/>
        <w:bottom w:val="none" w:sz="0" w:space="0" w:color="auto"/>
        <w:right w:val="none" w:sz="0" w:space="0" w:color="auto"/>
      </w:divBdr>
    </w:div>
    <w:div w:id="1600872965">
      <w:bodyDiv w:val="1"/>
      <w:marLeft w:val="0"/>
      <w:marRight w:val="0"/>
      <w:marTop w:val="0"/>
      <w:marBottom w:val="0"/>
      <w:divBdr>
        <w:top w:val="none" w:sz="0" w:space="0" w:color="auto"/>
        <w:left w:val="none" w:sz="0" w:space="0" w:color="auto"/>
        <w:bottom w:val="none" w:sz="0" w:space="0" w:color="auto"/>
        <w:right w:val="none" w:sz="0" w:space="0" w:color="auto"/>
      </w:divBdr>
    </w:div>
    <w:div w:id="1672610488">
      <w:bodyDiv w:val="1"/>
      <w:marLeft w:val="0"/>
      <w:marRight w:val="0"/>
      <w:marTop w:val="0"/>
      <w:marBottom w:val="0"/>
      <w:divBdr>
        <w:top w:val="none" w:sz="0" w:space="0" w:color="auto"/>
        <w:left w:val="none" w:sz="0" w:space="0" w:color="auto"/>
        <w:bottom w:val="none" w:sz="0" w:space="0" w:color="auto"/>
        <w:right w:val="none" w:sz="0" w:space="0" w:color="auto"/>
      </w:divBdr>
      <w:divsChild>
        <w:div w:id="1808426667">
          <w:marLeft w:val="360"/>
          <w:marRight w:val="0"/>
          <w:marTop w:val="0"/>
          <w:marBottom w:val="0"/>
          <w:divBdr>
            <w:top w:val="none" w:sz="0" w:space="0" w:color="auto"/>
            <w:left w:val="none" w:sz="0" w:space="0" w:color="auto"/>
            <w:bottom w:val="none" w:sz="0" w:space="0" w:color="auto"/>
            <w:right w:val="none" w:sz="0" w:space="0" w:color="auto"/>
          </w:divBdr>
        </w:div>
      </w:divsChild>
    </w:div>
    <w:div w:id="1686594569">
      <w:bodyDiv w:val="1"/>
      <w:marLeft w:val="0"/>
      <w:marRight w:val="0"/>
      <w:marTop w:val="0"/>
      <w:marBottom w:val="0"/>
      <w:divBdr>
        <w:top w:val="none" w:sz="0" w:space="0" w:color="auto"/>
        <w:left w:val="none" w:sz="0" w:space="0" w:color="auto"/>
        <w:bottom w:val="none" w:sz="0" w:space="0" w:color="auto"/>
        <w:right w:val="none" w:sz="0" w:space="0" w:color="auto"/>
      </w:divBdr>
    </w:div>
    <w:div w:id="1724331366">
      <w:bodyDiv w:val="1"/>
      <w:marLeft w:val="0"/>
      <w:marRight w:val="0"/>
      <w:marTop w:val="0"/>
      <w:marBottom w:val="0"/>
      <w:divBdr>
        <w:top w:val="none" w:sz="0" w:space="0" w:color="auto"/>
        <w:left w:val="none" w:sz="0" w:space="0" w:color="auto"/>
        <w:bottom w:val="none" w:sz="0" w:space="0" w:color="auto"/>
        <w:right w:val="none" w:sz="0" w:space="0" w:color="auto"/>
      </w:divBdr>
      <w:divsChild>
        <w:div w:id="368338517">
          <w:marLeft w:val="0"/>
          <w:marRight w:val="0"/>
          <w:marTop w:val="0"/>
          <w:marBottom w:val="0"/>
          <w:divBdr>
            <w:top w:val="none" w:sz="0" w:space="0" w:color="auto"/>
            <w:left w:val="none" w:sz="0" w:space="0" w:color="auto"/>
            <w:bottom w:val="none" w:sz="0" w:space="0" w:color="auto"/>
            <w:right w:val="none" w:sz="0" w:space="0" w:color="auto"/>
          </w:divBdr>
        </w:div>
        <w:div w:id="20713662">
          <w:marLeft w:val="0"/>
          <w:marRight w:val="0"/>
          <w:marTop w:val="0"/>
          <w:marBottom w:val="0"/>
          <w:divBdr>
            <w:top w:val="none" w:sz="0" w:space="0" w:color="auto"/>
            <w:left w:val="none" w:sz="0" w:space="0" w:color="auto"/>
            <w:bottom w:val="none" w:sz="0" w:space="0" w:color="auto"/>
            <w:right w:val="none" w:sz="0" w:space="0" w:color="auto"/>
          </w:divBdr>
        </w:div>
      </w:divsChild>
    </w:div>
    <w:div w:id="1733120403">
      <w:bodyDiv w:val="1"/>
      <w:marLeft w:val="0"/>
      <w:marRight w:val="0"/>
      <w:marTop w:val="0"/>
      <w:marBottom w:val="0"/>
      <w:divBdr>
        <w:top w:val="none" w:sz="0" w:space="0" w:color="auto"/>
        <w:left w:val="none" w:sz="0" w:space="0" w:color="auto"/>
        <w:bottom w:val="none" w:sz="0" w:space="0" w:color="auto"/>
        <w:right w:val="none" w:sz="0" w:space="0" w:color="auto"/>
      </w:divBdr>
      <w:divsChild>
        <w:div w:id="1051929307">
          <w:marLeft w:val="360"/>
          <w:marRight w:val="0"/>
          <w:marTop w:val="0"/>
          <w:marBottom w:val="0"/>
          <w:divBdr>
            <w:top w:val="none" w:sz="0" w:space="0" w:color="auto"/>
            <w:left w:val="none" w:sz="0" w:space="0" w:color="auto"/>
            <w:bottom w:val="none" w:sz="0" w:space="0" w:color="auto"/>
            <w:right w:val="none" w:sz="0" w:space="0" w:color="auto"/>
          </w:divBdr>
        </w:div>
        <w:div w:id="593708423">
          <w:marLeft w:val="360"/>
          <w:marRight w:val="0"/>
          <w:marTop w:val="0"/>
          <w:marBottom w:val="0"/>
          <w:divBdr>
            <w:top w:val="none" w:sz="0" w:space="0" w:color="auto"/>
            <w:left w:val="none" w:sz="0" w:space="0" w:color="auto"/>
            <w:bottom w:val="none" w:sz="0" w:space="0" w:color="auto"/>
            <w:right w:val="none" w:sz="0" w:space="0" w:color="auto"/>
          </w:divBdr>
        </w:div>
      </w:divsChild>
    </w:div>
    <w:div w:id="1776822899">
      <w:bodyDiv w:val="1"/>
      <w:marLeft w:val="0"/>
      <w:marRight w:val="0"/>
      <w:marTop w:val="0"/>
      <w:marBottom w:val="0"/>
      <w:divBdr>
        <w:top w:val="none" w:sz="0" w:space="0" w:color="auto"/>
        <w:left w:val="none" w:sz="0" w:space="0" w:color="auto"/>
        <w:bottom w:val="none" w:sz="0" w:space="0" w:color="auto"/>
        <w:right w:val="none" w:sz="0" w:space="0" w:color="auto"/>
      </w:divBdr>
      <w:divsChild>
        <w:div w:id="929041702">
          <w:marLeft w:val="360"/>
          <w:marRight w:val="0"/>
          <w:marTop w:val="0"/>
          <w:marBottom w:val="0"/>
          <w:divBdr>
            <w:top w:val="none" w:sz="0" w:space="0" w:color="auto"/>
            <w:left w:val="none" w:sz="0" w:space="0" w:color="auto"/>
            <w:bottom w:val="none" w:sz="0" w:space="0" w:color="auto"/>
            <w:right w:val="none" w:sz="0" w:space="0" w:color="auto"/>
          </w:divBdr>
        </w:div>
        <w:div w:id="820539901">
          <w:marLeft w:val="360"/>
          <w:marRight w:val="0"/>
          <w:marTop w:val="0"/>
          <w:marBottom w:val="0"/>
          <w:divBdr>
            <w:top w:val="none" w:sz="0" w:space="0" w:color="auto"/>
            <w:left w:val="none" w:sz="0" w:space="0" w:color="auto"/>
            <w:bottom w:val="none" w:sz="0" w:space="0" w:color="auto"/>
            <w:right w:val="none" w:sz="0" w:space="0" w:color="auto"/>
          </w:divBdr>
        </w:div>
        <w:div w:id="1090660643">
          <w:marLeft w:val="360"/>
          <w:marRight w:val="0"/>
          <w:marTop w:val="0"/>
          <w:marBottom w:val="0"/>
          <w:divBdr>
            <w:top w:val="none" w:sz="0" w:space="0" w:color="auto"/>
            <w:left w:val="none" w:sz="0" w:space="0" w:color="auto"/>
            <w:bottom w:val="none" w:sz="0" w:space="0" w:color="auto"/>
            <w:right w:val="none" w:sz="0" w:space="0" w:color="auto"/>
          </w:divBdr>
        </w:div>
        <w:div w:id="624430827">
          <w:marLeft w:val="360"/>
          <w:marRight w:val="0"/>
          <w:marTop w:val="0"/>
          <w:marBottom w:val="0"/>
          <w:divBdr>
            <w:top w:val="none" w:sz="0" w:space="0" w:color="auto"/>
            <w:left w:val="none" w:sz="0" w:space="0" w:color="auto"/>
            <w:bottom w:val="none" w:sz="0" w:space="0" w:color="auto"/>
            <w:right w:val="none" w:sz="0" w:space="0" w:color="auto"/>
          </w:divBdr>
        </w:div>
      </w:divsChild>
    </w:div>
    <w:div w:id="1802116156">
      <w:bodyDiv w:val="1"/>
      <w:marLeft w:val="0"/>
      <w:marRight w:val="0"/>
      <w:marTop w:val="0"/>
      <w:marBottom w:val="0"/>
      <w:divBdr>
        <w:top w:val="none" w:sz="0" w:space="0" w:color="auto"/>
        <w:left w:val="none" w:sz="0" w:space="0" w:color="auto"/>
        <w:bottom w:val="none" w:sz="0" w:space="0" w:color="auto"/>
        <w:right w:val="none" w:sz="0" w:space="0" w:color="auto"/>
      </w:divBdr>
    </w:div>
    <w:div w:id="1806313497">
      <w:bodyDiv w:val="1"/>
      <w:marLeft w:val="0"/>
      <w:marRight w:val="0"/>
      <w:marTop w:val="0"/>
      <w:marBottom w:val="0"/>
      <w:divBdr>
        <w:top w:val="none" w:sz="0" w:space="0" w:color="auto"/>
        <w:left w:val="none" w:sz="0" w:space="0" w:color="auto"/>
        <w:bottom w:val="none" w:sz="0" w:space="0" w:color="auto"/>
        <w:right w:val="none" w:sz="0" w:space="0" w:color="auto"/>
      </w:divBdr>
      <w:divsChild>
        <w:div w:id="735709856">
          <w:marLeft w:val="0"/>
          <w:marRight w:val="0"/>
          <w:marTop w:val="0"/>
          <w:marBottom w:val="0"/>
          <w:divBdr>
            <w:top w:val="none" w:sz="0" w:space="0" w:color="auto"/>
            <w:left w:val="none" w:sz="0" w:space="0" w:color="auto"/>
            <w:bottom w:val="none" w:sz="0" w:space="0" w:color="auto"/>
            <w:right w:val="none" w:sz="0" w:space="0" w:color="auto"/>
          </w:divBdr>
        </w:div>
        <w:div w:id="854423880">
          <w:marLeft w:val="0"/>
          <w:marRight w:val="0"/>
          <w:marTop w:val="0"/>
          <w:marBottom w:val="0"/>
          <w:divBdr>
            <w:top w:val="none" w:sz="0" w:space="0" w:color="auto"/>
            <w:left w:val="none" w:sz="0" w:space="0" w:color="auto"/>
            <w:bottom w:val="none" w:sz="0" w:space="0" w:color="auto"/>
            <w:right w:val="none" w:sz="0" w:space="0" w:color="auto"/>
          </w:divBdr>
        </w:div>
      </w:divsChild>
    </w:div>
    <w:div w:id="1849978652">
      <w:bodyDiv w:val="1"/>
      <w:marLeft w:val="0"/>
      <w:marRight w:val="0"/>
      <w:marTop w:val="0"/>
      <w:marBottom w:val="0"/>
      <w:divBdr>
        <w:top w:val="none" w:sz="0" w:space="0" w:color="auto"/>
        <w:left w:val="none" w:sz="0" w:space="0" w:color="auto"/>
        <w:bottom w:val="none" w:sz="0" w:space="0" w:color="auto"/>
        <w:right w:val="none" w:sz="0" w:space="0" w:color="auto"/>
      </w:divBdr>
    </w:div>
    <w:div w:id="1856532844">
      <w:bodyDiv w:val="1"/>
      <w:marLeft w:val="0"/>
      <w:marRight w:val="0"/>
      <w:marTop w:val="0"/>
      <w:marBottom w:val="0"/>
      <w:divBdr>
        <w:top w:val="none" w:sz="0" w:space="0" w:color="auto"/>
        <w:left w:val="none" w:sz="0" w:space="0" w:color="auto"/>
        <w:bottom w:val="none" w:sz="0" w:space="0" w:color="auto"/>
        <w:right w:val="none" w:sz="0" w:space="0" w:color="auto"/>
      </w:divBdr>
    </w:div>
    <w:div w:id="1948852840">
      <w:bodyDiv w:val="1"/>
      <w:marLeft w:val="0"/>
      <w:marRight w:val="0"/>
      <w:marTop w:val="0"/>
      <w:marBottom w:val="0"/>
      <w:divBdr>
        <w:top w:val="none" w:sz="0" w:space="0" w:color="auto"/>
        <w:left w:val="none" w:sz="0" w:space="0" w:color="auto"/>
        <w:bottom w:val="none" w:sz="0" w:space="0" w:color="auto"/>
        <w:right w:val="none" w:sz="0" w:space="0" w:color="auto"/>
      </w:divBdr>
      <w:divsChild>
        <w:div w:id="1721319034">
          <w:marLeft w:val="259"/>
          <w:marRight w:val="0"/>
          <w:marTop w:val="141"/>
          <w:marBottom w:val="0"/>
          <w:divBdr>
            <w:top w:val="none" w:sz="0" w:space="0" w:color="auto"/>
            <w:left w:val="none" w:sz="0" w:space="0" w:color="auto"/>
            <w:bottom w:val="none" w:sz="0" w:space="0" w:color="auto"/>
            <w:right w:val="none" w:sz="0" w:space="0" w:color="auto"/>
          </w:divBdr>
        </w:div>
        <w:div w:id="1711879313">
          <w:marLeft w:val="259"/>
          <w:marRight w:val="0"/>
          <w:marTop w:val="141"/>
          <w:marBottom w:val="0"/>
          <w:divBdr>
            <w:top w:val="none" w:sz="0" w:space="0" w:color="auto"/>
            <w:left w:val="none" w:sz="0" w:space="0" w:color="auto"/>
            <w:bottom w:val="none" w:sz="0" w:space="0" w:color="auto"/>
            <w:right w:val="none" w:sz="0" w:space="0" w:color="auto"/>
          </w:divBdr>
        </w:div>
        <w:div w:id="967272672">
          <w:marLeft w:val="259"/>
          <w:marRight w:val="0"/>
          <w:marTop w:val="141"/>
          <w:marBottom w:val="0"/>
          <w:divBdr>
            <w:top w:val="none" w:sz="0" w:space="0" w:color="auto"/>
            <w:left w:val="none" w:sz="0" w:space="0" w:color="auto"/>
            <w:bottom w:val="none" w:sz="0" w:space="0" w:color="auto"/>
            <w:right w:val="none" w:sz="0" w:space="0" w:color="auto"/>
          </w:divBdr>
        </w:div>
        <w:div w:id="200436865">
          <w:marLeft w:val="259"/>
          <w:marRight w:val="0"/>
          <w:marTop w:val="141"/>
          <w:marBottom w:val="0"/>
          <w:divBdr>
            <w:top w:val="none" w:sz="0" w:space="0" w:color="auto"/>
            <w:left w:val="none" w:sz="0" w:space="0" w:color="auto"/>
            <w:bottom w:val="none" w:sz="0" w:space="0" w:color="auto"/>
            <w:right w:val="none" w:sz="0" w:space="0" w:color="auto"/>
          </w:divBdr>
        </w:div>
        <w:div w:id="362366949">
          <w:marLeft w:val="259"/>
          <w:marRight w:val="0"/>
          <w:marTop w:val="141"/>
          <w:marBottom w:val="0"/>
          <w:divBdr>
            <w:top w:val="none" w:sz="0" w:space="0" w:color="auto"/>
            <w:left w:val="none" w:sz="0" w:space="0" w:color="auto"/>
            <w:bottom w:val="none" w:sz="0" w:space="0" w:color="auto"/>
            <w:right w:val="none" w:sz="0" w:space="0" w:color="auto"/>
          </w:divBdr>
        </w:div>
        <w:div w:id="530076502">
          <w:marLeft w:val="259"/>
          <w:marRight w:val="0"/>
          <w:marTop w:val="141"/>
          <w:marBottom w:val="0"/>
          <w:divBdr>
            <w:top w:val="none" w:sz="0" w:space="0" w:color="auto"/>
            <w:left w:val="none" w:sz="0" w:space="0" w:color="auto"/>
            <w:bottom w:val="none" w:sz="0" w:space="0" w:color="auto"/>
            <w:right w:val="none" w:sz="0" w:space="0" w:color="auto"/>
          </w:divBdr>
        </w:div>
        <w:div w:id="883902875">
          <w:marLeft w:val="259"/>
          <w:marRight w:val="0"/>
          <w:marTop w:val="141"/>
          <w:marBottom w:val="0"/>
          <w:divBdr>
            <w:top w:val="none" w:sz="0" w:space="0" w:color="auto"/>
            <w:left w:val="none" w:sz="0" w:space="0" w:color="auto"/>
            <w:bottom w:val="none" w:sz="0" w:space="0" w:color="auto"/>
            <w:right w:val="none" w:sz="0" w:space="0" w:color="auto"/>
          </w:divBdr>
        </w:div>
        <w:div w:id="1891921812">
          <w:marLeft w:val="259"/>
          <w:marRight w:val="0"/>
          <w:marTop w:val="141"/>
          <w:marBottom w:val="0"/>
          <w:divBdr>
            <w:top w:val="none" w:sz="0" w:space="0" w:color="auto"/>
            <w:left w:val="none" w:sz="0" w:space="0" w:color="auto"/>
            <w:bottom w:val="none" w:sz="0" w:space="0" w:color="auto"/>
            <w:right w:val="none" w:sz="0" w:space="0" w:color="auto"/>
          </w:divBdr>
        </w:div>
        <w:div w:id="1732072954">
          <w:marLeft w:val="259"/>
          <w:marRight w:val="0"/>
          <w:marTop w:val="141"/>
          <w:marBottom w:val="0"/>
          <w:divBdr>
            <w:top w:val="none" w:sz="0" w:space="0" w:color="auto"/>
            <w:left w:val="none" w:sz="0" w:space="0" w:color="auto"/>
            <w:bottom w:val="none" w:sz="0" w:space="0" w:color="auto"/>
            <w:right w:val="none" w:sz="0" w:space="0" w:color="auto"/>
          </w:divBdr>
        </w:div>
      </w:divsChild>
    </w:div>
    <w:div w:id="1956331205">
      <w:bodyDiv w:val="1"/>
      <w:marLeft w:val="0"/>
      <w:marRight w:val="0"/>
      <w:marTop w:val="0"/>
      <w:marBottom w:val="0"/>
      <w:divBdr>
        <w:top w:val="none" w:sz="0" w:space="0" w:color="auto"/>
        <w:left w:val="none" w:sz="0" w:space="0" w:color="auto"/>
        <w:bottom w:val="none" w:sz="0" w:space="0" w:color="auto"/>
        <w:right w:val="none" w:sz="0" w:space="0" w:color="auto"/>
      </w:divBdr>
    </w:div>
    <w:div w:id="1983657005">
      <w:bodyDiv w:val="1"/>
      <w:marLeft w:val="0"/>
      <w:marRight w:val="0"/>
      <w:marTop w:val="0"/>
      <w:marBottom w:val="0"/>
      <w:divBdr>
        <w:top w:val="none" w:sz="0" w:space="0" w:color="auto"/>
        <w:left w:val="none" w:sz="0" w:space="0" w:color="auto"/>
        <w:bottom w:val="none" w:sz="0" w:space="0" w:color="auto"/>
        <w:right w:val="none" w:sz="0" w:space="0" w:color="auto"/>
      </w:divBdr>
    </w:div>
    <w:div w:id="2001884945">
      <w:bodyDiv w:val="1"/>
      <w:marLeft w:val="0"/>
      <w:marRight w:val="0"/>
      <w:marTop w:val="0"/>
      <w:marBottom w:val="0"/>
      <w:divBdr>
        <w:top w:val="none" w:sz="0" w:space="0" w:color="auto"/>
        <w:left w:val="none" w:sz="0" w:space="0" w:color="auto"/>
        <w:bottom w:val="none" w:sz="0" w:space="0" w:color="auto"/>
        <w:right w:val="none" w:sz="0" w:space="0" w:color="auto"/>
      </w:divBdr>
    </w:div>
    <w:div w:id="2011593336">
      <w:bodyDiv w:val="1"/>
      <w:marLeft w:val="0"/>
      <w:marRight w:val="0"/>
      <w:marTop w:val="0"/>
      <w:marBottom w:val="0"/>
      <w:divBdr>
        <w:top w:val="none" w:sz="0" w:space="0" w:color="auto"/>
        <w:left w:val="none" w:sz="0" w:space="0" w:color="auto"/>
        <w:bottom w:val="none" w:sz="0" w:space="0" w:color="auto"/>
        <w:right w:val="none" w:sz="0" w:space="0" w:color="auto"/>
      </w:divBdr>
    </w:div>
    <w:div w:id="2022587676">
      <w:bodyDiv w:val="1"/>
      <w:marLeft w:val="0"/>
      <w:marRight w:val="0"/>
      <w:marTop w:val="0"/>
      <w:marBottom w:val="0"/>
      <w:divBdr>
        <w:top w:val="none" w:sz="0" w:space="0" w:color="auto"/>
        <w:left w:val="none" w:sz="0" w:space="0" w:color="auto"/>
        <w:bottom w:val="none" w:sz="0" w:space="0" w:color="auto"/>
        <w:right w:val="none" w:sz="0" w:space="0" w:color="auto"/>
      </w:divBdr>
      <w:divsChild>
        <w:div w:id="765922875">
          <w:marLeft w:val="360"/>
          <w:marRight w:val="0"/>
          <w:marTop w:val="200"/>
          <w:marBottom w:val="0"/>
          <w:divBdr>
            <w:top w:val="none" w:sz="0" w:space="0" w:color="auto"/>
            <w:left w:val="none" w:sz="0" w:space="0" w:color="auto"/>
            <w:bottom w:val="none" w:sz="0" w:space="0" w:color="auto"/>
            <w:right w:val="none" w:sz="0" w:space="0" w:color="auto"/>
          </w:divBdr>
        </w:div>
      </w:divsChild>
    </w:div>
    <w:div w:id="20979012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TotalTime>
  <Pages>19</Pages>
  <Words>1797</Words>
  <Characters>10246</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8</cp:revision>
  <cp:lastPrinted>2025-03-29T12:33:00Z</cp:lastPrinted>
  <dcterms:created xsi:type="dcterms:W3CDTF">2025-03-29T12:44:00Z</dcterms:created>
  <dcterms:modified xsi:type="dcterms:W3CDTF">2025-04-15T14:44:00Z</dcterms:modified>
</cp:coreProperties>
</file>