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F05A13" w14:textId="77777777" w:rsidR="00DF6794" w:rsidRDefault="00DF6794" w:rsidP="00DF6794">
      <w:pPr>
        <w:pStyle w:val="Heading1"/>
      </w:pPr>
      <w:r>
        <w:t>Supplementary Tables and Figures</w:t>
      </w:r>
    </w:p>
    <w:tbl>
      <w:tblPr>
        <w:tblW w:w="10305" w:type="dxa"/>
        <w:tblInd w:w="-435" w:type="dxa"/>
        <w:tblBorders>
          <w:top w:val="nil"/>
          <w:left w:val="nil"/>
          <w:bottom w:val="nil"/>
          <w:right w:val="nil"/>
          <w:insideH w:val="nil"/>
          <w:insideV w:val="nil"/>
        </w:tblBorders>
        <w:tblLayout w:type="fixed"/>
        <w:tblLook w:val="0600" w:firstRow="0" w:lastRow="0" w:firstColumn="0" w:lastColumn="0" w:noHBand="1" w:noVBand="1"/>
      </w:tblPr>
      <w:tblGrid>
        <w:gridCol w:w="2445"/>
        <w:gridCol w:w="3900"/>
        <w:gridCol w:w="3960"/>
      </w:tblGrid>
      <w:tr w:rsidR="00DF6794" w14:paraId="3D2CDB50" w14:textId="77777777" w:rsidTr="00624140">
        <w:trPr>
          <w:trHeight w:val="495"/>
        </w:trPr>
        <w:tc>
          <w:tcPr>
            <w:tcW w:w="2445" w:type="dxa"/>
            <w:tcBorders>
              <w:top w:val="single" w:sz="12" w:space="0" w:color="666666"/>
              <w:left w:val="single" w:sz="8" w:space="0" w:color="000000"/>
              <w:bottom w:val="single" w:sz="12" w:space="0" w:color="666666"/>
              <w:right w:val="single" w:sz="8" w:space="0" w:color="000000"/>
            </w:tcBorders>
            <w:shd w:val="clear" w:color="auto" w:fill="FFFFFF"/>
            <w:tcMar>
              <w:top w:w="0" w:type="dxa"/>
              <w:left w:w="0" w:type="dxa"/>
              <w:bottom w:w="0" w:type="dxa"/>
              <w:right w:w="0" w:type="dxa"/>
            </w:tcMar>
          </w:tcPr>
          <w:p w14:paraId="1FBC45A6" w14:textId="77777777" w:rsidR="00DF6794" w:rsidRDefault="00DF6794" w:rsidP="00624140">
            <w:pPr>
              <w:spacing w:before="100" w:after="100" w:line="240" w:lineRule="auto"/>
              <w:ind w:left="100" w:right="100"/>
              <w:jc w:val="both"/>
              <w:rPr>
                <w:b/>
              </w:rPr>
            </w:pPr>
            <w:r>
              <w:rPr>
                <w:b/>
              </w:rPr>
              <w:t>Station</w:t>
            </w:r>
          </w:p>
        </w:tc>
        <w:tc>
          <w:tcPr>
            <w:tcW w:w="3900" w:type="dxa"/>
            <w:tcBorders>
              <w:top w:val="single" w:sz="12" w:space="0" w:color="666666"/>
              <w:bottom w:val="single" w:sz="12" w:space="0" w:color="666666"/>
              <w:right w:val="single" w:sz="8" w:space="0" w:color="000000"/>
            </w:tcBorders>
            <w:shd w:val="clear" w:color="auto" w:fill="FFFFFF"/>
            <w:tcMar>
              <w:top w:w="0" w:type="dxa"/>
              <w:left w:w="0" w:type="dxa"/>
              <w:bottom w:w="0" w:type="dxa"/>
              <w:right w:w="0" w:type="dxa"/>
            </w:tcMar>
          </w:tcPr>
          <w:p w14:paraId="14C8B45F" w14:textId="77777777" w:rsidR="00DF6794" w:rsidRDefault="00DF6794" w:rsidP="00624140">
            <w:pPr>
              <w:spacing w:before="100" w:after="100" w:line="240" w:lineRule="auto"/>
              <w:ind w:left="100" w:right="100"/>
              <w:jc w:val="both"/>
              <w:rPr>
                <w:b/>
              </w:rPr>
            </w:pPr>
            <w:r>
              <w:rPr>
                <w:b/>
              </w:rPr>
              <w:t>51</w:t>
            </w:r>
          </w:p>
        </w:tc>
        <w:tc>
          <w:tcPr>
            <w:tcW w:w="3960" w:type="dxa"/>
            <w:tcBorders>
              <w:top w:val="single" w:sz="12" w:space="0" w:color="666666"/>
              <w:bottom w:val="single" w:sz="12" w:space="0" w:color="666666"/>
              <w:right w:val="single" w:sz="8" w:space="0" w:color="000000"/>
            </w:tcBorders>
            <w:shd w:val="clear" w:color="auto" w:fill="FFFFFF"/>
            <w:tcMar>
              <w:top w:w="0" w:type="dxa"/>
              <w:left w:w="0" w:type="dxa"/>
              <w:bottom w:w="0" w:type="dxa"/>
              <w:right w:w="0" w:type="dxa"/>
            </w:tcMar>
          </w:tcPr>
          <w:p w14:paraId="72BC4EED" w14:textId="77777777" w:rsidR="00DF6794" w:rsidRDefault="00DF6794" w:rsidP="00624140">
            <w:pPr>
              <w:spacing w:before="100" w:after="100" w:line="240" w:lineRule="auto"/>
              <w:ind w:left="100" w:right="100"/>
              <w:jc w:val="both"/>
              <w:rPr>
                <w:b/>
              </w:rPr>
            </w:pPr>
            <w:r>
              <w:rPr>
                <w:b/>
              </w:rPr>
              <w:t>130</w:t>
            </w:r>
          </w:p>
        </w:tc>
      </w:tr>
      <w:tr w:rsidR="00DF6794" w14:paraId="5DBCB5F1" w14:textId="77777777" w:rsidTr="00624140">
        <w:trPr>
          <w:trHeight w:val="750"/>
        </w:trPr>
        <w:tc>
          <w:tcPr>
            <w:tcW w:w="2445" w:type="dxa"/>
            <w:tcBorders>
              <w:left w:val="single" w:sz="8" w:space="0" w:color="000000"/>
              <w:bottom w:val="single" w:sz="8" w:space="0" w:color="666666"/>
              <w:right w:val="single" w:sz="8" w:space="0" w:color="000000"/>
            </w:tcBorders>
            <w:shd w:val="clear" w:color="auto" w:fill="FFFFFF"/>
            <w:tcMar>
              <w:top w:w="0" w:type="dxa"/>
              <w:left w:w="0" w:type="dxa"/>
              <w:bottom w:w="0" w:type="dxa"/>
              <w:right w:w="0" w:type="dxa"/>
            </w:tcMar>
          </w:tcPr>
          <w:p w14:paraId="7CE65BDC" w14:textId="77777777" w:rsidR="00DF6794" w:rsidRDefault="00DF6794" w:rsidP="00624140">
            <w:pPr>
              <w:spacing w:before="100" w:after="100" w:line="240" w:lineRule="auto"/>
              <w:ind w:left="100" w:right="100"/>
              <w:jc w:val="both"/>
            </w:pPr>
            <w:r>
              <w:t>Sampling time span</w:t>
            </w:r>
          </w:p>
        </w:tc>
        <w:tc>
          <w:tcPr>
            <w:tcW w:w="3900" w:type="dxa"/>
            <w:tcBorders>
              <w:bottom w:val="single" w:sz="8" w:space="0" w:color="666666"/>
              <w:right w:val="single" w:sz="8" w:space="0" w:color="000000"/>
            </w:tcBorders>
            <w:shd w:val="clear" w:color="auto" w:fill="FFFFFF"/>
            <w:tcMar>
              <w:top w:w="0" w:type="dxa"/>
              <w:left w:w="0" w:type="dxa"/>
              <w:bottom w:w="0" w:type="dxa"/>
              <w:right w:w="0" w:type="dxa"/>
            </w:tcMar>
          </w:tcPr>
          <w:p w14:paraId="2C5EF1EC" w14:textId="77777777" w:rsidR="00DF6794" w:rsidRDefault="00DF6794" w:rsidP="00624140">
            <w:pPr>
              <w:spacing w:before="100" w:after="100" w:line="240" w:lineRule="auto"/>
              <w:ind w:left="100" w:right="100"/>
              <w:jc w:val="both"/>
            </w:pPr>
            <w:r>
              <w:t>18/04/2023 11:00 - 19/04/2023 07:00</w:t>
            </w:r>
          </w:p>
        </w:tc>
        <w:tc>
          <w:tcPr>
            <w:tcW w:w="3960" w:type="dxa"/>
            <w:tcBorders>
              <w:bottom w:val="single" w:sz="8" w:space="0" w:color="666666"/>
              <w:right w:val="single" w:sz="8" w:space="0" w:color="000000"/>
            </w:tcBorders>
            <w:shd w:val="clear" w:color="auto" w:fill="FFFFFF"/>
            <w:tcMar>
              <w:top w:w="0" w:type="dxa"/>
              <w:left w:w="0" w:type="dxa"/>
              <w:bottom w:w="0" w:type="dxa"/>
              <w:right w:w="0" w:type="dxa"/>
            </w:tcMar>
          </w:tcPr>
          <w:p w14:paraId="5173ACE5" w14:textId="77777777" w:rsidR="00DF6794" w:rsidRDefault="00DF6794" w:rsidP="00624140">
            <w:pPr>
              <w:spacing w:before="100" w:after="100" w:line="240" w:lineRule="auto"/>
              <w:ind w:left="100" w:right="100"/>
              <w:jc w:val="both"/>
            </w:pPr>
            <w:r>
              <w:t>20/04/2023 08:00 - 21/04/2023 08:00</w:t>
            </w:r>
          </w:p>
        </w:tc>
      </w:tr>
      <w:tr w:rsidR="00DF6794" w14:paraId="5A944EA8" w14:textId="77777777" w:rsidTr="00624140">
        <w:trPr>
          <w:trHeight w:val="735"/>
        </w:trPr>
        <w:tc>
          <w:tcPr>
            <w:tcW w:w="2445" w:type="dxa"/>
            <w:tcBorders>
              <w:left w:val="single" w:sz="8" w:space="0" w:color="000000"/>
              <w:bottom w:val="single" w:sz="8" w:space="0" w:color="666666"/>
              <w:right w:val="single" w:sz="8" w:space="0" w:color="000000"/>
            </w:tcBorders>
            <w:shd w:val="clear" w:color="auto" w:fill="FFFFFF"/>
            <w:tcMar>
              <w:top w:w="0" w:type="dxa"/>
              <w:left w:w="0" w:type="dxa"/>
              <w:bottom w:w="0" w:type="dxa"/>
              <w:right w:w="0" w:type="dxa"/>
            </w:tcMar>
          </w:tcPr>
          <w:p w14:paraId="2B9CB5D8" w14:textId="77777777" w:rsidR="00DF6794" w:rsidRDefault="00DF6794" w:rsidP="00624140">
            <w:pPr>
              <w:spacing w:before="100" w:after="100" w:line="240" w:lineRule="auto"/>
              <w:ind w:left="100" w:right="100"/>
              <w:jc w:val="both"/>
            </w:pPr>
            <w:r>
              <w:t>Station coordinates</w:t>
            </w:r>
          </w:p>
        </w:tc>
        <w:tc>
          <w:tcPr>
            <w:tcW w:w="3900" w:type="dxa"/>
            <w:tcBorders>
              <w:bottom w:val="single" w:sz="8" w:space="0" w:color="666666"/>
              <w:right w:val="single" w:sz="8" w:space="0" w:color="000000"/>
            </w:tcBorders>
            <w:shd w:val="clear" w:color="auto" w:fill="FFFFFF"/>
            <w:tcMar>
              <w:top w:w="0" w:type="dxa"/>
              <w:left w:w="0" w:type="dxa"/>
              <w:bottom w:w="0" w:type="dxa"/>
              <w:right w:w="0" w:type="dxa"/>
            </w:tcMar>
          </w:tcPr>
          <w:p w14:paraId="35F8EA66" w14:textId="77777777" w:rsidR="00DF6794" w:rsidRDefault="00DF6794" w:rsidP="00624140">
            <w:pPr>
              <w:spacing w:before="100" w:after="100" w:line="240" w:lineRule="auto"/>
              <w:ind w:left="100" w:right="100"/>
              <w:jc w:val="both"/>
            </w:pPr>
            <w:r>
              <w:t>N 51.5317</w:t>
            </w:r>
            <w:r>
              <w:rPr>
                <w:color w:val="474747"/>
                <w:highlight w:val="white"/>
              </w:rPr>
              <w:t>°</w:t>
            </w:r>
            <w:r>
              <w:t xml:space="preserve"> E 3.1828</w:t>
            </w:r>
            <w:r>
              <w:rPr>
                <w:color w:val="474747"/>
                <w:highlight w:val="white"/>
              </w:rPr>
              <w:t>°</w:t>
            </w:r>
          </w:p>
        </w:tc>
        <w:tc>
          <w:tcPr>
            <w:tcW w:w="3960" w:type="dxa"/>
            <w:tcBorders>
              <w:bottom w:val="single" w:sz="8" w:space="0" w:color="666666"/>
              <w:right w:val="single" w:sz="8" w:space="0" w:color="000000"/>
            </w:tcBorders>
            <w:shd w:val="clear" w:color="auto" w:fill="FFFFFF"/>
            <w:tcMar>
              <w:top w:w="0" w:type="dxa"/>
              <w:left w:w="0" w:type="dxa"/>
              <w:bottom w:w="0" w:type="dxa"/>
              <w:right w:w="0" w:type="dxa"/>
            </w:tcMar>
          </w:tcPr>
          <w:p w14:paraId="2945171C" w14:textId="77777777" w:rsidR="00DF6794" w:rsidRDefault="00DF6794" w:rsidP="00624140">
            <w:pPr>
              <w:spacing w:before="100" w:after="100" w:line="240" w:lineRule="auto"/>
              <w:ind w:left="100" w:right="100"/>
              <w:jc w:val="both"/>
            </w:pPr>
            <w:r>
              <w:t>N 51.2164</w:t>
            </w:r>
            <w:r>
              <w:rPr>
                <w:color w:val="474747"/>
                <w:highlight w:val="white"/>
              </w:rPr>
              <w:t>°</w:t>
            </w:r>
            <w:r>
              <w:t xml:space="preserve"> E 2.8513</w:t>
            </w:r>
            <w:r>
              <w:rPr>
                <w:color w:val="474747"/>
                <w:highlight w:val="white"/>
              </w:rPr>
              <w:t>°</w:t>
            </w:r>
          </w:p>
        </w:tc>
      </w:tr>
      <w:tr w:rsidR="00DF6794" w14:paraId="089D324D" w14:textId="77777777" w:rsidTr="00624140">
        <w:trPr>
          <w:trHeight w:val="735"/>
        </w:trPr>
        <w:tc>
          <w:tcPr>
            <w:tcW w:w="2445" w:type="dxa"/>
            <w:tcBorders>
              <w:left w:val="single" w:sz="8" w:space="0" w:color="000000"/>
              <w:bottom w:val="single" w:sz="8" w:space="0" w:color="666666"/>
              <w:right w:val="single" w:sz="8" w:space="0" w:color="000000"/>
            </w:tcBorders>
            <w:shd w:val="clear" w:color="auto" w:fill="FFFFFF"/>
            <w:tcMar>
              <w:top w:w="0" w:type="dxa"/>
              <w:left w:w="0" w:type="dxa"/>
              <w:bottom w:w="0" w:type="dxa"/>
              <w:right w:w="0" w:type="dxa"/>
            </w:tcMar>
          </w:tcPr>
          <w:p w14:paraId="069A79CC" w14:textId="77777777" w:rsidR="00DF6794" w:rsidRDefault="00DF6794" w:rsidP="00624140">
            <w:pPr>
              <w:spacing w:before="100" w:after="100" w:line="240" w:lineRule="auto"/>
              <w:ind w:left="100" w:right="100"/>
              <w:jc w:val="both"/>
            </w:pPr>
            <w:r>
              <w:t>High tide</w:t>
            </w:r>
          </w:p>
        </w:tc>
        <w:tc>
          <w:tcPr>
            <w:tcW w:w="3900" w:type="dxa"/>
            <w:tcBorders>
              <w:bottom w:val="single" w:sz="8" w:space="0" w:color="666666"/>
              <w:right w:val="single" w:sz="8" w:space="0" w:color="000000"/>
            </w:tcBorders>
            <w:shd w:val="clear" w:color="auto" w:fill="FFFFFF"/>
            <w:tcMar>
              <w:top w:w="0" w:type="dxa"/>
              <w:left w:w="0" w:type="dxa"/>
              <w:bottom w:w="0" w:type="dxa"/>
              <w:right w:w="0" w:type="dxa"/>
            </w:tcMar>
          </w:tcPr>
          <w:p w14:paraId="6F3F36C3" w14:textId="77777777" w:rsidR="00DF6794" w:rsidRDefault="00DF6794" w:rsidP="00624140">
            <w:pPr>
              <w:spacing w:before="100" w:after="100" w:line="240" w:lineRule="auto"/>
              <w:ind w:left="100" w:right="100"/>
              <w:jc w:val="both"/>
            </w:pPr>
            <w:r>
              <w:t>11:52 18/04/2023, 00:06 19/04/2023</w:t>
            </w:r>
          </w:p>
        </w:tc>
        <w:tc>
          <w:tcPr>
            <w:tcW w:w="3960" w:type="dxa"/>
            <w:tcBorders>
              <w:bottom w:val="single" w:sz="8" w:space="0" w:color="666666"/>
              <w:right w:val="single" w:sz="8" w:space="0" w:color="000000"/>
            </w:tcBorders>
            <w:shd w:val="clear" w:color="auto" w:fill="FFFFFF"/>
            <w:tcMar>
              <w:top w:w="0" w:type="dxa"/>
              <w:left w:w="0" w:type="dxa"/>
              <w:bottom w:w="0" w:type="dxa"/>
              <w:right w:w="0" w:type="dxa"/>
            </w:tcMar>
          </w:tcPr>
          <w:p w14:paraId="6724C4C2" w14:textId="77777777" w:rsidR="00DF6794" w:rsidRDefault="00DF6794" w:rsidP="00624140">
            <w:pPr>
              <w:spacing w:before="100" w:after="100" w:line="240" w:lineRule="auto"/>
              <w:ind w:left="100" w:right="100"/>
              <w:jc w:val="both"/>
            </w:pPr>
            <w:r>
              <w:t>06:33 20/04/2023, 18:50 20/04/2023, 07:14 21/04/2023</w:t>
            </w:r>
          </w:p>
        </w:tc>
      </w:tr>
      <w:tr w:rsidR="00DF6794" w14:paraId="62063062" w14:textId="77777777" w:rsidTr="00624140">
        <w:trPr>
          <w:trHeight w:val="735"/>
        </w:trPr>
        <w:tc>
          <w:tcPr>
            <w:tcW w:w="2445" w:type="dxa"/>
            <w:tcBorders>
              <w:left w:val="single" w:sz="8" w:space="0" w:color="000000"/>
              <w:bottom w:val="single" w:sz="8" w:space="0" w:color="666666"/>
              <w:right w:val="single" w:sz="8" w:space="0" w:color="000000"/>
            </w:tcBorders>
            <w:shd w:val="clear" w:color="auto" w:fill="FFFFFF"/>
            <w:tcMar>
              <w:top w:w="0" w:type="dxa"/>
              <w:left w:w="0" w:type="dxa"/>
              <w:bottom w:w="0" w:type="dxa"/>
              <w:right w:w="0" w:type="dxa"/>
            </w:tcMar>
          </w:tcPr>
          <w:p w14:paraId="119F7610" w14:textId="77777777" w:rsidR="00DF6794" w:rsidRDefault="00DF6794" w:rsidP="00624140">
            <w:pPr>
              <w:spacing w:before="100" w:after="100" w:line="240" w:lineRule="auto"/>
              <w:ind w:left="100" w:right="100"/>
              <w:jc w:val="both"/>
            </w:pPr>
            <w:r>
              <w:t>Low tide</w:t>
            </w:r>
          </w:p>
        </w:tc>
        <w:tc>
          <w:tcPr>
            <w:tcW w:w="3900" w:type="dxa"/>
            <w:tcBorders>
              <w:bottom w:val="single" w:sz="8" w:space="0" w:color="666666"/>
              <w:right w:val="single" w:sz="8" w:space="0" w:color="000000"/>
            </w:tcBorders>
            <w:shd w:val="clear" w:color="auto" w:fill="FFFFFF"/>
            <w:tcMar>
              <w:top w:w="0" w:type="dxa"/>
              <w:left w:w="0" w:type="dxa"/>
              <w:bottom w:w="0" w:type="dxa"/>
              <w:right w:w="0" w:type="dxa"/>
            </w:tcMar>
          </w:tcPr>
          <w:p w14:paraId="2D80FF3B" w14:textId="77777777" w:rsidR="00DF6794" w:rsidRDefault="00DF6794" w:rsidP="00624140">
            <w:pPr>
              <w:spacing w:before="100" w:after="100" w:line="240" w:lineRule="auto"/>
              <w:ind w:left="100" w:right="100"/>
              <w:jc w:val="both"/>
            </w:pPr>
            <w:r>
              <w:t>18:12 18/04/2023, 06:40 19/04/2023</w:t>
            </w:r>
          </w:p>
        </w:tc>
        <w:tc>
          <w:tcPr>
            <w:tcW w:w="3960" w:type="dxa"/>
            <w:tcBorders>
              <w:bottom w:val="single" w:sz="8" w:space="0" w:color="666666"/>
              <w:right w:val="single" w:sz="8" w:space="0" w:color="000000"/>
            </w:tcBorders>
            <w:shd w:val="clear" w:color="auto" w:fill="FFFFFF"/>
            <w:tcMar>
              <w:top w:w="0" w:type="dxa"/>
              <w:left w:w="0" w:type="dxa"/>
              <w:bottom w:w="0" w:type="dxa"/>
              <w:right w:w="0" w:type="dxa"/>
            </w:tcMar>
          </w:tcPr>
          <w:p w14:paraId="48CC55D9" w14:textId="77777777" w:rsidR="00DF6794" w:rsidRDefault="00DF6794" w:rsidP="00624140">
            <w:pPr>
              <w:spacing w:before="100" w:after="100" w:line="240" w:lineRule="auto"/>
              <w:ind w:left="100" w:right="100"/>
              <w:jc w:val="both"/>
            </w:pPr>
            <w:r>
              <w:t>12:12 20/04/2023, 00:26 21/04/2023</w:t>
            </w:r>
          </w:p>
        </w:tc>
      </w:tr>
      <w:tr w:rsidR="00DF6794" w14:paraId="4E60DED8" w14:textId="77777777" w:rsidTr="00624140">
        <w:tc>
          <w:tcPr>
            <w:tcW w:w="2445" w:type="dxa"/>
            <w:tcBorders>
              <w:left w:val="single" w:sz="8" w:space="0" w:color="000000"/>
              <w:bottom w:val="single" w:sz="8" w:space="0" w:color="666666"/>
              <w:right w:val="single" w:sz="8" w:space="0" w:color="000000"/>
            </w:tcBorders>
            <w:shd w:val="clear" w:color="auto" w:fill="FFFFFF"/>
            <w:tcMar>
              <w:top w:w="0" w:type="dxa"/>
              <w:left w:w="0" w:type="dxa"/>
              <w:bottom w:w="0" w:type="dxa"/>
              <w:right w:w="0" w:type="dxa"/>
            </w:tcMar>
          </w:tcPr>
          <w:p w14:paraId="227B158A" w14:textId="77777777" w:rsidR="00DF6794" w:rsidRDefault="00DF6794" w:rsidP="00624140">
            <w:pPr>
              <w:spacing w:before="100" w:after="100" w:line="240" w:lineRule="auto"/>
              <w:ind w:left="100" w:right="100"/>
              <w:jc w:val="both"/>
            </w:pPr>
            <w:r>
              <w:t>Temperature (°C)</w:t>
            </w:r>
          </w:p>
        </w:tc>
        <w:tc>
          <w:tcPr>
            <w:tcW w:w="3900" w:type="dxa"/>
            <w:tcBorders>
              <w:bottom w:val="single" w:sz="8" w:space="0" w:color="666666"/>
              <w:right w:val="single" w:sz="8" w:space="0" w:color="000000"/>
            </w:tcBorders>
            <w:shd w:val="clear" w:color="auto" w:fill="FFFFFF"/>
            <w:tcMar>
              <w:top w:w="0" w:type="dxa"/>
              <w:left w:w="0" w:type="dxa"/>
              <w:bottom w:w="0" w:type="dxa"/>
              <w:right w:w="0" w:type="dxa"/>
            </w:tcMar>
          </w:tcPr>
          <w:p w14:paraId="66F62539" w14:textId="77777777" w:rsidR="00DF6794" w:rsidRDefault="00DF6794" w:rsidP="00624140">
            <w:pPr>
              <w:spacing w:before="100" w:after="100" w:line="240" w:lineRule="auto"/>
              <w:ind w:left="100" w:right="100"/>
              <w:jc w:val="both"/>
            </w:pPr>
            <w:r>
              <w:t>9.9 ± 0.50</w:t>
            </w:r>
          </w:p>
        </w:tc>
        <w:tc>
          <w:tcPr>
            <w:tcW w:w="3960" w:type="dxa"/>
            <w:tcBorders>
              <w:bottom w:val="single" w:sz="8" w:space="0" w:color="666666"/>
              <w:right w:val="single" w:sz="8" w:space="0" w:color="000000"/>
            </w:tcBorders>
            <w:shd w:val="clear" w:color="auto" w:fill="FFFFFF"/>
            <w:tcMar>
              <w:top w:w="0" w:type="dxa"/>
              <w:left w:w="0" w:type="dxa"/>
              <w:bottom w:w="0" w:type="dxa"/>
              <w:right w:w="0" w:type="dxa"/>
            </w:tcMar>
          </w:tcPr>
          <w:p w14:paraId="0BFEF099" w14:textId="77777777" w:rsidR="00DF6794" w:rsidRDefault="00DF6794" w:rsidP="00624140">
            <w:pPr>
              <w:spacing w:before="100" w:after="100" w:line="240" w:lineRule="auto"/>
              <w:ind w:left="100" w:right="100"/>
              <w:jc w:val="both"/>
            </w:pPr>
            <w:r>
              <w:t>10.47 ± 0.10</w:t>
            </w:r>
          </w:p>
        </w:tc>
      </w:tr>
      <w:tr w:rsidR="00DF6794" w14:paraId="6679B0B5" w14:textId="77777777" w:rsidTr="00624140">
        <w:trPr>
          <w:trHeight w:val="480"/>
        </w:trPr>
        <w:tc>
          <w:tcPr>
            <w:tcW w:w="2445" w:type="dxa"/>
            <w:tcBorders>
              <w:left w:val="single" w:sz="8" w:space="0" w:color="000000"/>
              <w:bottom w:val="single" w:sz="8" w:space="0" w:color="666666"/>
              <w:right w:val="single" w:sz="8" w:space="0" w:color="000000"/>
            </w:tcBorders>
            <w:shd w:val="clear" w:color="auto" w:fill="FFFFFF"/>
            <w:tcMar>
              <w:top w:w="0" w:type="dxa"/>
              <w:left w:w="0" w:type="dxa"/>
              <w:bottom w:w="0" w:type="dxa"/>
              <w:right w:w="0" w:type="dxa"/>
            </w:tcMar>
          </w:tcPr>
          <w:p w14:paraId="7551E652" w14:textId="77777777" w:rsidR="00DF6794" w:rsidRDefault="00DF6794" w:rsidP="00624140">
            <w:pPr>
              <w:spacing w:before="100" w:after="100" w:line="240" w:lineRule="auto"/>
              <w:ind w:left="100" w:right="100"/>
              <w:jc w:val="both"/>
            </w:pPr>
            <w:r>
              <w:t>Salinity (PSU)</w:t>
            </w:r>
          </w:p>
        </w:tc>
        <w:tc>
          <w:tcPr>
            <w:tcW w:w="3900" w:type="dxa"/>
            <w:tcBorders>
              <w:bottom w:val="single" w:sz="8" w:space="0" w:color="666666"/>
              <w:right w:val="single" w:sz="8" w:space="0" w:color="000000"/>
            </w:tcBorders>
            <w:shd w:val="clear" w:color="auto" w:fill="FFFFFF"/>
            <w:tcMar>
              <w:top w:w="0" w:type="dxa"/>
              <w:left w:w="0" w:type="dxa"/>
              <w:bottom w:w="0" w:type="dxa"/>
              <w:right w:w="0" w:type="dxa"/>
            </w:tcMar>
          </w:tcPr>
          <w:p w14:paraId="61FDE088" w14:textId="77777777" w:rsidR="00DF6794" w:rsidRDefault="00DF6794" w:rsidP="00624140">
            <w:pPr>
              <w:spacing w:before="100" w:after="100" w:line="240" w:lineRule="auto"/>
              <w:ind w:left="100" w:right="100"/>
              <w:jc w:val="both"/>
            </w:pPr>
            <w:r>
              <w:t>32.48 ± 0.21</w:t>
            </w:r>
          </w:p>
        </w:tc>
        <w:tc>
          <w:tcPr>
            <w:tcW w:w="3960" w:type="dxa"/>
            <w:tcBorders>
              <w:bottom w:val="single" w:sz="8" w:space="0" w:color="666666"/>
              <w:right w:val="single" w:sz="8" w:space="0" w:color="000000"/>
            </w:tcBorders>
            <w:shd w:val="clear" w:color="auto" w:fill="FFFFFF"/>
            <w:tcMar>
              <w:top w:w="0" w:type="dxa"/>
              <w:left w:w="0" w:type="dxa"/>
              <w:bottom w:w="0" w:type="dxa"/>
              <w:right w:w="0" w:type="dxa"/>
            </w:tcMar>
          </w:tcPr>
          <w:p w14:paraId="639BAE46" w14:textId="77777777" w:rsidR="00DF6794" w:rsidRDefault="00DF6794" w:rsidP="00624140">
            <w:pPr>
              <w:spacing w:before="100" w:after="100" w:line="240" w:lineRule="auto"/>
              <w:ind w:left="100" w:right="100"/>
              <w:jc w:val="both"/>
            </w:pPr>
            <w:r>
              <w:t>31.36 ± 0.63</w:t>
            </w:r>
          </w:p>
        </w:tc>
      </w:tr>
      <w:tr w:rsidR="00DF6794" w14:paraId="33B55491" w14:textId="77777777" w:rsidTr="00624140">
        <w:trPr>
          <w:trHeight w:val="480"/>
        </w:trPr>
        <w:tc>
          <w:tcPr>
            <w:tcW w:w="2445" w:type="dxa"/>
            <w:tcBorders>
              <w:left w:val="single" w:sz="8" w:space="0" w:color="000000"/>
              <w:bottom w:val="single" w:sz="8" w:space="0" w:color="666666"/>
              <w:right w:val="single" w:sz="8" w:space="0" w:color="000000"/>
            </w:tcBorders>
            <w:shd w:val="clear" w:color="auto" w:fill="FFFFFF"/>
            <w:tcMar>
              <w:top w:w="0" w:type="dxa"/>
              <w:left w:w="0" w:type="dxa"/>
              <w:bottom w:w="0" w:type="dxa"/>
              <w:right w:w="0" w:type="dxa"/>
            </w:tcMar>
          </w:tcPr>
          <w:p w14:paraId="657D0491" w14:textId="77777777" w:rsidR="00DF6794" w:rsidRDefault="00DF6794" w:rsidP="00624140">
            <w:pPr>
              <w:spacing w:before="100" w:after="100" w:line="240" w:lineRule="auto"/>
              <w:ind w:left="100" w:right="100"/>
              <w:jc w:val="both"/>
            </w:pPr>
            <w:r>
              <w:t>Turbidity (NTU)</w:t>
            </w:r>
          </w:p>
        </w:tc>
        <w:tc>
          <w:tcPr>
            <w:tcW w:w="3900" w:type="dxa"/>
            <w:tcBorders>
              <w:bottom w:val="single" w:sz="8" w:space="0" w:color="666666"/>
              <w:right w:val="single" w:sz="8" w:space="0" w:color="000000"/>
            </w:tcBorders>
            <w:shd w:val="clear" w:color="auto" w:fill="FFFFFF"/>
            <w:tcMar>
              <w:top w:w="0" w:type="dxa"/>
              <w:left w:w="0" w:type="dxa"/>
              <w:bottom w:w="0" w:type="dxa"/>
              <w:right w:w="0" w:type="dxa"/>
            </w:tcMar>
          </w:tcPr>
          <w:p w14:paraId="08250F56" w14:textId="77777777" w:rsidR="00DF6794" w:rsidRDefault="00DF6794" w:rsidP="00624140">
            <w:pPr>
              <w:spacing w:before="100" w:after="100" w:line="240" w:lineRule="auto"/>
              <w:ind w:left="100" w:right="100"/>
              <w:jc w:val="both"/>
            </w:pPr>
            <w:r>
              <w:t>5.69 ± 2.22</w:t>
            </w:r>
          </w:p>
        </w:tc>
        <w:tc>
          <w:tcPr>
            <w:tcW w:w="3960" w:type="dxa"/>
            <w:tcBorders>
              <w:bottom w:val="single" w:sz="8" w:space="0" w:color="666666"/>
              <w:right w:val="single" w:sz="8" w:space="0" w:color="000000"/>
            </w:tcBorders>
            <w:shd w:val="clear" w:color="auto" w:fill="FFFFFF"/>
            <w:tcMar>
              <w:top w:w="0" w:type="dxa"/>
              <w:left w:w="0" w:type="dxa"/>
              <w:bottom w:w="0" w:type="dxa"/>
              <w:right w:w="0" w:type="dxa"/>
            </w:tcMar>
          </w:tcPr>
          <w:p w14:paraId="10CA15DC" w14:textId="77777777" w:rsidR="00DF6794" w:rsidRDefault="00DF6794" w:rsidP="00624140">
            <w:pPr>
              <w:spacing w:before="100" w:after="100" w:line="240" w:lineRule="auto"/>
              <w:ind w:left="100" w:right="100"/>
              <w:jc w:val="both"/>
            </w:pPr>
            <w:r>
              <w:t>17.51 ± 11.07</w:t>
            </w:r>
          </w:p>
        </w:tc>
      </w:tr>
      <w:tr w:rsidR="00DF6794" w14:paraId="09126C44" w14:textId="77777777" w:rsidTr="00624140">
        <w:trPr>
          <w:trHeight w:val="480"/>
        </w:trPr>
        <w:tc>
          <w:tcPr>
            <w:tcW w:w="2445" w:type="dxa"/>
            <w:tcBorders>
              <w:left w:val="single" w:sz="8" w:space="0" w:color="000000"/>
              <w:bottom w:val="single" w:sz="8" w:space="0" w:color="666666"/>
              <w:right w:val="single" w:sz="8" w:space="0" w:color="000000"/>
            </w:tcBorders>
            <w:shd w:val="clear" w:color="auto" w:fill="FFFFFF"/>
            <w:tcMar>
              <w:top w:w="0" w:type="dxa"/>
              <w:left w:w="0" w:type="dxa"/>
              <w:bottom w:w="0" w:type="dxa"/>
              <w:right w:w="0" w:type="dxa"/>
            </w:tcMar>
          </w:tcPr>
          <w:p w14:paraId="4E7A08A1" w14:textId="77777777" w:rsidR="00DF6794" w:rsidRDefault="00DF6794" w:rsidP="00624140">
            <w:pPr>
              <w:spacing w:before="100" w:after="100" w:line="240" w:lineRule="auto"/>
              <w:ind w:left="100" w:right="100"/>
              <w:jc w:val="both"/>
            </w:pPr>
            <w:r>
              <w:t>Nitrite/Nitrate</w:t>
            </w:r>
          </w:p>
          <w:p w14:paraId="3AA9ED0B" w14:textId="77777777" w:rsidR="00DF6794" w:rsidRDefault="00DF6794" w:rsidP="00624140">
            <w:pPr>
              <w:spacing w:before="100" w:after="100" w:line="240" w:lineRule="auto"/>
              <w:ind w:left="100" w:right="100"/>
              <w:jc w:val="both"/>
            </w:pPr>
            <w:r>
              <w:t>(µmol/L)</w:t>
            </w:r>
          </w:p>
        </w:tc>
        <w:tc>
          <w:tcPr>
            <w:tcW w:w="3900" w:type="dxa"/>
            <w:tcBorders>
              <w:bottom w:val="single" w:sz="8" w:space="0" w:color="666666"/>
              <w:right w:val="single" w:sz="8" w:space="0" w:color="000000"/>
            </w:tcBorders>
            <w:shd w:val="clear" w:color="auto" w:fill="FFFFFF"/>
            <w:tcMar>
              <w:top w:w="0" w:type="dxa"/>
              <w:left w:w="0" w:type="dxa"/>
              <w:bottom w:w="0" w:type="dxa"/>
              <w:right w:w="0" w:type="dxa"/>
            </w:tcMar>
          </w:tcPr>
          <w:p w14:paraId="23F78FB2" w14:textId="77777777" w:rsidR="00DF6794" w:rsidRDefault="00DF6794" w:rsidP="00624140">
            <w:pPr>
              <w:spacing w:before="100" w:after="100" w:line="240" w:lineRule="auto"/>
              <w:ind w:left="100" w:right="100"/>
              <w:jc w:val="both"/>
            </w:pPr>
            <w:r>
              <w:t>7.49 ± 1.49</w:t>
            </w:r>
          </w:p>
          <w:p w14:paraId="6B506B31" w14:textId="77777777" w:rsidR="00DF6794" w:rsidRDefault="00DF6794" w:rsidP="00624140">
            <w:pPr>
              <w:spacing w:before="100" w:after="100" w:line="240" w:lineRule="auto"/>
              <w:ind w:left="100" w:right="100"/>
              <w:jc w:val="both"/>
            </w:pPr>
            <w:r>
              <w:t>max. 11.58 (19:11)</w:t>
            </w:r>
            <w:r>
              <w:br/>
              <w:t>min. 5.60 (00:07)</w:t>
            </w:r>
          </w:p>
        </w:tc>
        <w:tc>
          <w:tcPr>
            <w:tcW w:w="3960" w:type="dxa"/>
            <w:tcBorders>
              <w:bottom w:val="single" w:sz="8" w:space="0" w:color="666666"/>
              <w:right w:val="single" w:sz="8" w:space="0" w:color="000000"/>
            </w:tcBorders>
            <w:shd w:val="clear" w:color="auto" w:fill="FFFFFF"/>
            <w:tcMar>
              <w:top w:w="0" w:type="dxa"/>
              <w:left w:w="0" w:type="dxa"/>
              <w:bottom w:w="0" w:type="dxa"/>
              <w:right w:w="0" w:type="dxa"/>
            </w:tcMar>
          </w:tcPr>
          <w:p w14:paraId="072D143D" w14:textId="77777777" w:rsidR="00DF6794" w:rsidRDefault="00DF6794" w:rsidP="00624140">
            <w:pPr>
              <w:spacing w:before="100" w:after="100" w:line="240" w:lineRule="auto"/>
              <w:ind w:left="100" w:right="100"/>
              <w:jc w:val="both"/>
            </w:pPr>
            <w:r>
              <w:t>14.74 ± 7.97</w:t>
            </w:r>
          </w:p>
          <w:p w14:paraId="676E2F1D" w14:textId="77777777" w:rsidR="00DF6794" w:rsidRDefault="00DF6794" w:rsidP="00624140">
            <w:pPr>
              <w:spacing w:before="100" w:after="100" w:line="240" w:lineRule="auto"/>
              <w:ind w:left="100" w:right="100"/>
              <w:jc w:val="both"/>
            </w:pPr>
            <w:r>
              <w:t>max. 32.71 (22:58)</w:t>
            </w:r>
            <w:r>
              <w:br/>
              <w:t>min. 1.78 (15:58)</w:t>
            </w:r>
          </w:p>
        </w:tc>
      </w:tr>
      <w:tr w:rsidR="00DF6794" w14:paraId="78A0115E" w14:textId="77777777" w:rsidTr="00624140">
        <w:trPr>
          <w:trHeight w:val="480"/>
        </w:trPr>
        <w:tc>
          <w:tcPr>
            <w:tcW w:w="2445" w:type="dxa"/>
            <w:tcBorders>
              <w:left w:val="single" w:sz="8" w:space="0" w:color="000000"/>
              <w:bottom w:val="single" w:sz="8" w:space="0" w:color="666666"/>
              <w:right w:val="single" w:sz="8" w:space="0" w:color="000000"/>
            </w:tcBorders>
            <w:shd w:val="clear" w:color="auto" w:fill="FFFFFF"/>
            <w:tcMar>
              <w:top w:w="0" w:type="dxa"/>
              <w:left w:w="0" w:type="dxa"/>
              <w:bottom w:w="0" w:type="dxa"/>
              <w:right w:w="0" w:type="dxa"/>
            </w:tcMar>
          </w:tcPr>
          <w:p w14:paraId="22D0226E" w14:textId="77777777" w:rsidR="00DF6794" w:rsidRDefault="00DF6794" w:rsidP="00624140">
            <w:pPr>
              <w:spacing w:before="100" w:after="100" w:line="240" w:lineRule="auto"/>
              <w:ind w:left="100" w:right="100"/>
              <w:jc w:val="both"/>
            </w:pPr>
            <w:r>
              <w:t>Phosphate</w:t>
            </w:r>
          </w:p>
          <w:p w14:paraId="25C59281" w14:textId="77777777" w:rsidR="00DF6794" w:rsidRDefault="00DF6794" w:rsidP="00624140">
            <w:pPr>
              <w:spacing w:before="100" w:after="100" w:line="240" w:lineRule="auto"/>
              <w:ind w:left="100" w:right="100"/>
              <w:jc w:val="both"/>
            </w:pPr>
            <w:r>
              <w:t>(µmol/L)</w:t>
            </w:r>
          </w:p>
        </w:tc>
        <w:tc>
          <w:tcPr>
            <w:tcW w:w="3900" w:type="dxa"/>
            <w:tcBorders>
              <w:bottom w:val="single" w:sz="8" w:space="0" w:color="666666"/>
              <w:right w:val="single" w:sz="8" w:space="0" w:color="000000"/>
            </w:tcBorders>
            <w:shd w:val="clear" w:color="auto" w:fill="FFFFFF"/>
            <w:tcMar>
              <w:top w:w="0" w:type="dxa"/>
              <w:left w:w="0" w:type="dxa"/>
              <w:bottom w:w="0" w:type="dxa"/>
              <w:right w:w="0" w:type="dxa"/>
            </w:tcMar>
          </w:tcPr>
          <w:p w14:paraId="27922FB6" w14:textId="77777777" w:rsidR="00DF6794" w:rsidRDefault="00DF6794" w:rsidP="00624140">
            <w:pPr>
              <w:spacing w:before="100" w:after="100" w:line="240" w:lineRule="auto"/>
              <w:ind w:left="100" w:right="100"/>
              <w:jc w:val="both"/>
            </w:pPr>
            <w:r>
              <w:t>0.14 ± 0.03</w:t>
            </w:r>
          </w:p>
          <w:p w14:paraId="2E3D3295" w14:textId="77777777" w:rsidR="00DF6794" w:rsidRDefault="00DF6794" w:rsidP="00624140">
            <w:pPr>
              <w:spacing w:before="100" w:after="100" w:line="240" w:lineRule="auto"/>
              <w:ind w:left="100" w:right="100"/>
              <w:jc w:val="both"/>
            </w:pPr>
            <w:r>
              <w:t>max.  0.20 (19:11)</w:t>
            </w:r>
            <w:r>
              <w:br/>
              <w:t>min. 0.07 (00:07)</w:t>
            </w:r>
          </w:p>
        </w:tc>
        <w:tc>
          <w:tcPr>
            <w:tcW w:w="3960" w:type="dxa"/>
            <w:tcBorders>
              <w:bottom w:val="single" w:sz="8" w:space="0" w:color="666666"/>
              <w:right w:val="single" w:sz="8" w:space="0" w:color="000000"/>
            </w:tcBorders>
            <w:shd w:val="clear" w:color="auto" w:fill="FFFFFF"/>
            <w:tcMar>
              <w:top w:w="0" w:type="dxa"/>
              <w:left w:w="0" w:type="dxa"/>
              <w:bottom w:w="0" w:type="dxa"/>
              <w:right w:w="0" w:type="dxa"/>
            </w:tcMar>
          </w:tcPr>
          <w:p w14:paraId="7CCA5352" w14:textId="77777777" w:rsidR="00DF6794" w:rsidRDefault="00DF6794" w:rsidP="00624140">
            <w:pPr>
              <w:spacing w:before="100" w:after="100" w:line="240" w:lineRule="auto"/>
              <w:ind w:left="100" w:right="100"/>
              <w:jc w:val="both"/>
            </w:pPr>
            <w:r>
              <w:t>0.07 ± 0.04</w:t>
            </w:r>
          </w:p>
          <w:p w14:paraId="78EB5EC8" w14:textId="77777777" w:rsidR="00DF6794" w:rsidRDefault="00DF6794" w:rsidP="00624140">
            <w:pPr>
              <w:spacing w:before="100" w:after="100" w:line="240" w:lineRule="auto"/>
              <w:ind w:left="100" w:right="100"/>
              <w:jc w:val="both"/>
            </w:pPr>
            <w:r>
              <w:t>max. 0.19 (22:58)</w:t>
            </w:r>
            <w:r>
              <w:br/>
              <w:t>min. 0.03 (13:58)</w:t>
            </w:r>
          </w:p>
        </w:tc>
      </w:tr>
      <w:tr w:rsidR="00DF6794" w14:paraId="4F0E065B" w14:textId="77777777" w:rsidTr="00624140">
        <w:trPr>
          <w:trHeight w:val="480"/>
        </w:trPr>
        <w:tc>
          <w:tcPr>
            <w:tcW w:w="2445" w:type="dxa"/>
            <w:tcBorders>
              <w:left w:val="single" w:sz="8" w:space="0" w:color="000000"/>
              <w:bottom w:val="single" w:sz="12" w:space="0" w:color="666666"/>
              <w:right w:val="single" w:sz="8" w:space="0" w:color="000000"/>
            </w:tcBorders>
            <w:shd w:val="clear" w:color="auto" w:fill="FFFFFF"/>
            <w:tcMar>
              <w:top w:w="0" w:type="dxa"/>
              <w:left w:w="0" w:type="dxa"/>
              <w:bottom w:w="0" w:type="dxa"/>
              <w:right w:w="0" w:type="dxa"/>
            </w:tcMar>
          </w:tcPr>
          <w:p w14:paraId="2FC746F3" w14:textId="77777777" w:rsidR="00DF6794" w:rsidRDefault="00DF6794" w:rsidP="00624140">
            <w:pPr>
              <w:spacing w:before="100" w:after="100" w:line="240" w:lineRule="auto"/>
              <w:ind w:left="100" w:right="100"/>
              <w:jc w:val="both"/>
            </w:pPr>
            <w:r>
              <w:t>Silicate</w:t>
            </w:r>
          </w:p>
          <w:p w14:paraId="0AF99F3D" w14:textId="77777777" w:rsidR="00DF6794" w:rsidRDefault="00DF6794" w:rsidP="00624140">
            <w:pPr>
              <w:spacing w:before="100" w:after="100" w:line="240" w:lineRule="auto"/>
              <w:ind w:left="100" w:right="100"/>
              <w:jc w:val="both"/>
            </w:pPr>
            <w:r>
              <w:t>(µmol/L)</w:t>
            </w:r>
          </w:p>
        </w:tc>
        <w:tc>
          <w:tcPr>
            <w:tcW w:w="3900" w:type="dxa"/>
            <w:tcBorders>
              <w:bottom w:val="single" w:sz="12" w:space="0" w:color="666666"/>
              <w:right w:val="single" w:sz="8" w:space="0" w:color="000000"/>
            </w:tcBorders>
            <w:shd w:val="clear" w:color="auto" w:fill="FFFFFF"/>
            <w:tcMar>
              <w:top w:w="0" w:type="dxa"/>
              <w:left w:w="0" w:type="dxa"/>
              <w:bottom w:w="0" w:type="dxa"/>
              <w:right w:w="0" w:type="dxa"/>
            </w:tcMar>
          </w:tcPr>
          <w:p w14:paraId="255E9B2A" w14:textId="77777777" w:rsidR="00DF6794" w:rsidRDefault="00DF6794" w:rsidP="00624140">
            <w:pPr>
              <w:spacing w:before="100" w:after="100" w:line="240" w:lineRule="auto"/>
              <w:ind w:left="100" w:right="100"/>
              <w:jc w:val="both"/>
            </w:pPr>
            <w:r>
              <w:t>7.11 ± 0.34</w:t>
            </w:r>
          </w:p>
          <w:p w14:paraId="39734FFB" w14:textId="77777777" w:rsidR="00DF6794" w:rsidRDefault="00DF6794" w:rsidP="00624140">
            <w:pPr>
              <w:spacing w:before="100" w:after="100" w:line="240" w:lineRule="auto"/>
              <w:ind w:left="100" w:right="100"/>
              <w:jc w:val="both"/>
            </w:pPr>
            <w:r>
              <w:t>max. 7.61 (16:00)</w:t>
            </w:r>
            <w:r>
              <w:br/>
              <w:t>min. 6.23 (01:59)</w:t>
            </w:r>
          </w:p>
        </w:tc>
        <w:tc>
          <w:tcPr>
            <w:tcW w:w="3960" w:type="dxa"/>
            <w:tcBorders>
              <w:bottom w:val="single" w:sz="12" w:space="0" w:color="666666"/>
              <w:right w:val="single" w:sz="8" w:space="0" w:color="000000"/>
            </w:tcBorders>
            <w:shd w:val="clear" w:color="auto" w:fill="FFFFFF"/>
            <w:tcMar>
              <w:top w:w="0" w:type="dxa"/>
              <w:left w:w="0" w:type="dxa"/>
              <w:bottom w:w="0" w:type="dxa"/>
              <w:right w:w="0" w:type="dxa"/>
            </w:tcMar>
          </w:tcPr>
          <w:p w14:paraId="17D03317" w14:textId="77777777" w:rsidR="00DF6794" w:rsidRDefault="00DF6794" w:rsidP="00624140">
            <w:pPr>
              <w:spacing w:before="100" w:after="100" w:line="240" w:lineRule="auto"/>
              <w:ind w:left="100" w:right="100"/>
              <w:jc w:val="both"/>
            </w:pPr>
            <w:r>
              <w:t>13.06 ± 1.80</w:t>
            </w:r>
          </w:p>
          <w:p w14:paraId="2944CA34" w14:textId="77777777" w:rsidR="00DF6794" w:rsidRDefault="00DF6794" w:rsidP="00624140">
            <w:pPr>
              <w:spacing w:before="100" w:after="100" w:line="240" w:lineRule="auto"/>
              <w:ind w:left="100" w:right="100"/>
              <w:jc w:val="both"/>
            </w:pPr>
            <w:r>
              <w:t>max. 14.59 (22:58)</w:t>
            </w:r>
            <w:r>
              <w:br/>
              <w:t>min. 8.76 (04:00)</w:t>
            </w:r>
          </w:p>
        </w:tc>
      </w:tr>
    </w:tbl>
    <w:p w14:paraId="6816A640" w14:textId="77777777" w:rsidR="00DF6794" w:rsidRDefault="00DF6794" w:rsidP="00DF6794">
      <w:pPr>
        <w:spacing w:line="240" w:lineRule="auto"/>
        <w:jc w:val="both"/>
      </w:pPr>
    </w:p>
    <w:p w14:paraId="47F4D33F" w14:textId="77777777" w:rsidR="00DF6794" w:rsidRDefault="00DF6794" w:rsidP="00DF6794">
      <w:pPr>
        <w:spacing w:after="240" w:line="240" w:lineRule="auto"/>
        <w:jc w:val="both"/>
      </w:pPr>
      <w:r w:rsidRPr="004B16FD">
        <w:rPr>
          <w:b/>
          <w:lang w:val="en-GB"/>
        </w:rPr>
        <w:t>Table S1.</w:t>
      </w:r>
      <w:r w:rsidRPr="004B16FD">
        <w:rPr>
          <w:lang w:val="en-GB"/>
        </w:rPr>
        <w:t xml:space="preserve"> </w:t>
      </w:r>
      <w:r w:rsidRPr="004B16FD">
        <w:rPr>
          <w:b/>
          <w:lang w:val="en-GB"/>
        </w:rPr>
        <w:t xml:space="preserve">Summary of environmental conditions at the Stations 51 (post-bloom) and Station 130 (colonial </w:t>
      </w:r>
      <w:r w:rsidRPr="004B16FD">
        <w:rPr>
          <w:b/>
          <w:i/>
          <w:lang w:val="en-GB"/>
        </w:rPr>
        <w:t xml:space="preserve">P. globosa </w:t>
      </w:r>
      <w:r w:rsidRPr="004B16FD">
        <w:rPr>
          <w:b/>
          <w:lang w:val="en-GB"/>
        </w:rPr>
        <w:t xml:space="preserve">bloom) during the sampling campaign in April 2023. </w:t>
      </w:r>
      <w:r w:rsidRPr="004B16FD">
        <w:rPr>
          <w:lang w:val="en-GB"/>
        </w:rPr>
        <w:t xml:space="preserve">The table provides the sampling dates and coordinates, tidal cycles, and measured environmental parameters, including temperature (°C), salinity (PSU), turbidity (NTU), and nutrient concentrations (nitrite + nitrate, phosphate, and silicate in µmol/L). Values represent mean ± standard deviation (SD) over the sampling period. </w:t>
      </w:r>
      <w:r>
        <w:t>Times are in UTC.</w:t>
      </w:r>
    </w:p>
    <w:p w14:paraId="1658E43E" w14:textId="77777777" w:rsidR="00DF6794" w:rsidRDefault="00DF6794" w:rsidP="00DF6794">
      <w:r>
        <w:rPr>
          <w:noProof/>
        </w:rPr>
        <w:lastRenderedPageBreak/>
        <w:drawing>
          <wp:inline distT="114300" distB="114300" distL="114300" distR="114300" wp14:anchorId="7368BF6B" wp14:editId="62E15DB8">
            <wp:extent cx="4176104" cy="6259760"/>
            <wp:effectExtent l="0" t="0" r="0" b="0"/>
            <wp:docPr id="6" name="image6.png" descr="A screenshot of a mobile device showing a map&#10;&#10;AI-generated content may be incorrect."/>
            <wp:cNvGraphicFramePr/>
            <a:graphic xmlns:a="http://schemas.openxmlformats.org/drawingml/2006/main">
              <a:graphicData uri="http://schemas.openxmlformats.org/drawingml/2006/picture">
                <pic:pic xmlns:pic="http://schemas.openxmlformats.org/drawingml/2006/picture">
                  <pic:nvPicPr>
                    <pic:cNvPr id="6" name="image6.png" descr="A screenshot of a mobile device showing a map&#10;&#10;AI-generated content may be incorrect."/>
                    <pic:cNvPicPr preferRelativeResize="0"/>
                  </pic:nvPicPr>
                  <pic:blipFill>
                    <a:blip r:embed="rId4"/>
                    <a:srcRect/>
                    <a:stretch>
                      <a:fillRect/>
                    </a:stretch>
                  </pic:blipFill>
                  <pic:spPr>
                    <a:xfrm>
                      <a:off x="0" y="0"/>
                      <a:ext cx="4176104" cy="6259760"/>
                    </a:xfrm>
                    <a:prstGeom prst="rect">
                      <a:avLst/>
                    </a:prstGeom>
                    <a:ln/>
                  </pic:spPr>
                </pic:pic>
              </a:graphicData>
            </a:graphic>
          </wp:inline>
        </w:drawing>
      </w:r>
    </w:p>
    <w:p w14:paraId="6B38D585" w14:textId="77777777" w:rsidR="00DF6794" w:rsidRPr="004B16FD" w:rsidRDefault="00DF6794" w:rsidP="00DF6794">
      <w:pPr>
        <w:jc w:val="both"/>
        <w:rPr>
          <w:color w:val="1F1F1F"/>
          <w:highlight w:val="white"/>
          <w:lang w:val="en-GB"/>
        </w:rPr>
      </w:pPr>
      <w:r w:rsidRPr="004B16FD">
        <w:rPr>
          <w:b/>
          <w:lang w:val="en-GB"/>
        </w:rPr>
        <w:t xml:space="preserve">Figure S1. Oceanographic context of Station 130 and 51. </w:t>
      </w:r>
      <w:r w:rsidRPr="004B16FD">
        <w:rPr>
          <w:lang w:val="en-GB"/>
        </w:rPr>
        <w:t>(a) Location of the diel sampling sites, labelled Station 52 and Station 130, in the Southern Bight of the North Sea. (b) Temperature (</w:t>
      </w:r>
      <w:r w:rsidRPr="004B16FD">
        <w:rPr>
          <w:color w:val="1F1F1F"/>
          <w:highlight w:val="white"/>
          <w:lang w:val="en-GB"/>
        </w:rPr>
        <w:t>°C), salinity (Practical Salinity Units, PSU), and turbidity (nephelometric turbidity units, NTU) levels for Station 51 and Station 130.</w:t>
      </w:r>
    </w:p>
    <w:p w14:paraId="7E643597" w14:textId="77777777" w:rsidR="00DF6794" w:rsidRDefault="00DF6794" w:rsidP="00DF6794">
      <w:pPr>
        <w:rPr>
          <w:b/>
        </w:rPr>
      </w:pPr>
      <w:r>
        <w:rPr>
          <w:b/>
          <w:noProof/>
        </w:rPr>
        <w:lastRenderedPageBreak/>
        <w:drawing>
          <wp:inline distT="0" distB="0" distL="0" distR="0" wp14:anchorId="3372D1D8" wp14:editId="56E9272E">
            <wp:extent cx="5733415" cy="4827270"/>
            <wp:effectExtent l="0" t="0" r="0" b="0"/>
            <wp:docPr id="98770815" name="Picture 8"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70815" name="Picture 8" descr="A screenshot of a graph&#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3415" cy="4827270"/>
                    </a:xfrm>
                    <a:prstGeom prst="rect">
                      <a:avLst/>
                    </a:prstGeom>
                  </pic:spPr>
                </pic:pic>
              </a:graphicData>
            </a:graphic>
          </wp:inline>
        </w:drawing>
      </w:r>
    </w:p>
    <w:p w14:paraId="6568DFCF" w14:textId="77777777" w:rsidR="00DF6794" w:rsidRPr="004B16FD" w:rsidRDefault="00DF6794" w:rsidP="00DF6794">
      <w:pPr>
        <w:jc w:val="both"/>
        <w:rPr>
          <w:b/>
          <w:lang w:val="en-GB"/>
        </w:rPr>
      </w:pPr>
      <w:r w:rsidRPr="004B16FD">
        <w:rPr>
          <w:b/>
          <w:lang w:val="en-GB"/>
        </w:rPr>
        <w:t xml:space="preserve">Figure S2. Taxonomic identity of metabolically active microeukaryotic and zooplankton community at Station 51. (a) </w:t>
      </w:r>
      <w:r w:rsidRPr="004B16FD">
        <w:rPr>
          <w:lang w:val="en-GB"/>
        </w:rPr>
        <w:t xml:space="preserve">Estimates for  the number of transcripts per L (TPL) per sample. TPL are calculated by relating transcript per million (TPM) values to ERCC92 spike-in recovery values and accounting for the volumes processed. Transcripts were annotated to the genus level using EukProt (&gt;95% sequence identity with reference). If the relative abundance fraction of a group in a sample was &lt;2%, it was </w:t>
      </w:r>
      <w:proofErr w:type="spellStart"/>
      <w:r w:rsidRPr="004B16FD">
        <w:rPr>
          <w:lang w:val="en-GB"/>
        </w:rPr>
        <w:t>labeled</w:t>
      </w:r>
      <w:proofErr w:type="spellEnd"/>
      <w:r w:rsidRPr="004B16FD">
        <w:rPr>
          <w:lang w:val="en-GB"/>
        </w:rPr>
        <w:t xml:space="preserve"> as ‘rare’. </w:t>
      </w:r>
      <w:r w:rsidRPr="004B16FD">
        <w:rPr>
          <w:b/>
          <w:lang w:val="en-GB"/>
        </w:rPr>
        <w:t>(b)</w:t>
      </w:r>
      <w:r w:rsidRPr="004B16FD">
        <w:rPr>
          <w:lang w:val="en-GB"/>
        </w:rPr>
        <w:t xml:space="preserve"> Relative transcript abundance (TPM) of genus-level annotations, annotated using EukProt as a reference and retaining transcripts &gt;= 95% of sequence identity with reference. If the relative abundance fraction of a group in a sample was &lt;2%, it was </w:t>
      </w:r>
      <w:proofErr w:type="spellStart"/>
      <w:r w:rsidRPr="004B16FD">
        <w:rPr>
          <w:lang w:val="en-GB"/>
        </w:rPr>
        <w:t>labeled</w:t>
      </w:r>
      <w:proofErr w:type="spellEnd"/>
      <w:r w:rsidRPr="004B16FD">
        <w:rPr>
          <w:lang w:val="en-GB"/>
        </w:rPr>
        <w:t xml:space="preserve"> as ‘rare’. </w:t>
      </w:r>
      <w:r w:rsidRPr="004B16FD">
        <w:rPr>
          <w:b/>
          <w:lang w:val="en-GB"/>
        </w:rPr>
        <w:t>(c )</w:t>
      </w:r>
      <w:r w:rsidRPr="004B16FD">
        <w:rPr>
          <w:lang w:val="en-GB"/>
        </w:rPr>
        <w:t xml:space="preserve"> Zooplankton abundances estimated by </w:t>
      </w:r>
      <w:proofErr w:type="spellStart"/>
      <w:r w:rsidRPr="004B16FD">
        <w:rPr>
          <w:lang w:val="en-GB"/>
        </w:rPr>
        <w:t>ZooScan</w:t>
      </w:r>
      <w:proofErr w:type="spellEnd"/>
      <w:r w:rsidRPr="004B16FD">
        <w:rPr>
          <w:lang w:val="en-GB"/>
        </w:rPr>
        <w:t xml:space="preserve"> analysis. If a classified group had a relative abundance &lt;5%, it was </w:t>
      </w:r>
      <w:proofErr w:type="spellStart"/>
      <w:r w:rsidRPr="004B16FD">
        <w:rPr>
          <w:lang w:val="en-GB"/>
        </w:rPr>
        <w:t>labeled</w:t>
      </w:r>
      <w:proofErr w:type="spellEnd"/>
      <w:r w:rsidRPr="004B16FD">
        <w:rPr>
          <w:lang w:val="en-GB"/>
        </w:rPr>
        <w:t xml:space="preserve"> as ‘rare’. </w:t>
      </w:r>
    </w:p>
    <w:p w14:paraId="035EEF14" w14:textId="77777777" w:rsidR="00DF6794" w:rsidRDefault="00DF6794" w:rsidP="00DF6794">
      <w:pPr>
        <w:jc w:val="both"/>
        <w:rPr>
          <w:b/>
        </w:rPr>
      </w:pPr>
      <w:r>
        <w:rPr>
          <w:b/>
          <w:noProof/>
        </w:rPr>
        <w:lastRenderedPageBreak/>
        <w:drawing>
          <wp:inline distT="0" distB="0" distL="0" distR="0" wp14:anchorId="4990F623" wp14:editId="593F822B">
            <wp:extent cx="5733415" cy="5733415"/>
            <wp:effectExtent l="0" t="0" r="0" b="0"/>
            <wp:docPr id="1506406049" name="Picture 9"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406049" name="Picture 9" descr="A screenshot of a graph&#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3415" cy="5733415"/>
                    </a:xfrm>
                    <a:prstGeom prst="rect">
                      <a:avLst/>
                    </a:prstGeom>
                  </pic:spPr>
                </pic:pic>
              </a:graphicData>
            </a:graphic>
          </wp:inline>
        </w:drawing>
      </w:r>
    </w:p>
    <w:p w14:paraId="6C0694CD" w14:textId="77777777" w:rsidR="00DF6794" w:rsidRDefault="00DF6794" w:rsidP="00DF6794">
      <w:pPr>
        <w:jc w:val="both"/>
        <w:rPr>
          <w:lang w:val="en-GB"/>
        </w:rPr>
      </w:pPr>
      <w:r w:rsidRPr="004B16FD">
        <w:rPr>
          <w:b/>
          <w:lang w:val="en-GB"/>
        </w:rPr>
        <w:t xml:space="preserve">Figure S3. FlowCam counts for surface plankton (&gt;50µm) at Stations 51 and 130. </w:t>
      </w:r>
      <w:r w:rsidRPr="004B16FD">
        <w:rPr>
          <w:lang w:val="en-GB"/>
        </w:rPr>
        <w:t xml:space="preserve">Number of annotated particles per L of seawater, calculated using </w:t>
      </w:r>
      <w:proofErr w:type="spellStart"/>
      <w:r w:rsidRPr="004B16FD">
        <w:rPr>
          <w:lang w:val="en-GB"/>
        </w:rPr>
        <w:t>FLowCam</w:t>
      </w:r>
      <w:proofErr w:type="spellEnd"/>
      <w:r w:rsidRPr="004B16FD">
        <w:rPr>
          <w:lang w:val="en-GB"/>
        </w:rPr>
        <w:t xml:space="preserve"> automated imaging analysis (excluding unannotated particles) for Station 51 </w:t>
      </w:r>
      <w:r w:rsidRPr="004B16FD">
        <w:rPr>
          <w:b/>
          <w:lang w:val="en-GB"/>
        </w:rPr>
        <w:t>(a)</w:t>
      </w:r>
      <w:r w:rsidRPr="004B16FD">
        <w:rPr>
          <w:lang w:val="en-GB"/>
        </w:rPr>
        <w:t xml:space="preserve"> and 130 </w:t>
      </w:r>
      <w:r w:rsidRPr="004B16FD">
        <w:rPr>
          <w:b/>
          <w:lang w:val="en-GB"/>
        </w:rPr>
        <w:t>(b)</w:t>
      </w:r>
      <w:r w:rsidRPr="004B16FD">
        <w:rPr>
          <w:lang w:val="en-GB"/>
        </w:rPr>
        <w:t xml:space="preserve">. Relative particle densities of taxonomic groups per sample for Station 51 </w:t>
      </w:r>
      <w:r w:rsidRPr="004B16FD">
        <w:rPr>
          <w:b/>
          <w:lang w:val="en-GB"/>
        </w:rPr>
        <w:t>(c)</w:t>
      </w:r>
      <w:r w:rsidRPr="004B16FD">
        <w:rPr>
          <w:lang w:val="en-GB"/>
        </w:rPr>
        <w:t xml:space="preserve"> and 130 </w:t>
      </w:r>
      <w:r w:rsidRPr="004B16FD">
        <w:rPr>
          <w:b/>
          <w:lang w:val="en-GB"/>
        </w:rPr>
        <w:t>(d)</w:t>
      </w:r>
      <w:r w:rsidRPr="004B16FD">
        <w:rPr>
          <w:lang w:val="en-GB"/>
        </w:rPr>
        <w:t xml:space="preserve">, as observed through FlowCam automated image classification. When the relative density of a group was &lt;2%, it was </w:t>
      </w:r>
      <w:proofErr w:type="spellStart"/>
      <w:r w:rsidRPr="004B16FD">
        <w:rPr>
          <w:lang w:val="en-GB"/>
        </w:rPr>
        <w:t>labeled</w:t>
      </w:r>
      <w:proofErr w:type="spellEnd"/>
      <w:r w:rsidRPr="004B16FD">
        <w:rPr>
          <w:lang w:val="en-GB"/>
        </w:rPr>
        <w:t xml:space="preserve"> as ‘rare’ and marked in dark grey.</w:t>
      </w:r>
    </w:p>
    <w:p w14:paraId="538761B3" w14:textId="77777777" w:rsidR="00DF6794" w:rsidRPr="004B16FD" w:rsidRDefault="00DF6794" w:rsidP="00DF6794">
      <w:pPr>
        <w:jc w:val="both"/>
        <w:rPr>
          <w:lang w:val="en-GB"/>
        </w:rPr>
      </w:pPr>
      <w:r>
        <w:rPr>
          <w:noProof/>
          <w:lang w:val="en-GB"/>
        </w:rPr>
        <w:lastRenderedPageBreak/>
        <w:drawing>
          <wp:inline distT="0" distB="0" distL="0" distR="0" wp14:anchorId="74718336" wp14:editId="41C3956B">
            <wp:extent cx="5733415" cy="5733415"/>
            <wp:effectExtent l="0" t="0" r="0" b="0"/>
            <wp:docPr id="1231414190" name="Picture 10"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414190" name="Picture 10" descr="A screenshot of a computer screen&#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3415" cy="5733415"/>
                    </a:xfrm>
                    <a:prstGeom prst="rect">
                      <a:avLst/>
                    </a:prstGeom>
                  </pic:spPr>
                </pic:pic>
              </a:graphicData>
            </a:graphic>
          </wp:inline>
        </w:drawing>
      </w:r>
    </w:p>
    <w:p w14:paraId="0BBBF928" w14:textId="77777777" w:rsidR="00DF6794" w:rsidRPr="004B16FD" w:rsidRDefault="00DF6794" w:rsidP="00DF6794">
      <w:pPr>
        <w:jc w:val="both"/>
        <w:rPr>
          <w:lang w:val="en-GB"/>
        </w:rPr>
      </w:pPr>
      <w:r w:rsidRPr="004B16FD">
        <w:rPr>
          <w:b/>
          <w:lang w:val="en-GB"/>
        </w:rPr>
        <w:t>Figure S4. Pearson correlation heatmap of environmental parameters, primary production, cell density, and Phaeocystis expression metrics across Stations 130 and 51.</w:t>
      </w:r>
      <w:r w:rsidRPr="004B16FD">
        <w:rPr>
          <w:lang w:val="en-GB"/>
        </w:rPr>
        <w:t xml:space="preserve"> The heatmap displays pairwise correlation coefficients for selected parameters, including temperature, salinity, fluorescence, nutrient concentrations (NH</w:t>
      </w:r>
      <w:r w:rsidRPr="004B16FD">
        <w:rPr>
          <w:rFonts w:ascii="Cambria Math" w:hAnsi="Cambria Math" w:cs="Cambria Math"/>
          <w:lang w:val="en-GB"/>
        </w:rPr>
        <w:t>₄</w:t>
      </w:r>
      <w:r w:rsidRPr="004B16FD">
        <w:rPr>
          <w:lang w:val="en-GB"/>
        </w:rPr>
        <w:t>, NO</w:t>
      </w:r>
      <w:r w:rsidRPr="004B16FD">
        <w:rPr>
          <w:rFonts w:ascii="Cambria Math" w:hAnsi="Cambria Math" w:cs="Cambria Math"/>
          <w:lang w:val="en-GB"/>
        </w:rPr>
        <w:t>₂</w:t>
      </w:r>
      <w:r w:rsidRPr="004B16FD">
        <w:rPr>
          <w:vertAlign w:val="superscript"/>
          <w:lang w:val="en-GB"/>
        </w:rPr>
        <w:t>-</w:t>
      </w:r>
      <w:r w:rsidRPr="004B16FD">
        <w:rPr>
          <w:lang w:val="en-GB"/>
        </w:rPr>
        <w:t>, NO</w:t>
      </w:r>
      <w:r w:rsidRPr="004B16FD">
        <w:rPr>
          <w:rFonts w:ascii="Cambria Math" w:hAnsi="Cambria Math" w:cs="Cambria Math"/>
          <w:lang w:val="en-GB"/>
        </w:rPr>
        <w:t>₃</w:t>
      </w:r>
      <w:r w:rsidRPr="004B16FD">
        <w:rPr>
          <w:vertAlign w:val="superscript"/>
          <w:lang w:val="en-GB"/>
        </w:rPr>
        <w:t>-</w:t>
      </w:r>
      <w:r w:rsidRPr="004B16FD">
        <w:rPr>
          <w:lang w:val="en-GB"/>
        </w:rPr>
        <w:t>, PO</w:t>
      </w:r>
      <w:r w:rsidRPr="004B16FD">
        <w:rPr>
          <w:rFonts w:ascii="Cambria Math" w:hAnsi="Cambria Math" w:cs="Cambria Math"/>
          <w:lang w:val="en-GB"/>
        </w:rPr>
        <w:t>₄</w:t>
      </w:r>
      <w:r w:rsidRPr="004B16FD">
        <w:rPr>
          <w:vertAlign w:val="superscript"/>
          <w:lang w:val="en-GB"/>
        </w:rPr>
        <w:t>3-</w:t>
      </w:r>
      <w:r w:rsidRPr="004B16FD">
        <w:rPr>
          <w:lang w:val="en-GB"/>
        </w:rPr>
        <w:t>, SiO</w:t>
      </w:r>
      <w:r w:rsidRPr="004B16FD">
        <w:rPr>
          <w:vertAlign w:val="subscript"/>
          <w:lang w:val="en-GB"/>
        </w:rPr>
        <w:t>4</w:t>
      </w:r>
      <w:r w:rsidRPr="004B16FD">
        <w:rPr>
          <w:vertAlign w:val="superscript"/>
          <w:lang w:val="en-GB"/>
        </w:rPr>
        <w:t>4-</w:t>
      </w:r>
      <w:r w:rsidRPr="004B16FD">
        <w:rPr>
          <w:lang w:val="en-GB"/>
        </w:rPr>
        <w:t>), TEP (transparent exopolymer particles), dissolved inorganic carbon (DIC), oxygen (</w:t>
      </w:r>
      <w:proofErr w:type="spellStart"/>
      <w:r w:rsidRPr="004B16FD">
        <w:rPr>
          <w:lang w:val="en-GB"/>
        </w:rPr>
        <w:t>Oxygen_smoothed</w:t>
      </w:r>
      <w:proofErr w:type="spellEnd"/>
      <w:r w:rsidRPr="004B16FD">
        <w:rPr>
          <w:lang w:val="en-GB"/>
        </w:rPr>
        <w:t>), total cell density (FlowCam), maximum primary production estimated from STAF (</w:t>
      </w:r>
      <w:proofErr w:type="spellStart"/>
      <w:r w:rsidRPr="004B16FD">
        <w:rPr>
          <w:lang w:val="en-GB"/>
        </w:rPr>
        <w:t>PPm</w:t>
      </w:r>
      <w:proofErr w:type="spellEnd"/>
      <w:r w:rsidRPr="004B16FD">
        <w:rPr>
          <w:lang w:val="en-GB"/>
        </w:rPr>
        <w:t>), relative (</w:t>
      </w:r>
      <w:proofErr w:type="spellStart"/>
      <w:r w:rsidRPr="004B16FD">
        <w:rPr>
          <w:lang w:val="en-GB"/>
        </w:rPr>
        <w:t>Phaeo_TPM</w:t>
      </w:r>
      <w:proofErr w:type="spellEnd"/>
      <w:r w:rsidRPr="004B16FD">
        <w:rPr>
          <w:lang w:val="en-GB"/>
        </w:rPr>
        <w:t>) and total Phaeocystis transcript estimates (</w:t>
      </w:r>
      <w:proofErr w:type="spellStart"/>
      <w:r w:rsidRPr="004B16FD">
        <w:rPr>
          <w:lang w:val="en-GB"/>
        </w:rPr>
        <w:t>Phaeo_TPL</w:t>
      </w:r>
      <w:proofErr w:type="spellEnd"/>
      <w:r w:rsidRPr="004B16FD">
        <w:rPr>
          <w:lang w:val="en-GB"/>
        </w:rPr>
        <w:t>), overall transcriptional activity and abundance (</w:t>
      </w:r>
      <w:proofErr w:type="spellStart"/>
      <w:r w:rsidRPr="004B16FD">
        <w:rPr>
          <w:lang w:val="en-GB"/>
        </w:rPr>
        <w:t>TPL_sum</w:t>
      </w:r>
      <w:proofErr w:type="spellEnd"/>
      <w:r w:rsidRPr="004B16FD">
        <w:rPr>
          <w:lang w:val="en-GB"/>
        </w:rPr>
        <w:t>) and zooplankton abundance (</w:t>
      </w:r>
      <w:proofErr w:type="spellStart"/>
      <w:r w:rsidRPr="004B16FD">
        <w:rPr>
          <w:lang w:val="en-GB"/>
        </w:rPr>
        <w:t>Total_Zooplankton_Count</w:t>
      </w:r>
      <w:proofErr w:type="spellEnd"/>
      <w:r w:rsidRPr="004B16FD">
        <w:rPr>
          <w:lang w:val="en-GB"/>
        </w:rPr>
        <w:t>). Each cell is annotated with the correlation significance level (Benjamini-Hochberg corrected): *** (p &lt; 0.001), ** (p &lt; 0.01), * (p &lt; 0.05).</w:t>
      </w:r>
    </w:p>
    <w:p w14:paraId="455220F0" w14:textId="77777777" w:rsidR="00DF6794" w:rsidRPr="004B16FD" w:rsidRDefault="00DF6794" w:rsidP="00DF6794">
      <w:pPr>
        <w:spacing w:line="240" w:lineRule="auto"/>
        <w:jc w:val="both"/>
        <w:rPr>
          <w:lang w:val="en-GB"/>
        </w:rPr>
      </w:pPr>
    </w:p>
    <w:p w14:paraId="7AC673DF" w14:textId="77777777" w:rsidR="00DF6794" w:rsidRDefault="00DF6794" w:rsidP="00DF6794">
      <w:r>
        <w:rPr>
          <w:noProof/>
        </w:rPr>
        <w:lastRenderedPageBreak/>
        <w:drawing>
          <wp:inline distT="0" distB="0" distL="0" distR="0" wp14:anchorId="07480BCE" wp14:editId="71F9A0D2">
            <wp:extent cx="5733415" cy="3166110"/>
            <wp:effectExtent l="0" t="0" r="0" b="0"/>
            <wp:docPr id="1688606842" name="Picture 11" descr="A chart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606842" name="Picture 11" descr="A chart of different color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3415" cy="3166110"/>
                    </a:xfrm>
                    <a:prstGeom prst="rect">
                      <a:avLst/>
                    </a:prstGeom>
                  </pic:spPr>
                </pic:pic>
              </a:graphicData>
            </a:graphic>
          </wp:inline>
        </w:drawing>
      </w:r>
      <w:r>
        <w:rPr>
          <w:noProof/>
        </w:rPr>
        <w:drawing>
          <wp:inline distT="0" distB="0" distL="0" distR="0" wp14:anchorId="109B80F8" wp14:editId="38AF5421">
            <wp:extent cx="5733415" cy="3166110"/>
            <wp:effectExtent l="0" t="0" r="0" b="0"/>
            <wp:docPr id="809533773" name="Picture 12" descr="A graph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33773" name="Picture 12" descr="A graph of different color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3415" cy="3166110"/>
                    </a:xfrm>
                    <a:prstGeom prst="rect">
                      <a:avLst/>
                    </a:prstGeom>
                  </pic:spPr>
                </pic:pic>
              </a:graphicData>
            </a:graphic>
          </wp:inline>
        </w:drawing>
      </w:r>
    </w:p>
    <w:p w14:paraId="2A58264D" w14:textId="77777777" w:rsidR="00DF6794" w:rsidRPr="004B16FD" w:rsidRDefault="00DF6794" w:rsidP="00DF6794">
      <w:pPr>
        <w:spacing w:line="240" w:lineRule="auto"/>
        <w:jc w:val="both"/>
        <w:rPr>
          <w:lang w:val="en-GB"/>
        </w:rPr>
      </w:pPr>
      <w:r w:rsidRPr="004B16FD">
        <w:rPr>
          <w:b/>
          <w:lang w:val="en-GB"/>
        </w:rPr>
        <w:t xml:space="preserve">Figure S5. CTD vertical profiles for a selection of environmental parameters for Station 51 and 130. </w:t>
      </w:r>
      <w:r w:rsidRPr="004B16FD">
        <w:rPr>
          <w:lang w:val="en-GB"/>
        </w:rPr>
        <w:t xml:space="preserve">Selected environmental parameters are shown, with hourly vertical CTD profiles coloured according to time of sampling. </w:t>
      </w:r>
    </w:p>
    <w:p w14:paraId="12C22E38" w14:textId="77777777" w:rsidR="00DF6794" w:rsidRPr="004B16FD" w:rsidRDefault="00DF6794" w:rsidP="00DF6794">
      <w:pPr>
        <w:spacing w:line="240" w:lineRule="auto"/>
        <w:jc w:val="both"/>
        <w:rPr>
          <w:lang w:val="en-GB"/>
        </w:rPr>
      </w:pPr>
    </w:p>
    <w:p w14:paraId="3E73D071" w14:textId="77777777" w:rsidR="00DF6794" w:rsidRDefault="00DF6794" w:rsidP="00DF6794">
      <w:pPr>
        <w:spacing w:line="240" w:lineRule="auto"/>
        <w:jc w:val="both"/>
      </w:pPr>
      <w:r>
        <w:rPr>
          <w:noProof/>
        </w:rPr>
        <w:lastRenderedPageBreak/>
        <w:drawing>
          <wp:inline distT="0" distB="0" distL="0" distR="0" wp14:anchorId="393B4C02" wp14:editId="32DFB049">
            <wp:extent cx="5733415" cy="6048375"/>
            <wp:effectExtent l="0" t="0" r="0" b="0"/>
            <wp:docPr id="1997727313" name="Picture 13" descr="A graph of a graph with white dots and blu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727313" name="Picture 13" descr="A graph of a graph with white dots and blue line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3415" cy="6048375"/>
                    </a:xfrm>
                    <a:prstGeom prst="rect">
                      <a:avLst/>
                    </a:prstGeom>
                  </pic:spPr>
                </pic:pic>
              </a:graphicData>
            </a:graphic>
          </wp:inline>
        </w:drawing>
      </w:r>
    </w:p>
    <w:p w14:paraId="7C105E6E" w14:textId="77777777" w:rsidR="00DF6794" w:rsidRDefault="00DF6794" w:rsidP="00DF6794">
      <w:pPr>
        <w:spacing w:line="240" w:lineRule="auto"/>
        <w:jc w:val="both"/>
      </w:pPr>
    </w:p>
    <w:p w14:paraId="1B03AAEF" w14:textId="77777777" w:rsidR="00DF6794" w:rsidRPr="004B16FD" w:rsidRDefault="00DF6794" w:rsidP="00DF6794">
      <w:pPr>
        <w:spacing w:line="240" w:lineRule="auto"/>
        <w:jc w:val="both"/>
        <w:rPr>
          <w:lang w:val="en-GB"/>
        </w:rPr>
      </w:pPr>
      <w:r w:rsidRPr="004B16FD">
        <w:rPr>
          <w:b/>
          <w:lang w:val="en-GB"/>
        </w:rPr>
        <w:t>Figure S6. Relationship between dissolved inorganic carbon (DIC) and oxygen (O</w:t>
      </w:r>
      <w:r w:rsidRPr="004B16FD">
        <w:rPr>
          <w:rFonts w:ascii="Cambria Math" w:hAnsi="Cambria Math" w:cs="Cambria Math"/>
          <w:b/>
          <w:lang w:val="en-GB"/>
        </w:rPr>
        <w:t>₂</w:t>
      </w:r>
      <w:r w:rsidRPr="004B16FD">
        <w:rPr>
          <w:b/>
          <w:lang w:val="en-GB"/>
        </w:rPr>
        <w:t>) and their GAMM residuals in the surface waters of Stations 51 and 130. (a–b)</w:t>
      </w:r>
      <w:r w:rsidRPr="004B16FD">
        <w:rPr>
          <w:lang w:val="en-GB"/>
        </w:rPr>
        <w:t xml:space="preserve"> Relationship between DIC and O</w:t>
      </w:r>
      <w:r w:rsidRPr="004B16FD">
        <w:rPr>
          <w:rFonts w:ascii="Cambria Math" w:hAnsi="Cambria Math" w:cs="Cambria Math"/>
          <w:lang w:val="en-GB"/>
        </w:rPr>
        <w:t>₂</w:t>
      </w:r>
      <w:r w:rsidRPr="004B16FD">
        <w:rPr>
          <w:lang w:val="en-GB"/>
        </w:rPr>
        <w:t xml:space="preserve"> at each station, with fitted regression lines showing the linear relationships. At Station 51, the linear relationship was not significant (r = 0.039, p = 0.19), while at Station 130, we found the linear relationship DIC = -5.049 × O</w:t>
      </w:r>
      <w:r w:rsidRPr="004B16FD">
        <w:rPr>
          <w:rFonts w:ascii="Cambria Math" w:hAnsi="Cambria Math" w:cs="Cambria Math"/>
          <w:lang w:val="en-GB"/>
        </w:rPr>
        <w:t>₂</w:t>
      </w:r>
      <w:r w:rsidRPr="004B16FD">
        <w:rPr>
          <w:lang w:val="en-GB"/>
        </w:rPr>
        <w:t xml:space="preserve"> + 3719.694 (r = -0.86, p &lt; 2.2 * 10</w:t>
      </w:r>
      <w:r w:rsidRPr="004B16FD">
        <w:rPr>
          <w:vertAlign w:val="superscript"/>
          <w:lang w:val="en-GB"/>
        </w:rPr>
        <w:t>-16</w:t>
      </w:r>
      <w:r w:rsidRPr="004B16FD">
        <w:rPr>
          <w:lang w:val="en-GB"/>
        </w:rPr>
        <w:t>). (c-d) Relationship between DIC and O</w:t>
      </w:r>
      <w:r w:rsidRPr="004B16FD">
        <w:rPr>
          <w:rFonts w:ascii="Cambria Math" w:hAnsi="Cambria Math" w:cs="Cambria Math"/>
          <w:lang w:val="en-GB"/>
        </w:rPr>
        <w:t>₂</w:t>
      </w:r>
      <w:r w:rsidRPr="004B16FD">
        <w:rPr>
          <w:lang w:val="en-GB"/>
        </w:rPr>
        <w:t xml:space="preserve"> residuals after accounting for salinity, temperature, and wind speed variations using GAMMs (see Methods) at each station, with fitted regression lines showing the linear relationships.</w:t>
      </w:r>
    </w:p>
    <w:p w14:paraId="76C147CC" w14:textId="77777777" w:rsidR="00DF6794" w:rsidRDefault="00DF6794" w:rsidP="00DF6794">
      <w:pPr>
        <w:rPr>
          <w:b/>
        </w:rPr>
      </w:pPr>
      <w:r>
        <w:rPr>
          <w:b/>
          <w:noProof/>
        </w:rPr>
        <w:lastRenderedPageBreak/>
        <w:drawing>
          <wp:inline distT="0" distB="0" distL="0" distR="0" wp14:anchorId="4A7AA5E7" wp14:editId="5E3B7066">
            <wp:extent cx="5733415" cy="5126355"/>
            <wp:effectExtent l="0" t="0" r="0" b="4445"/>
            <wp:docPr id="284325039" name="Picture 14" descr="A graph of numbers and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325039" name="Picture 14" descr="A graph of numbers and a red lin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3415" cy="5126355"/>
                    </a:xfrm>
                    <a:prstGeom prst="rect">
                      <a:avLst/>
                    </a:prstGeom>
                  </pic:spPr>
                </pic:pic>
              </a:graphicData>
            </a:graphic>
          </wp:inline>
        </w:drawing>
      </w:r>
    </w:p>
    <w:p w14:paraId="6FEC470E" w14:textId="77777777" w:rsidR="00DF6794" w:rsidRPr="004B16FD" w:rsidRDefault="00DF6794" w:rsidP="00DF6794">
      <w:pPr>
        <w:spacing w:line="240" w:lineRule="auto"/>
        <w:jc w:val="both"/>
        <w:rPr>
          <w:lang w:val="en-GB"/>
        </w:rPr>
      </w:pPr>
      <w:r w:rsidRPr="004B16FD">
        <w:rPr>
          <w:b/>
          <w:lang w:val="en-GB"/>
        </w:rPr>
        <w:t xml:space="preserve">Figure S7. Heatmap showing the correlation of GO slim category expression across metatranscriptomic samples at Station 130 for </w:t>
      </w:r>
      <w:r w:rsidRPr="004B16FD">
        <w:rPr>
          <w:b/>
          <w:i/>
          <w:lang w:val="en-GB"/>
        </w:rPr>
        <w:t>P. globosa</w:t>
      </w:r>
      <w:r w:rsidRPr="004B16FD">
        <w:rPr>
          <w:b/>
          <w:lang w:val="en-GB"/>
        </w:rPr>
        <w:t>.</w:t>
      </w:r>
      <w:r w:rsidRPr="004B16FD">
        <w:rPr>
          <w:lang w:val="en-GB"/>
        </w:rPr>
        <w:t xml:space="preserve"> Each cell represents the Pearson correlation coefficient between samples’ TPL expression profiles, with transcript TPL values summed per GO slim category from a curated list of 120 GO Slim categories of interest, z-scored across sampling dates and times.</w:t>
      </w:r>
    </w:p>
    <w:p w14:paraId="566EDE25" w14:textId="77777777" w:rsidR="00DF6794" w:rsidRPr="004B16FD" w:rsidRDefault="00DF6794" w:rsidP="00DF6794">
      <w:pPr>
        <w:rPr>
          <w:b/>
          <w:lang w:val="en-GB"/>
        </w:rPr>
      </w:pPr>
    </w:p>
    <w:p w14:paraId="764D073B" w14:textId="77777777" w:rsidR="00DF6794" w:rsidRDefault="00DF6794" w:rsidP="00DF6794">
      <w:pPr>
        <w:rPr>
          <w:b/>
        </w:rPr>
      </w:pPr>
      <w:r>
        <w:rPr>
          <w:b/>
          <w:noProof/>
        </w:rPr>
        <w:lastRenderedPageBreak/>
        <w:drawing>
          <wp:inline distT="0" distB="0" distL="0" distR="0" wp14:anchorId="2953DEF5" wp14:editId="119D380C">
            <wp:extent cx="5733415" cy="5733415"/>
            <wp:effectExtent l="0" t="0" r="0" b="0"/>
            <wp:docPr id="44122942" name="Picture 15" descr="A red and blue square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22942" name="Picture 15" descr="A red and blue squares with white text&#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3415" cy="5733415"/>
                    </a:xfrm>
                    <a:prstGeom prst="rect">
                      <a:avLst/>
                    </a:prstGeom>
                  </pic:spPr>
                </pic:pic>
              </a:graphicData>
            </a:graphic>
          </wp:inline>
        </w:drawing>
      </w:r>
    </w:p>
    <w:p w14:paraId="041B61D1" w14:textId="77777777" w:rsidR="00DF6794" w:rsidRPr="004B16FD" w:rsidRDefault="00DF6794" w:rsidP="00DF6794">
      <w:pPr>
        <w:spacing w:line="240" w:lineRule="auto"/>
        <w:jc w:val="both"/>
        <w:rPr>
          <w:color w:val="0E0E0E"/>
          <w:lang w:val="en-GB"/>
        </w:rPr>
      </w:pPr>
      <w:r w:rsidRPr="004B16FD">
        <w:rPr>
          <w:b/>
          <w:lang w:val="en-GB"/>
        </w:rPr>
        <w:t xml:space="preserve">Figure S8. </w:t>
      </w:r>
      <w:proofErr w:type="spellStart"/>
      <w:r w:rsidRPr="004B16FD">
        <w:rPr>
          <w:b/>
          <w:color w:val="0E0E0E"/>
          <w:lang w:val="en-GB"/>
        </w:rPr>
        <w:t>Clustermap</w:t>
      </w:r>
      <w:proofErr w:type="spellEnd"/>
      <w:r w:rsidRPr="004B16FD">
        <w:rPr>
          <w:b/>
          <w:color w:val="0E0E0E"/>
          <w:lang w:val="en-GB"/>
        </w:rPr>
        <w:t xml:space="preserve"> of GO slim category expression at Station 130 by </w:t>
      </w:r>
      <w:r w:rsidRPr="004B16FD">
        <w:rPr>
          <w:b/>
          <w:i/>
          <w:color w:val="0E0E0E"/>
          <w:lang w:val="en-GB"/>
        </w:rPr>
        <w:t>P. globosa</w:t>
      </w:r>
      <w:r w:rsidRPr="004B16FD">
        <w:rPr>
          <w:b/>
          <w:color w:val="0E0E0E"/>
          <w:lang w:val="en-GB"/>
        </w:rPr>
        <w:t xml:space="preserve">. </w:t>
      </w:r>
      <w:r w:rsidRPr="004B16FD">
        <w:rPr>
          <w:color w:val="0E0E0E"/>
          <w:lang w:val="en-GB"/>
        </w:rPr>
        <w:t xml:space="preserve">Rows and columns represent GO slim categories, clustered by similarity in z-scored TPL expression profiles across sampling events. The </w:t>
      </w:r>
      <w:proofErr w:type="spellStart"/>
      <w:r w:rsidRPr="004B16FD">
        <w:rPr>
          <w:color w:val="0E0E0E"/>
          <w:lang w:val="en-GB"/>
        </w:rPr>
        <w:t>color</w:t>
      </w:r>
      <w:proofErr w:type="spellEnd"/>
      <w:r w:rsidRPr="004B16FD">
        <w:rPr>
          <w:color w:val="0E0E0E"/>
          <w:lang w:val="en-GB"/>
        </w:rPr>
        <w:t xml:space="preserve"> bar indicates Pearson correlation coefficients, with warm </w:t>
      </w:r>
      <w:proofErr w:type="spellStart"/>
      <w:r w:rsidRPr="004B16FD">
        <w:rPr>
          <w:color w:val="0E0E0E"/>
          <w:lang w:val="en-GB"/>
        </w:rPr>
        <w:t>colors</w:t>
      </w:r>
      <w:proofErr w:type="spellEnd"/>
      <w:r w:rsidRPr="004B16FD">
        <w:rPr>
          <w:color w:val="0E0E0E"/>
          <w:lang w:val="en-GB"/>
        </w:rPr>
        <w:t xml:space="preserve"> representing positive correlations and cool </w:t>
      </w:r>
      <w:proofErr w:type="spellStart"/>
      <w:r w:rsidRPr="004B16FD">
        <w:rPr>
          <w:color w:val="0E0E0E"/>
          <w:lang w:val="en-GB"/>
        </w:rPr>
        <w:t>colors</w:t>
      </w:r>
      <w:proofErr w:type="spellEnd"/>
      <w:r w:rsidRPr="004B16FD">
        <w:rPr>
          <w:color w:val="0E0E0E"/>
          <w:lang w:val="en-GB"/>
        </w:rPr>
        <w:t xml:space="preserve"> indicating negative correlations. Only the 40 most variable GO Slim categories from a curated list of 120 terms of interest are displayed to ensure the readability of the plot.</w:t>
      </w:r>
    </w:p>
    <w:p w14:paraId="29843A50" w14:textId="77777777" w:rsidR="00DF6794" w:rsidRDefault="00DF6794" w:rsidP="00DF6794">
      <w:r>
        <w:rPr>
          <w:noProof/>
        </w:rPr>
        <w:lastRenderedPageBreak/>
        <w:drawing>
          <wp:inline distT="0" distB="0" distL="0" distR="0" wp14:anchorId="577BCC12" wp14:editId="4350B2B8">
            <wp:extent cx="5733415" cy="2867025"/>
            <wp:effectExtent l="0" t="0" r="0" b="3175"/>
            <wp:docPr id="387300330" name="Picture 16" descr="A pixelated image of a blue and orange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300330" name="Picture 16" descr="A pixelated image of a blue and orange squar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3415" cy="2867025"/>
                    </a:xfrm>
                    <a:prstGeom prst="rect">
                      <a:avLst/>
                    </a:prstGeom>
                  </pic:spPr>
                </pic:pic>
              </a:graphicData>
            </a:graphic>
          </wp:inline>
        </w:drawing>
      </w:r>
    </w:p>
    <w:p w14:paraId="50BDC90E" w14:textId="77777777" w:rsidR="00DF6794" w:rsidRPr="004B16FD" w:rsidRDefault="00DF6794" w:rsidP="00DF6794">
      <w:pPr>
        <w:spacing w:line="240" w:lineRule="auto"/>
        <w:jc w:val="both"/>
        <w:rPr>
          <w:color w:val="0E0E0E"/>
          <w:lang w:val="en-GB"/>
        </w:rPr>
      </w:pPr>
      <w:r w:rsidRPr="004B16FD">
        <w:rPr>
          <w:b/>
          <w:lang w:val="en-GB"/>
        </w:rPr>
        <w:t>Figure S9. Clustered heatmap of z-scored expression data at Station 130 for Gene Ontology (GO) terms related to photosynthesis, with mean expression overview.</w:t>
      </w:r>
      <w:r w:rsidRPr="004B16FD">
        <w:rPr>
          <w:lang w:val="en-GB"/>
        </w:rPr>
        <w:t xml:space="preserve"> The heatmap displays the z-scored TPL expression profiles of the GO terms from a curated list of terms related to photosynthesis. Only GO terms with an average expression &gt; 0.1 % of the </w:t>
      </w:r>
      <w:r w:rsidRPr="004B16FD">
        <w:rPr>
          <w:i/>
          <w:lang w:val="en-GB"/>
        </w:rPr>
        <w:t>Phaeocystis</w:t>
      </w:r>
      <w:r w:rsidRPr="004B16FD">
        <w:rPr>
          <w:lang w:val="en-GB"/>
        </w:rPr>
        <w:t xml:space="preserve"> </w:t>
      </w:r>
      <w:r w:rsidRPr="004B16FD">
        <w:rPr>
          <w:i/>
          <w:lang w:val="en-GB"/>
        </w:rPr>
        <w:t>globosa</w:t>
      </w:r>
      <w:r w:rsidRPr="004B16FD">
        <w:rPr>
          <w:lang w:val="en-GB"/>
        </w:rPr>
        <w:t xml:space="preserve"> transcriptome across samples were retained. Heatmap rows, representing individual GO terms, were grouped using hierarchical clustering (Ward's method), as shown by the dendrogram on the left. Columns represent sampling points. </w:t>
      </w:r>
      <w:proofErr w:type="spellStart"/>
      <w:r w:rsidRPr="004B16FD">
        <w:rPr>
          <w:lang w:val="en-GB"/>
        </w:rPr>
        <w:t>Color</w:t>
      </w:r>
      <w:proofErr w:type="spellEnd"/>
      <w:r w:rsidRPr="004B16FD">
        <w:rPr>
          <w:lang w:val="en-GB"/>
        </w:rPr>
        <w:t xml:space="preserve"> intensity indicates relative expression levels (Z-scores calculated across samples), with orange representing higher relative expression and blue representing lower relative expression. GO term labels are shown to the right of the heatmap, while the bar plot adjacent to the labels shows the mean expression for each included GO term across all samples, calculated by averaging the normalized transcripts per </w:t>
      </w:r>
      <w:proofErr w:type="spellStart"/>
      <w:r w:rsidRPr="004B16FD">
        <w:rPr>
          <w:lang w:val="en-GB"/>
        </w:rPr>
        <w:t>liter</w:t>
      </w:r>
      <w:proofErr w:type="spellEnd"/>
      <w:r w:rsidRPr="004B16FD">
        <w:rPr>
          <w:lang w:val="en-GB"/>
        </w:rPr>
        <w:t xml:space="preserve"> (TPL) sums per GO term across timepoints. The TPL sum for a given GO term at a given time point is normalized against the total TPL attributed to </w:t>
      </w:r>
      <w:r w:rsidRPr="004B16FD">
        <w:rPr>
          <w:i/>
          <w:lang w:val="en-GB"/>
        </w:rPr>
        <w:t>Phaeocystis globosa</w:t>
      </w:r>
      <w:r w:rsidRPr="004B16FD">
        <w:rPr>
          <w:lang w:val="en-GB"/>
        </w:rPr>
        <w:t xml:space="preserve"> at that time point.</w:t>
      </w:r>
    </w:p>
    <w:p w14:paraId="1BD70E8E" w14:textId="77777777" w:rsidR="00DF6794" w:rsidRDefault="00DF6794" w:rsidP="00DF6794">
      <w:pPr>
        <w:spacing w:line="240" w:lineRule="auto"/>
        <w:jc w:val="both"/>
        <w:rPr>
          <w:b/>
          <w:lang w:val="en-GB"/>
        </w:rPr>
      </w:pPr>
      <w:r>
        <w:rPr>
          <w:b/>
          <w:noProof/>
          <w:lang w:val="en-GB"/>
        </w:rPr>
        <w:lastRenderedPageBreak/>
        <w:drawing>
          <wp:inline distT="0" distB="0" distL="0" distR="0" wp14:anchorId="09E51111" wp14:editId="33CC72F2">
            <wp:extent cx="5733415" cy="5733415"/>
            <wp:effectExtent l="0" t="0" r="0" b="0"/>
            <wp:docPr id="769231199" name="Picture 18" descr="A diagram of a person's condi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31199" name="Picture 18" descr="A diagram of a person's condition&#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3415" cy="5733415"/>
                    </a:xfrm>
                    <a:prstGeom prst="rect">
                      <a:avLst/>
                    </a:prstGeom>
                  </pic:spPr>
                </pic:pic>
              </a:graphicData>
            </a:graphic>
          </wp:inline>
        </w:drawing>
      </w:r>
    </w:p>
    <w:p w14:paraId="245629B7" w14:textId="77777777" w:rsidR="00DF6794" w:rsidRDefault="00DF6794" w:rsidP="00DF6794">
      <w:pPr>
        <w:spacing w:line="240" w:lineRule="auto"/>
        <w:jc w:val="both"/>
        <w:rPr>
          <w:color w:val="0E0E0E"/>
          <w:lang w:val="en-GB"/>
        </w:rPr>
      </w:pPr>
      <w:r w:rsidRPr="004B16FD">
        <w:rPr>
          <w:b/>
          <w:lang w:val="en-GB"/>
        </w:rPr>
        <w:t xml:space="preserve">Figure S10. </w:t>
      </w:r>
      <w:proofErr w:type="spellStart"/>
      <w:r w:rsidRPr="004B16FD">
        <w:rPr>
          <w:b/>
          <w:color w:val="0E0E0E"/>
          <w:lang w:val="en-GB"/>
        </w:rPr>
        <w:t>Clustermap</w:t>
      </w:r>
      <w:proofErr w:type="spellEnd"/>
      <w:r w:rsidRPr="004B16FD">
        <w:rPr>
          <w:b/>
          <w:color w:val="0E0E0E"/>
          <w:lang w:val="en-GB"/>
        </w:rPr>
        <w:t xml:space="preserve"> of GO slim category expression at Station 51 by </w:t>
      </w:r>
      <w:r w:rsidRPr="004B16FD">
        <w:rPr>
          <w:b/>
          <w:i/>
          <w:color w:val="0E0E0E"/>
          <w:lang w:val="en-GB"/>
        </w:rPr>
        <w:t>P. globosa</w:t>
      </w:r>
      <w:r w:rsidRPr="004B16FD">
        <w:rPr>
          <w:b/>
          <w:color w:val="0E0E0E"/>
          <w:lang w:val="en-GB"/>
        </w:rPr>
        <w:t xml:space="preserve">. </w:t>
      </w:r>
      <w:r w:rsidRPr="004B16FD">
        <w:rPr>
          <w:color w:val="0E0E0E"/>
          <w:lang w:val="en-GB"/>
        </w:rPr>
        <w:t xml:space="preserve">Rows and columns represent GO slim categories, clustered by similarity in z-scored TPL expression profiles across sampling events. The </w:t>
      </w:r>
      <w:proofErr w:type="spellStart"/>
      <w:r w:rsidRPr="004B16FD">
        <w:rPr>
          <w:color w:val="0E0E0E"/>
          <w:lang w:val="en-GB"/>
        </w:rPr>
        <w:t>color</w:t>
      </w:r>
      <w:proofErr w:type="spellEnd"/>
      <w:r w:rsidRPr="004B16FD">
        <w:rPr>
          <w:color w:val="0E0E0E"/>
          <w:lang w:val="en-GB"/>
        </w:rPr>
        <w:t xml:space="preserve"> bar indicates Pearson correlation coefficients, with warm </w:t>
      </w:r>
      <w:proofErr w:type="spellStart"/>
      <w:r w:rsidRPr="004B16FD">
        <w:rPr>
          <w:color w:val="0E0E0E"/>
          <w:lang w:val="en-GB"/>
        </w:rPr>
        <w:t>colors</w:t>
      </w:r>
      <w:proofErr w:type="spellEnd"/>
      <w:r w:rsidRPr="004B16FD">
        <w:rPr>
          <w:color w:val="0E0E0E"/>
          <w:lang w:val="en-GB"/>
        </w:rPr>
        <w:t xml:space="preserve"> representing positive correlations and cool </w:t>
      </w:r>
      <w:proofErr w:type="spellStart"/>
      <w:r w:rsidRPr="004B16FD">
        <w:rPr>
          <w:color w:val="0E0E0E"/>
          <w:lang w:val="en-GB"/>
        </w:rPr>
        <w:t>colors</w:t>
      </w:r>
      <w:proofErr w:type="spellEnd"/>
      <w:r w:rsidRPr="004B16FD">
        <w:rPr>
          <w:color w:val="0E0E0E"/>
          <w:lang w:val="en-GB"/>
        </w:rPr>
        <w:t xml:space="preserve"> indicating negative correlations. Only the 40 most variable GO Slim categories from a curated list of 120 terms of interest are displayed to ensure the readability of the plot.</w:t>
      </w:r>
    </w:p>
    <w:p w14:paraId="188B19F0" w14:textId="77777777" w:rsidR="00DF6794" w:rsidRPr="004B16FD" w:rsidRDefault="00DF6794" w:rsidP="00DF6794">
      <w:pPr>
        <w:spacing w:line="240" w:lineRule="auto"/>
        <w:jc w:val="both"/>
        <w:rPr>
          <w:color w:val="0E0E0E"/>
          <w:lang w:val="en-GB"/>
        </w:rPr>
      </w:pPr>
      <w:r>
        <w:rPr>
          <w:noProof/>
          <w:color w:val="0E0E0E"/>
        </w:rPr>
        <w:lastRenderedPageBreak/>
        <w:drawing>
          <wp:inline distT="114300" distB="114300" distL="114300" distR="114300" wp14:anchorId="4562897A" wp14:editId="7AD54856">
            <wp:extent cx="4696945" cy="4160282"/>
            <wp:effectExtent l="0" t="0" r="0" b="0"/>
            <wp:docPr id="12" name="image12.png" descr="A graph of a number of numbers&#10;&#10;AI-generated content may be incorrect."/>
            <wp:cNvGraphicFramePr/>
            <a:graphic xmlns:a="http://schemas.openxmlformats.org/drawingml/2006/main">
              <a:graphicData uri="http://schemas.openxmlformats.org/drawingml/2006/picture">
                <pic:pic xmlns:pic="http://schemas.openxmlformats.org/drawingml/2006/picture">
                  <pic:nvPicPr>
                    <pic:cNvPr id="12" name="image12.png" descr="A graph of a number of numbers&#10;&#10;AI-generated content may be incorrect."/>
                    <pic:cNvPicPr preferRelativeResize="0"/>
                  </pic:nvPicPr>
                  <pic:blipFill>
                    <a:blip r:embed="rId15"/>
                    <a:srcRect/>
                    <a:stretch>
                      <a:fillRect/>
                    </a:stretch>
                  </pic:blipFill>
                  <pic:spPr>
                    <a:xfrm>
                      <a:off x="0" y="0"/>
                      <a:ext cx="4696945" cy="4160282"/>
                    </a:xfrm>
                    <a:prstGeom prst="rect">
                      <a:avLst/>
                    </a:prstGeom>
                    <a:ln/>
                  </pic:spPr>
                </pic:pic>
              </a:graphicData>
            </a:graphic>
          </wp:inline>
        </w:drawing>
      </w:r>
    </w:p>
    <w:p w14:paraId="2B6ED877" w14:textId="77777777" w:rsidR="00DF6794" w:rsidRPr="004B16FD" w:rsidRDefault="00DF6794" w:rsidP="00DF6794">
      <w:pPr>
        <w:spacing w:line="240" w:lineRule="auto"/>
        <w:jc w:val="both"/>
        <w:rPr>
          <w:lang w:val="en-GB"/>
        </w:rPr>
      </w:pPr>
      <w:r w:rsidRPr="004B16FD">
        <w:rPr>
          <w:b/>
          <w:lang w:val="en-GB"/>
        </w:rPr>
        <w:t xml:space="preserve">Figure S11. Heatmap showing the correlation of GO slim category expression across metatranscriptomic samples at Station 51 for </w:t>
      </w:r>
      <w:r w:rsidRPr="004B16FD">
        <w:rPr>
          <w:b/>
          <w:i/>
          <w:lang w:val="en-GB"/>
        </w:rPr>
        <w:t>P. globosa</w:t>
      </w:r>
      <w:r w:rsidRPr="004B16FD">
        <w:rPr>
          <w:b/>
          <w:lang w:val="en-GB"/>
        </w:rPr>
        <w:t>.</w:t>
      </w:r>
      <w:r w:rsidRPr="004B16FD">
        <w:rPr>
          <w:lang w:val="en-GB"/>
        </w:rPr>
        <w:t xml:space="preserve"> Each cell represents the Pearson correlation coefficient between samples’ TPL expression profiles, with transcript TPL values summed per GO slim category from a curated list of 120 GO Slim categories of interest, z-scored across sampling dates and times.</w:t>
      </w:r>
    </w:p>
    <w:p w14:paraId="5673239F" w14:textId="77777777" w:rsidR="00DF6794" w:rsidRPr="004B16FD" w:rsidRDefault="00DF6794" w:rsidP="00DF6794">
      <w:pPr>
        <w:spacing w:line="240" w:lineRule="auto"/>
        <w:jc w:val="both"/>
        <w:rPr>
          <w:lang w:val="en-GB"/>
        </w:rPr>
      </w:pPr>
    </w:p>
    <w:p w14:paraId="1A2A752A" w14:textId="77777777" w:rsidR="00DF6794" w:rsidRDefault="00DF6794" w:rsidP="00DF6794">
      <w:pPr>
        <w:jc w:val="both"/>
      </w:pPr>
      <w:r>
        <w:rPr>
          <w:noProof/>
        </w:rPr>
        <w:drawing>
          <wp:inline distT="114300" distB="114300" distL="114300" distR="114300" wp14:anchorId="04BD23E6" wp14:editId="63450C0B">
            <wp:extent cx="3328988" cy="2649602"/>
            <wp:effectExtent l="0" t="0" r="0" b="0"/>
            <wp:docPr id="3" name="image3.png" descr="A graph of a graph with a number of different sizes and numbers&#10;&#10;AI-generated content may be incorrect."/>
            <wp:cNvGraphicFramePr/>
            <a:graphic xmlns:a="http://schemas.openxmlformats.org/drawingml/2006/main">
              <a:graphicData uri="http://schemas.openxmlformats.org/drawingml/2006/picture">
                <pic:pic xmlns:pic="http://schemas.openxmlformats.org/drawingml/2006/picture">
                  <pic:nvPicPr>
                    <pic:cNvPr id="3" name="image3.png" descr="A graph of a graph with a number of different sizes and numbers&#10;&#10;AI-generated content may be incorrect."/>
                    <pic:cNvPicPr preferRelativeResize="0"/>
                  </pic:nvPicPr>
                  <pic:blipFill>
                    <a:blip r:embed="rId16"/>
                    <a:srcRect/>
                    <a:stretch>
                      <a:fillRect/>
                    </a:stretch>
                  </pic:blipFill>
                  <pic:spPr>
                    <a:xfrm>
                      <a:off x="0" y="0"/>
                      <a:ext cx="3328988" cy="2649602"/>
                    </a:xfrm>
                    <a:prstGeom prst="rect">
                      <a:avLst/>
                    </a:prstGeom>
                    <a:ln/>
                  </pic:spPr>
                </pic:pic>
              </a:graphicData>
            </a:graphic>
          </wp:inline>
        </w:drawing>
      </w:r>
    </w:p>
    <w:p w14:paraId="69DD7D09" w14:textId="77777777" w:rsidR="00DF6794" w:rsidRPr="004B16FD" w:rsidRDefault="00DF6794" w:rsidP="00DF6794">
      <w:pPr>
        <w:spacing w:line="240" w:lineRule="auto"/>
        <w:jc w:val="both"/>
        <w:rPr>
          <w:lang w:val="en-GB"/>
        </w:rPr>
      </w:pPr>
      <w:r w:rsidRPr="004B16FD">
        <w:rPr>
          <w:b/>
          <w:lang w:val="en-GB"/>
        </w:rPr>
        <w:t>Figure S12. Boxplot summarizing concentrations of Transparent Exopolymer Particles (TEP) in µg Xanthan Gum equivalents per L during day, twilight, and nighttime.</w:t>
      </w:r>
      <w:r w:rsidRPr="004B16FD">
        <w:rPr>
          <w:lang w:val="en-GB"/>
        </w:rPr>
        <w:t xml:space="preserve"> </w:t>
      </w:r>
      <w:r w:rsidRPr="004B16FD">
        <w:rPr>
          <w:highlight w:val="white"/>
          <w:lang w:val="en-GB"/>
        </w:rPr>
        <w:t>Boxes encompass the interquartile range, with the central line showing the median. Whiskers extend to the furthest data points within 1.5 times the interquartile range</w:t>
      </w:r>
      <w:r w:rsidRPr="004B16FD">
        <w:rPr>
          <w:lang w:val="en-GB"/>
        </w:rPr>
        <w:t xml:space="preserve"> below the first or above the third quartile.</w:t>
      </w:r>
    </w:p>
    <w:p w14:paraId="7112A59F" w14:textId="77777777" w:rsidR="00DF6794" w:rsidRPr="00DF6794" w:rsidRDefault="00DF6794" w:rsidP="00DF6794">
      <w:pPr>
        <w:rPr>
          <w:lang w:val="en-GB"/>
        </w:rPr>
      </w:pPr>
      <w:bookmarkStart w:id="0" w:name="_ry3rwac92j4c" w:colFirst="0" w:colLast="0"/>
      <w:bookmarkEnd w:id="0"/>
    </w:p>
    <w:p w14:paraId="74F6D6CC" w14:textId="49C5761B" w:rsidR="005135DA" w:rsidRDefault="00DF6794">
      <w:pPr>
        <w:rPr>
          <w:lang w:val="en-GB"/>
        </w:rPr>
      </w:pPr>
      <w:r>
        <w:rPr>
          <w:noProof/>
          <w:lang w:val="en-GB"/>
        </w:rPr>
        <w:lastRenderedPageBreak/>
        <w:drawing>
          <wp:inline distT="0" distB="0" distL="0" distR="0" wp14:anchorId="3750C0F4" wp14:editId="2212459C">
            <wp:extent cx="5486400" cy="3657600"/>
            <wp:effectExtent l="0" t="0" r="0" b="0"/>
            <wp:docPr id="797417234" name="Picture 3" descr="A graph with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417234" name="Picture 3" descr="A graph with a lin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4DE31BE6" w14:textId="11CB2A2D" w:rsidR="00DF6794" w:rsidRPr="00DF6794" w:rsidRDefault="00DF6794" w:rsidP="00DF6794">
      <w:pPr>
        <w:jc w:val="both"/>
        <w:rPr>
          <w:lang w:val="en-GB"/>
        </w:rPr>
      </w:pPr>
      <w:r w:rsidRPr="00DF6794">
        <w:rPr>
          <w:b/>
          <w:bCs/>
          <w:color w:val="000000"/>
          <w:lang w:val="en-GB"/>
        </w:rPr>
        <w:t xml:space="preserve">Figure S13. Silhouette analysis for determining the optimal number of clusters in the </w:t>
      </w:r>
      <w:r w:rsidRPr="00DF6794">
        <w:rPr>
          <w:b/>
          <w:bCs/>
          <w:i/>
          <w:iCs/>
          <w:color w:val="000000"/>
          <w:lang w:val="en-GB"/>
        </w:rPr>
        <w:t>Phaeocystis globosa</w:t>
      </w:r>
      <w:r w:rsidRPr="00DF6794">
        <w:rPr>
          <w:b/>
          <w:bCs/>
          <w:color w:val="000000"/>
          <w:lang w:val="en-GB"/>
        </w:rPr>
        <w:t xml:space="preserve"> transcript expression dataset at Station 130. </w:t>
      </w:r>
      <w:r w:rsidRPr="00DF6794">
        <w:rPr>
          <w:color w:val="000000"/>
          <w:lang w:val="en-GB"/>
        </w:rPr>
        <w:t xml:space="preserve">Average silhouette width is shown for k = 2 to 6, based on k-means clustering of the 5,000 most variable transcripts standardized by total </w:t>
      </w:r>
      <w:r w:rsidRPr="00DF6794">
        <w:rPr>
          <w:i/>
          <w:iCs/>
          <w:color w:val="000000"/>
          <w:lang w:val="en-GB"/>
        </w:rPr>
        <w:t>Phaeocystis</w:t>
      </w:r>
      <w:r w:rsidRPr="00DF6794">
        <w:rPr>
          <w:color w:val="000000"/>
          <w:lang w:val="en-GB"/>
        </w:rPr>
        <w:t xml:space="preserve"> expression per sample (TPL). The silhouette width quantifies how well each transcript fits within its assigned cluster compared to other clusters, with higher values indicating better-defined clusters. A maximum silhouette width was observed at k = 2, supporting the choice of k = 2 clusters for </w:t>
      </w:r>
      <w:proofErr w:type="spellStart"/>
      <w:r w:rsidRPr="00DF6794">
        <w:rPr>
          <w:color w:val="000000"/>
          <w:lang w:val="en-GB"/>
        </w:rPr>
        <w:t>MBCluster.Seq</w:t>
      </w:r>
      <w:proofErr w:type="spellEnd"/>
      <w:r w:rsidRPr="00DF6794">
        <w:rPr>
          <w:color w:val="000000"/>
          <w:lang w:val="en-GB"/>
        </w:rPr>
        <w:t>.</w:t>
      </w:r>
    </w:p>
    <w:sectPr w:rsidR="00DF6794" w:rsidRPr="00DF6794" w:rsidSect="00DF6794">
      <w:headerReference w:type="default" r:id="rId1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723C0" w14:textId="77777777" w:rsidR="00DF6794" w:rsidRDefault="00DF679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794"/>
    <w:rsid w:val="0016278D"/>
    <w:rsid w:val="001F473D"/>
    <w:rsid w:val="003E1CE1"/>
    <w:rsid w:val="005135DA"/>
    <w:rsid w:val="00615670"/>
    <w:rsid w:val="00845A5D"/>
    <w:rsid w:val="00A818F6"/>
    <w:rsid w:val="00D33E65"/>
    <w:rsid w:val="00DF67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8AA4AAD"/>
  <w15:chartTrackingRefBased/>
  <w15:docId w15:val="{E8CA2AF3-A892-0441-AA84-2F4A031E8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6794"/>
    <w:pPr>
      <w:spacing w:after="0"/>
    </w:pPr>
    <w:rPr>
      <w:rFonts w:ascii="Arial" w:eastAsia="Arial" w:hAnsi="Arial" w:cs="Arial"/>
      <w:lang w:val="nl" w:eastAsia="en-GB"/>
    </w:rPr>
  </w:style>
  <w:style w:type="paragraph" w:styleId="Heading1">
    <w:name w:val="heading 1"/>
    <w:basedOn w:val="Normal"/>
    <w:next w:val="Normal"/>
    <w:link w:val="Heading1Char"/>
    <w:uiPriority w:val="9"/>
    <w:qFormat/>
    <w:rsid w:val="003E1CE1"/>
    <w:pPr>
      <w:keepNext/>
      <w:keepLines/>
      <w:spacing w:before="480" w:after="120" w:line="240" w:lineRule="auto"/>
      <w:outlineLvl w:val="0"/>
    </w:pPr>
    <w:rPr>
      <w:rFonts w:asciiTheme="majorHAnsi" w:eastAsiaTheme="majorEastAsia" w:hAnsiTheme="majorHAnsi" w:cstheme="majorBidi"/>
      <w:bCs/>
      <w:color w:val="000000" w:themeColor="text1"/>
      <w:spacing w:val="20"/>
      <w:sz w:val="32"/>
      <w:szCs w:val="28"/>
      <w:lang w:val="en-BE" w:eastAsia="en-US"/>
    </w:rPr>
  </w:style>
  <w:style w:type="paragraph" w:styleId="Heading2">
    <w:name w:val="heading 2"/>
    <w:basedOn w:val="Normal"/>
    <w:next w:val="Normal"/>
    <w:link w:val="Heading2Char"/>
    <w:uiPriority w:val="9"/>
    <w:unhideWhenUsed/>
    <w:qFormat/>
    <w:rsid w:val="003E1CE1"/>
    <w:pPr>
      <w:keepNext/>
      <w:keepLines/>
      <w:spacing w:before="240" w:after="120" w:line="240" w:lineRule="auto"/>
      <w:outlineLvl w:val="1"/>
    </w:pPr>
    <w:rPr>
      <w:rFonts w:ascii="Cambria" w:eastAsiaTheme="majorEastAsia" w:hAnsi="Cambria" w:cstheme="majorBidi"/>
      <w:b/>
      <w:bCs/>
      <w:color w:val="000000" w:themeColor="text1"/>
      <w:sz w:val="28"/>
      <w:szCs w:val="26"/>
      <w:lang w:val="en-BE" w:eastAsia="en-US"/>
    </w:rPr>
  </w:style>
  <w:style w:type="paragraph" w:styleId="Heading3">
    <w:name w:val="heading 3"/>
    <w:basedOn w:val="Normal"/>
    <w:next w:val="Normal"/>
    <w:link w:val="Heading3Char"/>
    <w:uiPriority w:val="9"/>
    <w:unhideWhenUsed/>
    <w:qFormat/>
    <w:rsid w:val="003E1CE1"/>
    <w:pPr>
      <w:keepNext/>
      <w:keepLines/>
      <w:spacing w:before="140" w:after="120" w:line="240" w:lineRule="auto"/>
      <w:outlineLvl w:val="2"/>
    </w:pPr>
    <w:rPr>
      <w:rFonts w:asciiTheme="majorHAnsi" w:eastAsiaTheme="majorEastAsia" w:hAnsiTheme="majorHAnsi" w:cstheme="majorBidi"/>
      <w:bCs/>
      <w:color w:val="000000" w:themeColor="text1"/>
      <w:spacing w:val="14"/>
      <w:sz w:val="24"/>
      <w:lang w:val="en-BE" w:eastAsia="en-US"/>
    </w:rPr>
  </w:style>
  <w:style w:type="paragraph" w:styleId="Heading4">
    <w:name w:val="heading 4"/>
    <w:basedOn w:val="Normal"/>
    <w:next w:val="Normal"/>
    <w:link w:val="Heading4Char"/>
    <w:uiPriority w:val="9"/>
    <w:semiHidden/>
    <w:unhideWhenUsed/>
    <w:qFormat/>
    <w:rsid w:val="003E1CE1"/>
    <w:pPr>
      <w:keepNext/>
      <w:keepLines/>
      <w:spacing w:before="200" w:line="360" w:lineRule="auto"/>
      <w:outlineLvl w:val="3"/>
    </w:pPr>
    <w:rPr>
      <w:rFonts w:ascii="Cambria" w:eastAsiaTheme="majorEastAsia" w:hAnsi="Cambria" w:cstheme="majorBidi"/>
      <w:b/>
      <w:bCs/>
      <w:i/>
      <w:iCs/>
      <w:color w:val="000000"/>
      <w:sz w:val="24"/>
      <w:lang w:val="en-BE" w:eastAsia="en-US"/>
    </w:rPr>
  </w:style>
  <w:style w:type="paragraph" w:styleId="Heading5">
    <w:name w:val="heading 5"/>
    <w:basedOn w:val="Normal"/>
    <w:next w:val="Normal"/>
    <w:link w:val="Heading5Char"/>
    <w:uiPriority w:val="9"/>
    <w:semiHidden/>
    <w:unhideWhenUsed/>
    <w:qFormat/>
    <w:rsid w:val="003E1CE1"/>
    <w:pPr>
      <w:keepNext/>
      <w:keepLines/>
      <w:spacing w:before="200" w:line="360" w:lineRule="auto"/>
      <w:outlineLvl w:val="4"/>
    </w:pPr>
    <w:rPr>
      <w:rFonts w:asciiTheme="majorHAnsi" w:eastAsiaTheme="majorEastAsia" w:hAnsiTheme="majorHAnsi" w:cstheme="majorBidi"/>
      <w:color w:val="000000"/>
      <w:lang w:val="en-BE" w:eastAsia="en-US"/>
    </w:rPr>
  </w:style>
  <w:style w:type="paragraph" w:styleId="Heading6">
    <w:name w:val="heading 6"/>
    <w:basedOn w:val="Normal"/>
    <w:next w:val="Normal"/>
    <w:link w:val="Heading6Char"/>
    <w:uiPriority w:val="9"/>
    <w:semiHidden/>
    <w:unhideWhenUsed/>
    <w:qFormat/>
    <w:rsid w:val="003E1CE1"/>
    <w:pPr>
      <w:keepNext/>
      <w:keepLines/>
      <w:spacing w:before="200" w:line="360" w:lineRule="auto"/>
      <w:outlineLvl w:val="5"/>
    </w:pPr>
    <w:rPr>
      <w:rFonts w:asciiTheme="majorHAnsi" w:eastAsiaTheme="majorEastAsia" w:hAnsiTheme="majorHAnsi" w:cstheme="majorBidi"/>
      <w:iCs/>
      <w:color w:val="4472C4" w:themeColor="accent1"/>
      <w:lang w:val="en-BE" w:eastAsia="en-US"/>
    </w:rPr>
  </w:style>
  <w:style w:type="paragraph" w:styleId="Heading7">
    <w:name w:val="heading 7"/>
    <w:basedOn w:val="Normal"/>
    <w:next w:val="Normal"/>
    <w:link w:val="Heading7Char"/>
    <w:uiPriority w:val="9"/>
    <w:semiHidden/>
    <w:unhideWhenUsed/>
    <w:qFormat/>
    <w:rsid w:val="003E1CE1"/>
    <w:pPr>
      <w:keepNext/>
      <w:keepLines/>
      <w:spacing w:before="200" w:line="360" w:lineRule="auto"/>
      <w:outlineLvl w:val="6"/>
    </w:pPr>
    <w:rPr>
      <w:rFonts w:asciiTheme="majorHAnsi" w:eastAsiaTheme="majorEastAsia" w:hAnsiTheme="majorHAnsi" w:cstheme="majorBidi"/>
      <w:i/>
      <w:iCs/>
      <w:color w:val="000000"/>
      <w:lang w:val="en-BE" w:eastAsia="en-US"/>
    </w:rPr>
  </w:style>
  <w:style w:type="paragraph" w:styleId="Heading8">
    <w:name w:val="heading 8"/>
    <w:basedOn w:val="Normal"/>
    <w:next w:val="Normal"/>
    <w:link w:val="Heading8Char"/>
    <w:uiPriority w:val="9"/>
    <w:semiHidden/>
    <w:unhideWhenUsed/>
    <w:qFormat/>
    <w:rsid w:val="003E1CE1"/>
    <w:pPr>
      <w:keepNext/>
      <w:keepLines/>
      <w:spacing w:before="200" w:line="360" w:lineRule="auto"/>
      <w:outlineLvl w:val="7"/>
    </w:pPr>
    <w:rPr>
      <w:rFonts w:asciiTheme="majorHAnsi" w:eastAsiaTheme="majorEastAsia" w:hAnsiTheme="majorHAnsi" w:cstheme="majorBidi"/>
      <w:color w:val="000000"/>
      <w:sz w:val="20"/>
      <w:szCs w:val="20"/>
      <w:lang w:val="en-BE" w:eastAsia="en-US"/>
    </w:rPr>
  </w:style>
  <w:style w:type="paragraph" w:styleId="Heading9">
    <w:name w:val="heading 9"/>
    <w:basedOn w:val="Normal"/>
    <w:next w:val="Normal"/>
    <w:link w:val="Heading9Char"/>
    <w:uiPriority w:val="9"/>
    <w:semiHidden/>
    <w:unhideWhenUsed/>
    <w:qFormat/>
    <w:rsid w:val="003E1CE1"/>
    <w:pPr>
      <w:keepNext/>
      <w:keepLines/>
      <w:spacing w:before="200" w:line="360" w:lineRule="auto"/>
      <w:outlineLvl w:val="8"/>
    </w:pPr>
    <w:rPr>
      <w:rFonts w:asciiTheme="majorHAnsi" w:eastAsiaTheme="majorEastAsia" w:hAnsiTheme="majorHAnsi" w:cstheme="majorBidi"/>
      <w:i/>
      <w:iCs/>
      <w:color w:val="000000"/>
      <w:sz w:val="20"/>
      <w:szCs w:val="20"/>
      <w:lang w:val="en-BE"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ersonalName">
    <w:name w:val="Personal Name"/>
    <w:basedOn w:val="Title"/>
    <w:qFormat/>
    <w:rsid w:val="003E1CE1"/>
    <w:rPr>
      <w:b/>
      <w:caps/>
      <w:color w:val="000000"/>
      <w:sz w:val="28"/>
      <w:szCs w:val="28"/>
    </w:rPr>
  </w:style>
  <w:style w:type="paragraph" w:styleId="Title">
    <w:name w:val="Title"/>
    <w:basedOn w:val="Normal"/>
    <w:next w:val="Normal"/>
    <w:link w:val="TitleChar"/>
    <w:uiPriority w:val="10"/>
    <w:qFormat/>
    <w:rsid w:val="003E1CE1"/>
    <w:pPr>
      <w:spacing w:after="120" w:line="240" w:lineRule="auto"/>
      <w:contextualSpacing/>
    </w:pPr>
    <w:rPr>
      <w:rFonts w:asciiTheme="majorHAnsi" w:eastAsiaTheme="majorEastAsia" w:hAnsiTheme="majorHAnsi" w:cstheme="majorBidi"/>
      <w:color w:val="44546A" w:themeColor="text2"/>
      <w:spacing w:val="30"/>
      <w:kern w:val="28"/>
      <w:sz w:val="48"/>
      <w:szCs w:val="52"/>
      <w:lang w:val="en-BE" w:eastAsia="en-US"/>
    </w:rPr>
  </w:style>
  <w:style w:type="character" w:customStyle="1" w:styleId="TitleChar">
    <w:name w:val="Title Char"/>
    <w:basedOn w:val="DefaultParagraphFont"/>
    <w:link w:val="Title"/>
    <w:uiPriority w:val="10"/>
    <w:rsid w:val="003E1CE1"/>
    <w:rPr>
      <w:rFonts w:asciiTheme="majorHAnsi" w:eastAsiaTheme="majorEastAsia" w:hAnsiTheme="majorHAnsi" w:cstheme="majorBidi"/>
      <w:color w:val="44546A" w:themeColor="text2"/>
      <w:spacing w:val="30"/>
      <w:kern w:val="28"/>
      <w:sz w:val="48"/>
      <w:szCs w:val="52"/>
    </w:rPr>
  </w:style>
  <w:style w:type="character" w:customStyle="1" w:styleId="Heading1Char">
    <w:name w:val="Heading 1 Char"/>
    <w:basedOn w:val="DefaultParagraphFont"/>
    <w:link w:val="Heading1"/>
    <w:uiPriority w:val="9"/>
    <w:rsid w:val="003E1CE1"/>
    <w:rPr>
      <w:rFonts w:asciiTheme="majorHAnsi" w:eastAsiaTheme="majorEastAsia" w:hAnsiTheme="majorHAnsi" w:cstheme="majorBidi"/>
      <w:bCs/>
      <w:color w:val="000000" w:themeColor="text1"/>
      <w:spacing w:val="20"/>
      <w:sz w:val="32"/>
      <w:szCs w:val="28"/>
    </w:rPr>
  </w:style>
  <w:style w:type="character" w:customStyle="1" w:styleId="Heading2Char">
    <w:name w:val="Heading 2 Char"/>
    <w:basedOn w:val="DefaultParagraphFont"/>
    <w:link w:val="Heading2"/>
    <w:uiPriority w:val="9"/>
    <w:rsid w:val="003E1CE1"/>
    <w:rPr>
      <w:rFonts w:ascii="Cambria" w:eastAsiaTheme="majorEastAsia" w:hAnsi="Cambria" w:cstheme="majorBidi"/>
      <w:b/>
      <w:bCs/>
      <w:color w:val="000000" w:themeColor="text1"/>
      <w:sz w:val="28"/>
      <w:szCs w:val="26"/>
    </w:rPr>
  </w:style>
  <w:style w:type="character" w:customStyle="1" w:styleId="Heading3Char">
    <w:name w:val="Heading 3 Char"/>
    <w:basedOn w:val="DefaultParagraphFont"/>
    <w:link w:val="Heading3"/>
    <w:uiPriority w:val="9"/>
    <w:rsid w:val="003E1CE1"/>
    <w:rPr>
      <w:rFonts w:asciiTheme="majorHAnsi" w:eastAsiaTheme="majorEastAsia" w:hAnsiTheme="majorHAnsi" w:cstheme="majorBidi"/>
      <w:bCs/>
      <w:color w:val="000000" w:themeColor="text1"/>
      <w:spacing w:val="14"/>
      <w:sz w:val="24"/>
    </w:rPr>
  </w:style>
  <w:style w:type="character" w:customStyle="1" w:styleId="Heading4Char">
    <w:name w:val="Heading 4 Char"/>
    <w:basedOn w:val="DefaultParagraphFont"/>
    <w:link w:val="Heading4"/>
    <w:uiPriority w:val="9"/>
    <w:semiHidden/>
    <w:rsid w:val="003E1CE1"/>
    <w:rPr>
      <w:rFonts w:ascii="Cambria" w:eastAsiaTheme="majorEastAsia" w:hAnsi="Cambria" w:cstheme="majorBidi"/>
      <w:b/>
      <w:bCs/>
      <w:i/>
      <w:iCs/>
      <w:color w:val="000000"/>
      <w:sz w:val="24"/>
    </w:rPr>
  </w:style>
  <w:style w:type="character" w:customStyle="1" w:styleId="Heading5Char">
    <w:name w:val="Heading 5 Char"/>
    <w:basedOn w:val="DefaultParagraphFont"/>
    <w:link w:val="Heading5"/>
    <w:uiPriority w:val="9"/>
    <w:semiHidden/>
    <w:rsid w:val="003E1CE1"/>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3E1CE1"/>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3E1CE1"/>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3E1CE1"/>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3E1CE1"/>
    <w:rPr>
      <w:rFonts w:asciiTheme="majorHAnsi" w:eastAsiaTheme="majorEastAsia" w:hAnsiTheme="majorHAnsi" w:cstheme="majorBidi"/>
      <w:i/>
      <w:iCs/>
      <w:color w:val="000000"/>
      <w:sz w:val="20"/>
      <w:szCs w:val="20"/>
    </w:rPr>
  </w:style>
  <w:style w:type="paragraph" w:styleId="Caption">
    <w:name w:val="caption"/>
    <w:basedOn w:val="Normal"/>
    <w:next w:val="Normal"/>
    <w:uiPriority w:val="35"/>
    <w:unhideWhenUsed/>
    <w:qFormat/>
    <w:rsid w:val="003E1CE1"/>
    <w:pPr>
      <w:spacing w:after="180" w:line="240" w:lineRule="auto"/>
    </w:pPr>
    <w:rPr>
      <w:rFonts w:asciiTheme="majorHAnsi" w:eastAsiaTheme="minorEastAsia" w:hAnsiTheme="majorHAnsi" w:cstheme="minorBidi"/>
      <w:bCs/>
      <w:smallCaps/>
      <w:color w:val="44546A" w:themeColor="text2"/>
      <w:spacing w:val="6"/>
      <w:szCs w:val="18"/>
      <w:lang w:val="en-BE" w:eastAsia="en-US"/>
    </w:rPr>
  </w:style>
  <w:style w:type="paragraph" w:styleId="Subtitle">
    <w:name w:val="Subtitle"/>
    <w:basedOn w:val="Normal"/>
    <w:next w:val="Normal"/>
    <w:link w:val="SubtitleChar"/>
    <w:uiPriority w:val="11"/>
    <w:qFormat/>
    <w:rsid w:val="003E1CE1"/>
    <w:pPr>
      <w:numPr>
        <w:ilvl w:val="1"/>
      </w:numPr>
      <w:spacing w:after="180" w:line="360" w:lineRule="auto"/>
    </w:pPr>
    <w:rPr>
      <w:rFonts w:ascii="Cambria" w:eastAsiaTheme="majorEastAsia" w:hAnsi="Cambria" w:cstheme="majorBidi"/>
      <w:iCs/>
      <w:color w:val="44546A" w:themeColor="text2"/>
      <w:sz w:val="40"/>
      <w:szCs w:val="24"/>
      <w:lang w:val="en-BE" w:eastAsia="en-US"/>
    </w:rPr>
  </w:style>
  <w:style w:type="character" w:customStyle="1" w:styleId="SubtitleChar">
    <w:name w:val="Subtitle Char"/>
    <w:basedOn w:val="DefaultParagraphFont"/>
    <w:link w:val="Subtitle"/>
    <w:uiPriority w:val="11"/>
    <w:rsid w:val="003E1CE1"/>
    <w:rPr>
      <w:rFonts w:ascii="Cambria" w:eastAsiaTheme="majorEastAsia" w:hAnsi="Cambria" w:cstheme="majorBidi"/>
      <w:iCs/>
      <w:color w:val="44546A" w:themeColor="text2"/>
      <w:sz w:val="40"/>
      <w:szCs w:val="24"/>
    </w:rPr>
  </w:style>
  <w:style w:type="character" w:styleId="Strong">
    <w:name w:val="Strong"/>
    <w:basedOn w:val="DefaultParagraphFont"/>
    <w:uiPriority w:val="22"/>
    <w:qFormat/>
    <w:rsid w:val="003E1CE1"/>
    <w:rPr>
      <w:b w:val="0"/>
      <w:bCs/>
      <w:i/>
      <w:color w:val="44546A" w:themeColor="text2"/>
    </w:rPr>
  </w:style>
  <w:style w:type="character" w:styleId="Emphasis">
    <w:name w:val="Emphasis"/>
    <w:basedOn w:val="DefaultParagraphFont"/>
    <w:uiPriority w:val="20"/>
    <w:qFormat/>
    <w:rsid w:val="003E1CE1"/>
    <w:rPr>
      <w:b/>
      <w:i/>
      <w:iCs/>
    </w:rPr>
  </w:style>
  <w:style w:type="paragraph" w:styleId="NoSpacing">
    <w:name w:val="No Spacing"/>
    <w:link w:val="NoSpacingChar"/>
    <w:uiPriority w:val="1"/>
    <w:qFormat/>
    <w:rsid w:val="003E1CE1"/>
    <w:pPr>
      <w:spacing w:after="0" w:line="240" w:lineRule="auto"/>
    </w:pPr>
  </w:style>
  <w:style w:type="character" w:customStyle="1" w:styleId="NoSpacingChar">
    <w:name w:val="No Spacing Char"/>
    <w:basedOn w:val="DefaultParagraphFont"/>
    <w:link w:val="NoSpacing"/>
    <w:uiPriority w:val="1"/>
    <w:rsid w:val="003E1CE1"/>
  </w:style>
  <w:style w:type="paragraph" w:styleId="ListParagraph">
    <w:name w:val="List Paragraph"/>
    <w:basedOn w:val="Normal"/>
    <w:uiPriority w:val="34"/>
    <w:qFormat/>
    <w:rsid w:val="003E1CE1"/>
    <w:pPr>
      <w:spacing w:after="180" w:line="240" w:lineRule="auto"/>
      <w:ind w:left="720" w:hanging="288"/>
      <w:contextualSpacing/>
    </w:pPr>
    <w:rPr>
      <w:rFonts w:ascii="Cambria" w:eastAsiaTheme="minorHAnsi" w:hAnsi="Cambria" w:cstheme="minorBidi"/>
      <w:color w:val="44546A" w:themeColor="text2"/>
      <w:lang w:val="en-BE" w:eastAsia="en-US"/>
    </w:rPr>
  </w:style>
  <w:style w:type="paragraph" w:styleId="Quote">
    <w:name w:val="Quote"/>
    <w:basedOn w:val="Normal"/>
    <w:next w:val="Normal"/>
    <w:link w:val="QuoteChar"/>
    <w:uiPriority w:val="29"/>
    <w:qFormat/>
    <w:rsid w:val="003E1CE1"/>
    <w:pPr>
      <w:spacing w:line="360" w:lineRule="auto"/>
      <w:jc w:val="center"/>
    </w:pPr>
    <w:rPr>
      <w:rFonts w:ascii="Cambria" w:eastAsiaTheme="minorEastAsia" w:hAnsi="Cambria" w:cstheme="minorBidi"/>
      <w:b/>
      <w:i/>
      <w:iCs/>
      <w:color w:val="4472C4" w:themeColor="accent1"/>
      <w:sz w:val="26"/>
      <w:lang w:val="en-BE" w:eastAsia="en-US"/>
    </w:rPr>
  </w:style>
  <w:style w:type="character" w:customStyle="1" w:styleId="QuoteChar">
    <w:name w:val="Quote Char"/>
    <w:basedOn w:val="DefaultParagraphFont"/>
    <w:link w:val="Quote"/>
    <w:uiPriority w:val="29"/>
    <w:rsid w:val="003E1CE1"/>
    <w:rPr>
      <w:rFonts w:ascii="Cambria" w:eastAsiaTheme="minorEastAsia" w:hAnsi="Cambria"/>
      <w:b/>
      <w:i/>
      <w:iCs/>
      <w:color w:val="4472C4" w:themeColor="accent1"/>
      <w:sz w:val="26"/>
    </w:rPr>
  </w:style>
  <w:style w:type="paragraph" w:styleId="IntenseQuote">
    <w:name w:val="Intense Quote"/>
    <w:basedOn w:val="Normal"/>
    <w:next w:val="Normal"/>
    <w:link w:val="IntenseQuoteChar"/>
    <w:uiPriority w:val="30"/>
    <w:qFormat/>
    <w:rsid w:val="003E1CE1"/>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cstheme="minorBidi"/>
      <w:bCs/>
      <w:iCs/>
      <w:color w:val="FFFFFF" w:themeColor="background1"/>
      <w:sz w:val="28"/>
      <w:lang w:val="en-BE" w:eastAsia="en-US"/>
    </w:rPr>
  </w:style>
  <w:style w:type="character" w:customStyle="1" w:styleId="IntenseQuoteChar">
    <w:name w:val="Intense Quote Char"/>
    <w:basedOn w:val="DefaultParagraphFont"/>
    <w:link w:val="IntenseQuote"/>
    <w:uiPriority w:val="30"/>
    <w:rsid w:val="003E1CE1"/>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3E1CE1"/>
    <w:rPr>
      <w:i/>
      <w:iCs/>
      <w:color w:val="000000"/>
    </w:rPr>
  </w:style>
  <w:style w:type="character" w:styleId="IntenseEmphasis">
    <w:name w:val="Intense Emphasis"/>
    <w:basedOn w:val="DefaultParagraphFont"/>
    <w:uiPriority w:val="21"/>
    <w:qFormat/>
    <w:rsid w:val="003E1CE1"/>
    <w:rPr>
      <w:b/>
      <w:bCs/>
      <w:i/>
      <w:iCs/>
      <w:color w:val="4472C4" w:themeColor="accent1"/>
    </w:rPr>
  </w:style>
  <w:style w:type="character" w:styleId="SubtleReference">
    <w:name w:val="Subtle Reference"/>
    <w:basedOn w:val="DefaultParagraphFont"/>
    <w:uiPriority w:val="31"/>
    <w:qFormat/>
    <w:rsid w:val="003E1CE1"/>
    <w:rPr>
      <w:smallCaps/>
      <w:color w:val="000000"/>
      <w:u w:val="single"/>
    </w:rPr>
  </w:style>
  <w:style w:type="character" w:styleId="IntenseReference">
    <w:name w:val="Intense Reference"/>
    <w:basedOn w:val="DefaultParagraphFont"/>
    <w:uiPriority w:val="32"/>
    <w:qFormat/>
    <w:rsid w:val="003E1CE1"/>
    <w:rPr>
      <w:b w:val="0"/>
      <w:bCs/>
      <w:smallCaps/>
      <w:color w:val="4472C4" w:themeColor="accent1"/>
      <w:spacing w:val="5"/>
      <w:u w:val="single"/>
    </w:rPr>
  </w:style>
  <w:style w:type="character" w:styleId="BookTitle">
    <w:name w:val="Book Title"/>
    <w:basedOn w:val="DefaultParagraphFont"/>
    <w:uiPriority w:val="33"/>
    <w:qFormat/>
    <w:rsid w:val="003E1CE1"/>
    <w:rPr>
      <w:b/>
      <w:bCs/>
      <w:caps/>
      <w:smallCaps w:val="0"/>
      <w:color w:val="44546A" w:themeColor="text2"/>
      <w:spacing w:val="10"/>
    </w:rPr>
  </w:style>
  <w:style w:type="paragraph" w:styleId="TOCHeading">
    <w:name w:val="TOC Heading"/>
    <w:basedOn w:val="Heading1"/>
    <w:next w:val="Normal"/>
    <w:uiPriority w:val="39"/>
    <w:semiHidden/>
    <w:unhideWhenUsed/>
    <w:qFormat/>
    <w:rsid w:val="003E1CE1"/>
    <w:pPr>
      <w:spacing w:line="264" w:lineRule="auto"/>
      <w:outlineLvl w:val="9"/>
    </w:pPr>
    <w:rPr>
      <w:b/>
    </w:rPr>
  </w:style>
  <w:style w:type="paragraph" w:customStyle="1" w:styleId="Style1">
    <w:name w:val="Style1"/>
    <w:basedOn w:val="Heading1"/>
    <w:rsid w:val="00D33E65"/>
    <w:pPr>
      <w:spacing w:before="24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1334</Words>
  <Characters>7610</Characters>
  <Application>Microsoft Office Word</Application>
  <DocSecurity>0</DocSecurity>
  <Lines>63</Lines>
  <Paragraphs>17</Paragraphs>
  <ScaleCrop>false</ScaleCrop>
  <Company/>
  <LinksUpToDate>false</LinksUpToDate>
  <CharactersWithSpaces>8927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Michiel Perneel</dc:creator>
  <cp:keywords/>
  <dc:description/>
  <cp:lastModifiedBy>Michiel Perneel</cp:lastModifiedBy>
  <cp:revision>1</cp:revision>
  <dcterms:created xsi:type="dcterms:W3CDTF">2025-05-27T19:33:00Z</dcterms:created>
  <dcterms:modified xsi:type="dcterms:W3CDTF">2025-05-27T19:35:00Z</dcterms:modified>
</cp:coreProperties>
</file>