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6D63D6">
      <w:pPr>
        <w:jc w:val="center"/>
        <w:rPr>
          <w:rFonts w:hint="default" w:ascii="Times New Roman" w:hAnsi="Times New Roman" w:cs="Times New Roman"/>
          <w:sz w:val="44"/>
          <w:szCs w:val="44"/>
        </w:rPr>
      </w:pPr>
      <w:r>
        <w:rPr>
          <w:rFonts w:hint="default" w:ascii="Times New Roman" w:hAnsi="Times New Roman" w:cs="Times New Roman"/>
          <w:sz w:val="44"/>
          <w:szCs w:val="44"/>
        </w:rPr>
        <w:t>Highlights</w:t>
      </w:r>
    </w:p>
    <w:p w14:paraId="38A7234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420" w:leftChars="0" w:hanging="420" w:firstLineChars="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Analyzed water resource carrying capacity (WCI) and urbanization quality (UQI) across 16 cities in the Chengdu-Chongqing region (2012–2022), revealing a 2.3% annual improvement in climate-adaptive urbanization quality despite WCI fluctuations (42% drop in 2022 due to extreme events), highlighting the critical role of climate elasticity in destabilizing water-urban systems.</w:t>
      </w:r>
    </w:p>
    <w:p w14:paraId="0ED780C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420" w:leftChars="0" w:hanging="420" w:firstLineChars="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Uncovered a transition from moderate dis-coordination (0.31) to primary coordination (0.65) using TOPSIS and grey relational analysis, driven by “dual-city” core synergies (Chengdu-Chongqing) that reduced regional climate exposure risks by 18% through cross-basin water transfers and sponge city technologies.</w:t>
      </w:r>
    </w:p>
    <w:p w14:paraId="12CDB56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420" w:leftChars="0" w:hanging="420" w:firstLineChars="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Quantified key constraints: ecological system (constraint index 0.92) and social system (stress index 0.862). Identified spatial mismatch (spatial difference coefficient R=0.10) and climate elasticity (ln-P/ln-T fluctuations) as primary obstacles to resilience, necessitating targeted zoning governance.</w:t>
      </w:r>
    </w:p>
    <w:p w14:paraId="4A1A2AC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420" w:leftChars="0" w:hanging="420" w:firstLineChars="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Proposed a “dual-core synergy + axis diffusion” framework, including 15% ecological buffer zones, water-saving industrial clusters in drought-prone peripheries, and smart water infrastructure, to reduce system climate sensitivity by 25% and guide sustainable planning in regions like the Amazon Basin and Ganges Plain.</w:t>
      </w:r>
      <w:bookmarkStart w:id="0" w:name="_GoBack"/>
      <w:bookmarkEnd w:id="0"/>
    </w:p>
    <w:p w14:paraId="5C4DD10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420" w:leftChars="0" w:hanging="420" w:firstLineChars="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Integrated TOPSIS, standard deviation ellipses, and obstacle degree models to develop a “climate-water-city” synergistic framework, offering a scalable, data-driven tool for assessing climate resilience in rapidly urbanizing, multi-hazard regions worldwide.</w:t>
      </w:r>
    </w:p>
    <w:p w14:paraId="75FBDA5F"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C194FA"/>
    <w:multiLevelType w:val="singleLevel"/>
    <w:tmpl w:val="F4C194F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6863CC"/>
    <w:rsid w:val="0C6863CC"/>
    <w:rsid w:val="127C27EC"/>
    <w:rsid w:val="401F09BD"/>
    <w:rsid w:val="51F12726"/>
    <w:rsid w:val="77787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</Words>
  <Characters>1067</Characters>
  <Lines>0</Lines>
  <Paragraphs>0</Paragraphs>
  <TotalTime>23</TotalTime>
  <ScaleCrop>false</ScaleCrop>
  <LinksUpToDate>false</LinksUpToDate>
  <CharactersWithSpaces>1202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2025-05-07T10:01:00Z</dcterms:created>
  <dc:creator>李炳昌</dc:creator>
  <cp:lastModifiedBy>李炳昌</cp:lastModifiedBy>
  <dcterms:modified xsi:type="dcterms:W3CDTF">2025-05-18T15:18:54Z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2A64A6A9EF554255A866AD38E23ED392_13</vt:lpwstr>
  </property>
  <property fmtid="{D5CDD505-2E9C-101B-9397-08002B2CF9AE}" pid="4" name="KSOTemplateDocerSaveRecord">
    <vt:lpwstr>eyJoZGlkIjoiYzE4MjNkNTVkMjkzNWIyYWQzMDZjOTA1ZmVmNzAwM2MiLCJ1c2VySWQiOiIxNjUzODIzMTk0In0=</vt:lpwstr>
  </property>
</Properties>
</file>