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FACA8" w14:textId="77777777" w:rsidR="00451B58" w:rsidRPr="00EA1DC0" w:rsidRDefault="00451B58" w:rsidP="00451B58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tbl>
      <w:tblPr>
        <w:tblStyle w:val="GridTable3-Accent6"/>
        <w:tblW w:w="0" w:type="auto"/>
        <w:jc w:val="center"/>
        <w:tblLook w:val="04A0" w:firstRow="1" w:lastRow="0" w:firstColumn="1" w:lastColumn="0" w:noHBand="0" w:noVBand="1"/>
      </w:tblPr>
      <w:tblGrid>
        <w:gridCol w:w="905"/>
        <w:gridCol w:w="892"/>
        <w:gridCol w:w="871"/>
        <w:gridCol w:w="1114"/>
        <w:gridCol w:w="941"/>
        <w:gridCol w:w="954"/>
        <w:gridCol w:w="969"/>
        <w:gridCol w:w="769"/>
        <w:gridCol w:w="905"/>
        <w:gridCol w:w="1040"/>
      </w:tblGrid>
      <w:tr w:rsidR="00451B58" w:rsidRPr="00EA1DC0" w14:paraId="1D55E948" w14:textId="77777777" w:rsidTr="008352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31" w:type="dxa"/>
            <w:hideMark/>
          </w:tcPr>
          <w:p w14:paraId="037F6B0C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Aspect</w:t>
            </w:r>
          </w:p>
        </w:tc>
        <w:tc>
          <w:tcPr>
            <w:tcW w:w="0" w:type="auto"/>
            <w:hideMark/>
          </w:tcPr>
          <w:p w14:paraId="4A3A5FCF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Details</w:t>
            </w:r>
          </w:p>
        </w:tc>
        <w:tc>
          <w:tcPr>
            <w:tcW w:w="0" w:type="auto"/>
            <w:hideMark/>
          </w:tcPr>
          <w:p w14:paraId="3C7A67BC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Key Reactions</w:t>
            </w:r>
          </w:p>
        </w:tc>
        <w:tc>
          <w:tcPr>
            <w:tcW w:w="0" w:type="auto"/>
            <w:hideMark/>
          </w:tcPr>
          <w:p w14:paraId="3EEA617A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Catalysts/Reagents Used</w:t>
            </w:r>
          </w:p>
        </w:tc>
        <w:tc>
          <w:tcPr>
            <w:tcW w:w="0" w:type="auto"/>
            <w:hideMark/>
          </w:tcPr>
          <w:p w14:paraId="40AA586B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Reaction Conditions</w:t>
            </w:r>
          </w:p>
        </w:tc>
        <w:tc>
          <w:tcPr>
            <w:tcW w:w="0" w:type="auto"/>
            <w:hideMark/>
          </w:tcPr>
          <w:p w14:paraId="620EC534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Spectral Features</w:t>
            </w:r>
          </w:p>
        </w:tc>
        <w:tc>
          <w:tcPr>
            <w:tcW w:w="0" w:type="auto"/>
            <w:hideMark/>
          </w:tcPr>
          <w:p w14:paraId="6BB04EE7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Applications</w:t>
            </w:r>
          </w:p>
        </w:tc>
        <w:tc>
          <w:tcPr>
            <w:tcW w:w="0" w:type="auto"/>
            <w:hideMark/>
          </w:tcPr>
          <w:p w14:paraId="65CFED26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Limitations</w:t>
            </w:r>
          </w:p>
        </w:tc>
        <w:tc>
          <w:tcPr>
            <w:tcW w:w="0" w:type="auto"/>
            <w:hideMark/>
          </w:tcPr>
          <w:p w14:paraId="74C9C71C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Future Directions</w:t>
            </w:r>
          </w:p>
        </w:tc>
        <w:tc>
          <w:tcPr>
            <w:tcW w:w="0" w:type="auto"/>
            <w:hideMark/>
          </w:tcPr>
          <w:p w14:paraId="7BE8641F" w14:textId="77777777" w:rsidR="00451B58" w:rsidRPr="00EA1DC0" w:rsidRDefault="00451B58" w:rsidP="0083527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Conclusions</w:t>
            </w:r>
          </w:p>
        </w:tc>
      </w:tr>
      <w:tr w:rsidR="00451B58" w:rsidRPr="00EA1DC0" w14:paraId="69D30306" w14:textId="77777777" w:rsidTr="00835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03E337EA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Objective</w:t>
            </w:r>
          </w:p>
        </w:tc>
        <w:tc>
          <w:tcPr>
            <w:tcW w:w="0" w:type="auto"/>
            <w:hideMark/>
          </w:tcPr>
          <w:p w14:paraId="3EE4CDCC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Synthesis and transformation of isoxazole derivatives for pharmaceutical and industrial applications</w:t>
            </w:r>
          </w:p>
        </w:tc>
        <w:tc>
          <w:tcPr>
            <w:tcW w:w="0" w:type="auto"/>
            <w:hideMark/>
          </w:tcPr>
          <w:p w14:paraId="6AB7D104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[3+2] Cycloaddition, Fischer esterification</w:t>
            </w:r>
          </w:p>
        </w:tc>
        <w:tc>
          <w:tcPr>
            <w:tcW w:w="0" w:type="auto"/>
            <w:hideMark/>
          </w:tcPr>
          <w:p w14:paraId="28DA725A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Cerium ammonium nitrate (CAN), isobutyric acid</w:t>
            </w:r>
          </w:p>
        </w:tc>
        <w:tc>
          <w:tcPr>
            <w:tcW w:w="0" w:type="auto"/>
            <w:hideMark/>
          </w:tcPr>
          <w:p w14:paraId="5F61AFC0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Mild heating, acidic medium</w:t>
            </w:r>
          </w:p>
        </w:tc>
        <w:tc>
          <w:tcPr>
            <w:tcW w:w="0" w:type="auto"/>
            <w:hideMark/>
          </w:tcPr>
          <w:p w14:paraId="41A03669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FT-IR and NMR spectra confirmed structure and purity of synthesized compounds.</w:t>
            </w:r>
          </w:p>
        </w:tc>
        <w:tc>
          <w:tcPr>
            <w:tcW w:w="0" w:type="auto"/>
            <w:hideMark/>
          </w:tcPr>
          <w:p w14:paraId="3A5435EF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Pharmaceuticals, chemical intermediates</w:t>
            </w:r>
          </w:p>
        </w:tc>
        <w:tc>
          <w:tcPr>
            <w:tcW w:w="0" w:type="auto"/>
            <w:hideMark/>
          </w:tcPr>
          <w:p w14:paraId="4BA5D8DB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Limited substrate diversity</w:t>
            </w:r>
          </w:p>
        </w:tc>
        <w:tc>
          <w:tcPr>
            <w:tcW w:w="0" w:type="auto"/>
            <w:hideMark/>
          </w:tcPr>
          <w:p w14:paraId="347D2AE4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Use a broader range of aldehydes and nitrile oxides to synthesize diverse derivatives.</w:t>
            </w:r>
          </w:p>
        </w:tc>
        <w:tc>
          <w:tcPr>
            <w:tcW w:w="0" w:type="auto"/>
            <w:hideMark/>
          </w:tcPr>
          <w:p w14:paraId="40E344CB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Demonstrated synthetic potential and versatility of isoxazoles in organic chemistry.</w:t>
            </w:r>
          </w:p>
        </w:tc>
      </w:tr>
      <w:tr w:rsidR="00000000" w:rsidRPr="00EA1DC0" w14:paraId="473F2E02" w14:textId="77777777" w:rsidTr="008352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5F27F0DE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Key Compounds Synthesized</w:t>
            </w:r>
          </w:p>
        </w:tc>
        <w:tc>
          <w:tcPr>
            <w:tcW w:w="0" w:type="auto"/>
            <w:hideMark/>
          </w:tcPr>
          <w:p w14:paraId="1A505FE0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Oxime (Compound 1), Isoxazole (Compound 2), Ester (Compound 3)</w:t>
            </w:r>
          </w:p>
        </w:tc>
        <w:tc>
          <w:tcPr>
            <w:tcW w:w="0" w:type="auto"/>
            <w:hideMark/>
          </w:tcPr>
          <w:p w14:paraId="187AC51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[3+2] Cycloaddition, Fischer esterification</w:t>
            </w:r>
          </w:p>
        </w:tc>
        <w:tc>
          <w:tcPr>
            <w:tcW w:w="0" w:type="auto"/>
            <w:hideMark/>
          </w:tcPr>
          <w:p w14:paraId="38E76CA7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Nitrile oxide, isobutyric acid</w:t>
            </w:r>
          </w:p>
        </w:tc>
        <w:tc>
          <w:tcPr>
            <w:tcW w:w="0" w:type="auto"/>
            <w:hideMark/>
          </w:tcPr>
          <w:p w14:paraId="21401B16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Acid-catalyzed reaction</w:t>
            </w:r>
          </w:p>
        </w:tc>
        <w:tc>
          <w:tcPr>
            <w:tcW w:w="0" w:type="auto"/>
            <w:hideMark/>
          </w:tcPr>
          <w:p w14:paraId="335BDB5B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FT-IR showed characteristic O-H and C=O stretches, confirming product formation.</w:t>
            </w:r>
          </w:p>
        </w:tc>
        <w:tc>
          <w:tcPr>
            <w:tcW w:w="0" w:type="auto"/>
            <w:hideMark/>
          </w:tcPr>
          <w:p w14:paraId="65FB0D0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Drug precursors, industrial applications</w:t>
            </w:r>
          </w:p>
        </w:tc>
        <w:tc>
          <w:tcPr>
            <w:tcW w:w="0" w:type="auto"/>
            <w:hideMark/>
          </w:tcPr>
          <w:p w14:paraId="6B2F6649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Time-consuming purification</w:t>
            </w:r>
          </w:p>
        </w:tc>
        <w:tc>
          <w:tcPr>
            <w:tcW w:w="0" w:type="auto"/>
            <w:hideMark/>
          </w:tcPr>
          <w:p w14:paraId="1473E6D3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Optimize reaction pathways for faster and higher-yield synthesis.</w:t>
            </w:r>
          </w:p>
        </w:tc>
        <w:tc>
          <w:tcPr>
            <w:tcW w:w="0" w:type="auto"/>
            <w:hideMark/>
          </w:tcPr>
          <w:p w14:paraId="3D6ADA22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Synthesized derivatives hold potential for multiple industries, including medicine and dye manufacturing.</w:t>
            </w:r>
          </w:p>
        </w:tc>
      </w:tr>
      <w:tr w:rsidR="00451B58" w:rsidRPr="00EA1DC0" w14:paraId="3E7DDDF1" w14:textId="77777777" w:rsidTr="00835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5DD4CC88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Cycloaddition Mechanism</w:t>
            </w:r>
          </w:p>
        </w:tc>
        <w:tc>
          <w:tcPr>
            <w:tcW w:w="0" w:type="auto"/>
            <w:hideMark/>
          </w:tcPr>
          <w:p w14:paraId="47B75406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 xml:space="preserve">Formation of isoxazole ring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via reaction between nitrile oxide and alkyne</w:t>
            </w:r>
          </w:p>
        </w:tc>
        <w:tc>
          <w:tcPr>
            <w:tcW w:w="0" w:type="auto"/>
            <w:hideMark/>
          </w:tcPr>
          <w:p w14:paraId="5F1F431E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 xml:space="preserve">Frontier orbital overlap,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[3+2] cycloaddition</w:t>
            </w:r>
          </w:p>
        </w:tc>
        <w:tc>
          <w:tcPr>
            <w:tcW w:w="0" w:type="auto"/>
            <w:hideMark/>
          </w:tcPr>
          <w:p w14:paraId="4D5EC70A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None</w:t>
            </w:r>
          </w:p>
        </w:tc>
        <w:tc>
          <w:tcPr>
            <w:tcW w:w="0" w:type="auto"/>
            <w:hideMark/>
          </w:tcPr>
          <w:p w14:paraId="4806AF1D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Room temperature</w:t>
            </w:r>
          </w:p>
        </w:tc>
        <w:tc>
          <w:tcPr>
            <w:tcW w:w="0" w:type="auto"/>
            <w:hideMark/>
          </w:tcPr>
          <w:p w14:paraId="4378B544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Characteristic aromatic stretchi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ng vibrations confirmed by FT-IR.</w:t>
            </w:r>
          </w:p>
        </w:tc>
        <w:tc>
          <w:tcPr>
            <w:tcW w:w="0" w:type="auto"/>
            <w:hideMark/>
          </w:tcPr>
          <w:p w14:paraId="08CEC15B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Isoxazole ring widely applicable</w:t>
            </w:r>
          </w:p>
        </w:tc>
        <w:tc>
          <w:tcPr>
            <w:tcW w:w="0" w:type="auto"/>
            <w:hideMark/>
          </w:tcPr>
          <w:p w14:paraId="7EDC76C1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Limited scalability</w:t>
            </w:r>
          </w:p>
        </w:tc>
        <w:tc>
          <w:tcPr>
            <w:tcW w:w="0" w:type="auto"/>
            <w:hideMark/>
          </w:tcPr>
          <w:p w14:paraId="6AC4BAE1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Investigate large-scale applic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ability of cycloaddition methods.</w:t>
            </w:r>
          </w:p>
        </w:tc>
        <w:tc>
          <w:tcPr>
            <w:tcW w:w="0" w:type="auto"/>
            <w:hideMark/>
          </w:tcPr>
          <w:p w14:paraId="184231D1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 xml:space="preserve">Enabled efficient formation of the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isoxazole ring structure.</w:t>
            </w:r>
          </w:p>
        </w:tc>
      </w:tr>
      <w:tr w:rsidR="00000000" w:rsidRPr="00EA1DC0" w14:paraId="4FB7D1D7" w14:textId="77777777" w:rsidTr="008352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7DB8372C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lastRenderedPageBreak/>
              <w:t>Fischer Esterification</w:t>
            </w:r>
          </w:p>
        </w:tc>
        <w:tc>
          <w:tcPr>
            <w:tcW w:w="0" w:type="auto"/>
            <w:hideMark/>
          </w:tcPr>
          <w:p w14:paraId="1F297DE9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Reaction between isoxazole and carboxylic acid under acidic conditions</w:t>
            </w:r>
          </w:p>
        </w:tc>
        <w:tc>
          <w:tcPr>
            <w:tcW w:w="0" w:type="auto"/>
            <w:hideMark/>
          </w:tcPr>
          <w:p w14:paraId="15D00EEA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Nucleophilic substitution</w:t>
            </w:r>
          </w:p>
        </w:tc>
        <w:tc>
          <w:tcPr>
            <w:tcW w:w="0" w:type="auto"/>
            <w:hideMark/>
          </w:tcPr>
          <w:p w14:paraId="69D8F47B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Sulfuric acid (catalyst)</w:t>
            </w:r>
          </w:p>
        </w:tc>
        <w:tc>
          <w:tcPr>
            <w:tcW w:w="0" w:type="auto"/>
            <w:hideMark/>
          </w:tcPr>
          <w:p w14:paraId="43280BD8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50°C-80°C heating</w:t>
            </w:r>
          </w:p>
        </w:tc>
        <w:tc>
          <w:tcPr>
            <w:tcW w:w="0" w:type="auto"/>
            <w:hideMark/>
          </w:tcPr>
          <w:p w14:paraId="725B2C4A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Formation of ester group confirmed by strong C=O stretch at 1733 cm⁻¹ in FT-IR.</w:t>
            </w:r>
          </w:p>
        </w:tc>
        <w:tc>
          <w:tcPr>
            <w:tcW w:w="0" w:type="auto"/>
            <w:hideMark/>
          </w:tcPr>
          <w:p w14:paraId="2EBF1662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Creation of esters for industrial use</w:t>
            </w:r>
          </w:p>
        </w:tc>
        <w:tc>
          <w:tcPr>
            <w:tcW w:w="0" w:type="auto"/>
            <w:hideMark/>
          </w:tcPr>
          <w:p w14:paraId="73CA7F0C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Reaction yield variability</w:t>
            </w:r>
          </w:p>
        </w:tc>
        <w:tc>
          <w:tcPr>
            <w:tcW w:w="0" w:type="auto"/>
            <w:hideMark/>
          </w:tcPr>
          <w:p w14:paraId="3A78DA3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Evaluate alternative catalysts for better yields.</w:t>
            </w:r>
          </w:p>
        </w:tc>
        <w:tc>
          <w:tcPr>
            <w:tcW w:w="0" w:type="auto"/>
            <w:hideMark/>
          </w:tcPr>
          <w:p w14:paraId="4957FDFE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Highlighted the versatility of isoxazole derivatives for further chemical modifications.</w:t>
            </w:r>
          </w:p>
        </w:tc>
      </w:tr>
      <w:tr w:rsidR="00451B58" w:rsidRPr="00EA1DC0" w14:paraId="5D4B1717" w14:textId="77777777" w:rsidTr="00835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59F9F367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Spectral Analysis (General)</w:t>
            </w:r>
          </w:p>
        </w:tc>
        <w:tc>
          <w:tcPr>
            <w:tcW w:w="0" w:type="auto"/>
            <w:hideMark/>
          </w:tcPr>
          <w:p w14:paraId="64FBAF80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FT-IR, ¹H-NMR, and ¹³C-NMR used for structural confirmation</w:t>
            </w:r>
          </w:p>
        </w:tc>
        <w:tc>
          <w:tcPr>
            <w:tcW w:w="0" w:type="auto"/>
            <w:hideMark/>
          </w:tcPr>
          <w:p w14:paraId="2688AFB9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64CA0719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357F4172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6DFE7373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 xml:space="preserve">FT-IR: C=O (1733 cm⁻¹), aromatic stretches (1694-1464 cm⁻¹), O-H (3304 cm⁻¹); NMR: Proton and carbon resonances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consistent with expected structures.</w:t>
            </w:r>
          </w:p>
        </w:tc>
        <w:tc>
          <w:tcPr>
            <w:tcW w:w="0" w:type="auto"/>
            <w:hideMark/>
          </w:tcPr>
          <w:p w14:paraId="559FF617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Structural confirmation for R&amp;D</w:t>
            </w:r>
          </w:p>
        </w:tc>
        <w:tc>
          <w:tcPr>
            <w:tcW w:w="0" w:type="auto"/>
            <w:hideMark/>
          </w:tcPr>
          <w:p w14:paraId="74B0BF2C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Complex peak overlaps in spectra</w:t>
            </w:r>
          </w:p>
        </w:tc>
        <w:tc>
          <w:tcPr>
            <w:tcW w:w="0" w:type="auto"/>
            <w:hideMark/>
          </w:tcPr>
          <w:p w14:paraId="3BA2EDA0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Improve separation techniques and use advanced spectroscopic tools.</w:t>
            </w:r>
          </w:p>
        </w:tc>
        <w:tc>
          <w:tcPr>
            <w:tcW w:w="0" w:type="auto"/>
            <w:hideMark/>
          </w:tcPr>
          <w:p w14:paraId="7482E9AA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Spectroscopic data validated synthesized compounds.</w:t>
            </w:r>
          </w:p>
        </w:tc>
      </w:tr>
      <w:tr w:rsidR="00000000" w:rsidRPr="00EA1DC0" w14:paraId="1F45469B" w14:textId="77777777" w:rsidTr="008352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24C1C2C5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FT-IR Features (Compound 1)</w:t>
            </w:r>
          </w:p>
        </w:tc>
        <w:tc>
          <w:tcPr>
            <w:tcW w:w="0" w:type="auto"/>
            <w:hideMark/>
          </w:tcPr>
          <w:p w14:paraId="3859CB3F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Broad O-H band at 3297 cm⁻¹; aromatic stretching vibrations at 1689-1486 cm⁻¹; C-Br stretch at 683 cm⁻¹</w:t>
            </w:r>
          </w:p>
        </w:tc>
        <w:tc>
          <w:tcPr>
            <w:tcW w:w="0" w:type="auto"/>
            <w:hideMark/>
          </w:tcPr>
          <w:p w14:paraId="67D6F4E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3C7DDA32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4328844F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0468A3DE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Matched expected spectral patterns for oxime derivative.</w:t>
            </w:r>
          </w:p>
        </w:tc>
        <w:tc>
          <w:tcPr>
            <w:tcW w:w="0" w:type="auto"/>
            <w:hideMark/>
          </w:tcPr>
          <w:p w14:paraId="3D6334F8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Diagnostic tool in synthesis</w:t>
            </w:r>
          </w:p>
        </w:tc>
        <w:tc>
          <w:tcPr>
            <w:tcW w:w="0" w:type="auto"/>
            <w:hideMark/>
          </w:tcPr>
          <w:p w14:paraId="21F3E636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Overlapping signals in aromatic regions</w:t>
            </w:r>
          </w:p>
        </w:tc>
        <w:tc>
          <w:tcPr>
            <w:tcW w:w="0" w:type="auto"/>
            <w:hideMark/>
          </w:tcPr>
          <w:p w14:paraId="24D37079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Integrate with complementary techniques (e.g., MS, XRD).</w:t>
            </w:r>
          </w:p>
        </w:tc>
        <w:tc>
          <w:tcPr>
            <w:tcW w:w="0" w:type="auto"/>
            <w:hideMark/>
          </w:tcPr>
          <w:p w14:paraId="5E8E970A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Confident identification of functional groups through spectral peaks.</w:t>
            </w:r>
          </w:p>
        </w:tc>
      </w:tr>
      <w:tr w:rsidR="00451B58" w:rsidRPr="00EA1DC0" w14:paraId="599B5A43" w14:textId="77777777" w:rsidTr="00835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3FB27855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¹H NMR Analysis (Compound 1)</w:t>
            </w:r>
          </w:p>
        </w:tc>
        <w:tc>
          <w:tcPr>
            <w:tcW w:w="0" w:type="auto"/>
            <w:hideMark/>
          </w:tcPr>
          <w:p w14:paraId="3CBF2E6B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 xml:space="preserve">Broad O-H peak at 5.32 ppm; aromatic protons as doublets (6.68-6.57 ppm); C-H singlet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at 8.01 ppm</w:t>
            </w:r>
          </w:p>
        </w:tc>
        <w:tc>
          <w:tcPr>
            <w:tcW w:w="0" w:type="auto"/>
            <w:hideMark/>
          </w:tcPr>
          <w:p w14:paraId="0D649B09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-</w:t>
            </w:r>
          </w:p>
        </w:tc>
        <w:tc>
          <w:tcPr>
            <w:tcW w:w="0" w:type="auto"/>
            <w:hideMark/>
          </w:tcPr>
          <w:p w14:paraId="679C6BC7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76DFA461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7CB21D70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Spectrum supported the presence of oxime functional group and its aromatic structure.</w:t>
            </w:r>
          </w:p>
        </w:tc>
        <w:tc>
          <w:tcPr>
            <w:tcW w:w="0" w:type="auto"/>
            <w:hideMark/>
          </w:tcPr>
          <w:p w14:paraId="582049CC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Used for structural validation</w:t>
            </w:r>
          </w:p>
        </w:tc>
        <w:tc>
          <w:tcPr>
            <w:tcW w:w="0" w:type="auto"/>
            <w:hideMark/>
          </w:tcPr>
          <w:p w14:paraId="69BBF78A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Proton coupling complex in analysis</w:t>
            </w:r>
          </w:p>
        </w:tc>
        <w:tc>
          <w:tcPr>
            <w:tcW w:w="0" w:type="auto"/>
            <w:hideMark/>
          </w:tcPr>
          <w:p w14:paraId="6B146091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Explore DEPT and COSY techniques for clearer coupling data.</w:t>
            </w:r>
          </w:p>
        </w:tc>
        <w:tc>
          <w:tcPr>
            <w:tcW w:w="0" w:type="auto"/>
            <w:hideMark/>
          </w:tcPr>
          <w:p w14:paraId="07C9890D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Provided structural evidence for oxime.</w:t>
            </w:r>
          </w:p>
        </w:tc>
      </w:tr>
      <w:tr w:rsidR="00000000" w:rsidRPr="00EA1DC0" w14:paraId="250EA119" w14:textId="77777777" w:rsidTr="008352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37E2B26D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Reaction Pathway Details</w:t>
            </w:r>
          </w:p>
        </w:tc>
        <w:tc>
          <w:tcPr>
            <w:tcW w:w="0" w:type="auto"/>
            <w:hideMark/>
          </w:tcPr>
          <w:p w14:paraId="0EE3E3A1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Multi-step reactions: oxime formation → cycloaddition → esterification</w:t>
            </w:r>
          </w:p>
        </w:tc>
        <w:tc>
          <w:tcPr>
            <w:tcW w:w="0" w:type="auto"/>
            <w:hideMark/>
          </w:tcPr>
          <w:p w14:paraId="57A05DC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[3+2] Cycloaddition, Fischer esterification</w:t>
            </w:r>
          </w:p>
        </w:tc>
        <w:tc>
          <w:tcPr>
            <w:tcW w:w="0" w:type="auto"/>
            <w:hideMark/>
          </w:tcPr>
          <w:p w14:paraId="3E3A36F1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5A5A965D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Multi-step reaction conditions</w:t>
            </w:r>
          </w:p>
        </w:tc>
        <w:tc>
          <w:tcPr>
            <w:tcW w:w="0" w:type="auto"/>
            <w:hideMark/>
          </w:tcPr>
          <w:p w14:paraId="60474D51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Supported by multi-technique analysis, including FT-IR and NMR.</w:t>
            </w:r>
          </w:p>
        </w:tc>
        <w:tc>
          <w:tcPr>
            <w:tcW w:w="0" w:type="auto"/>
            <w:hideMark/>
          </w:tcPr>
          <w:p w14:paraId="2A6E0CF8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Applicable for multi-functional synthesis</w:t>
            </w:r>
          </w:p>
        </w:tc>
        <w:tc>
          <w:tcPr>
            <w:tcW w:w="0" w:type="auto"/>
            <w:hideMark/>
          </w:tcPr>
          <w:p w14:paraId="5AF45930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Reaction complexity and time</w:t>
            </w:r>
          </w:p>
        </w:tc>
        <w:tc>
          <w:tcPr>
            <w:tcW w:w="0" w:type="auto"/>
            <w:hideMark/>
          </w:tcPr>
          <w:p w14:paraId="6B0E7122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Develop simplified, one-pot synthesis protocols for higher efficiency.</w:t>
            </w:r>
          </w:p>
        </w:tc>
        <w:tc>
          <w:tcPr>
            <w:tcW w:w="0" w:type="auto"/>
            <w:hideMark/>
          </w:tcPr>
          <w:p w14:paraId="2417185E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Verified synthetic pathway for advanced compound design.</w:t>
            </w:r>
          </w:p>
        </w:tc>
      </w:tr>
      <w:tr w:rsidR="00451B58" w:rsidRPr="00EA1DC0" w14:paraId="3121429F" w14:textId="77777777" w:rsidTr="00835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3D46F27B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Biological Applications</w:t>
            </w:r>
          </w:p>
        </w:tc>
        <w:tc>
          <w:tcPr>
            <w:tcW w:w="0" w:type="auto"/>
            <w:hideMark/>
          </w:tcPr>
          <w:p w14:paraId="65D12D93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Antimicrobial, anticancer, and anti-inflammatory activities</w:t>
            </w:r>
          </w:p>
        </w:tc>
        <w:tc>
          <w:tcPr>
            <w:tcW w:w="0" w:type="auto"/>
            <w:hideMark/>
          </w:tcPr>
          <w:p w14:paraId="24CE58E4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1B34D94E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55813AD5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59BAF1BE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Isoxazole derivatives widely recognized for their pharmacological benefits, including selective inhibition of cancer cell growth.</w:t>
            </w:r>
          </w:p>
        </w:tc>
        <w:tc>
          <w:tcPr>
            <w:tcW w:w="0" w:type="auto"/>
            <w:hideMark/>
          </w:tcPr>
          <w:p w14:paraId="73D8E33B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Pharmaceuticals</w:t>
            </w:r>
          </w:p>
        </w:tc>
        <w:tc>
          <w:tcPr>
            <w:tcW w:w="0" w:type="auto"/>
            <w:hideMark/>
          </w:tcPr>
          <w:p w14:paraId="62924D23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Limited in vivo testing</w:t>
            </w:r>
          </w:p>
        </w:tc>
        <w:tc>
          <w:tcPr>
            <w:tcW w:w="0" w:type="auto"/>
            <w:hideMark/>
          </w:tcPr>
          <w:p w14:paraId="21A6178D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Expand biological testing to confirm clinical efficacy.</w:t>
            </w:r>
          </w:p>
        </w:tc>
        <w:tc>
          <w:tcPr>
            <w:tcW w:w="0" w:type="auto"/>
            <w:hideMark/>
          </w:tcPr>
          <w:p w14:paraId="7BE23BE9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Isoxazoles hold promise as future drug candidates.</w:t>
            </w:r>
          </w:p>
        </w:tc>
      </w:tr>
      <w:tr w:rsidR="00000000" w:rsidRPr="00EA1DC0" w14:paraId="7BAE8F25" w14:textId="77777777" w:rsidTr="008352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640593AB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Industrial Applications</w:t>
            </w:r>
          </w:p>
        </w:tc>
        <w:tc>
          <w:tcPr>
            <w:tcW w:w="0" w:type="auto"/>
            <w:hideMark/>
          </w:tcPr>
          <w:p w14:paraId="44FEF30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 xml:space="preserve">Use in dyes, polymers, and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agrochemicals</w:t>
            </w:r>
          </w:p>
        </w:tc>
        <w:tc>
          <w:tcPr>
            <w:tcW w:w="0" w:type="auto"/>
            <w:hideMark/>
          </w:tcPr>
          <w:p w14:paraId="03BDCFE0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-</w:t>
            </w:r>
          </w:p>
        </w:tc>
        <w:tc>
          <w:tcPr>
            <w:tcW w:w="0" w:type="auto"/>
            <w:hideMark/>
          </w:tcPr>
          <w:p w14:paraId="23DC7BAD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5C815145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6817B176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Isoxazole derivatives demon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strated stability and reactivity suitable for industrial applications.</w:t>
            </w:r>
          </w:p>
        </w:tc>
        <w:tc>
          <w:tcPr>
            <w:tcW w:w="0" w:type="auto"/>
            <w:hideMark/>
          </w:tcPr>
          <w:p w14:paraId="6FFFDD32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 xml:space="preserve">Dye manufacturing, polymer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industry</w:t>
            </w:r>
          </w:p>
        </w:tc>
        <w:tc>
          <w:tcPr>
            <w:tcW w:w="0" w:type="auto"/>
            <w:hideMark/>
          </w:tcPr>
          <w:p w14:paraId="45D5C57E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Cost of production</w:t>
            </w:r>
          </w:p>
        </w:tc>
        <w:tc>
          <w:tcPr>
            <w:tcW w:w="0" w:type="auto"/>
            <w:hideMark/>
          </w:tcPr>
          <w:p w14:paraId="35065634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Explore cost-effective metho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ds and renewable resources for synthesis.</w:t>
            </w:r>
          </w:p>
        </w:tc>
        <w:tc>
          <w:tcPr>
            <w:tcW w:w="0" w:type="auto"/>
            <w:hideMark/>
          </w:tcPr>
          <w:p w14:paraId="4F25E427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Industrial applications validate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d through chemical and physical properties.</w:t>
            </w:r>
          </w:p>
        </w:tc>
      </w:tr>
      <w:tr w:rsidR="00451B58" w:rsidRPr="00EA1DC0" w14:paraId="754B0B17" w14:textId="77777777" w:rsidTr="008352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72B67C9E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Environmental Impact</w:t>
            </w:r>
          </w:p>
        </w:tc>
        <w:tc>
          <w:tcPr>
            <w:tcW w:w="0" w:type="auto"/>
            <w:hideMark/>
          </w:tcPr>
          <w:p w14:paraId="5DD7B51B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Green chemistry principles incorporated</w:t>
            </w:r>
          </w:p>
        </w:tc>
        <w:tc>
          <w:tcPr>
            <w:tcW w:w="0" w:type="auto"/>
            <w:hideMark/>
          </w:tcPr>
          <w:p w14:paraId="374BA274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-</w:t>
            </w:r>
          </w:p>
        </w:tc>
        <w:tc>
          <w:tcPr>
            <w:tcW w:w="0" w:type="auto"/>
            <w:hideMark/>
          </w:tcPr>
          <w:p w14:paraId="6BA40737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Cerium ammonium nitrate (CAN)</w:t>
            </w:r>
          </w:p>
        </w:tc>
        <w:tc>
          <w:tcPr>
            <w:tcW w:w="0" w:type="auto"/>
            <w:hideMark/>
          </w:tcPr>
          <w:p w14:paraId="0EB5C956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Mild, environmentally friendly</w:t>
            </w:r>
          </w:p>
        </w:tc>
        <w:tc>
          <w:tcPr>
            <w:tcW w:w="0" w:type="auto"/>
            <w:hideMark/>
          </w:tcPr>
          <w:p w14:paraId="6EF9A18F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Reduced byproducts and waste generation through optimized reaction conditions.</w:t>
            </w:r>
          </w:p>
        </w:tc>
        <w:tc>
          <w:tcPr>
            <w:tcW w:w="0" w:type="auto"/>
            <w:hideMark/>
          </w:tcPr>
          <w:p w14:paraId="79B7E96D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Supports sustainable chemistry</w:t>
            </w:r>
          </w:p>
        </w:tc>
        <w:tc>
          <w:tcPr>
            <w:tcW w:w="0" w:type="auto"/>
            <w:hideMark/>
          </w:tcPr>
          <w:p w14:paraId="1F82EBD1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Dependency on limited reagents</w:t>
            </w:r>
          </w:p>
        </w:tc>
        <w:tc>
          <w:tcPr>
            <w:tcW w:w="0" w:type="auto"/>
            <w:hideMark/>
          </w:tcPr>
          <w:p w14:paraId="7C9D7615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Use alternative, sustainable catalysts to improve eco-friendliness.</w:t>
            </w:r>
          </w:p>
        </w:tc>
        <w:tc>
          <w:tcPr>
            <w:tcW w:w="0" w:type="auto"/>
            <w:hideMark/>
          </w:tcPr>
          <w:p w14:paraId="3FC7F692" w14:textId="77777777" w:rsidR="00451B58" w:rsidRPr="00EA1DC0" w:rsidRDefault="00451B58" w:rsidP="008352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Highlighted green chemistry approach in synthesis.</w:t>
            </w:r>
          </w:p>
        </w:tc>
      </w:tr>
      <w:tr w:rsidR="00000000" w:rsidRPr="00EA1DC0" w14:paraId="4DF0058B" w14:textId="77777777" w:rsidTr="0083527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14:paraId="5AF55934" w14:textId="77777777" w:rsidR="00451B58" w:rsidRPr="00EA1DC0" w:rsidRDefault="00451B58" w:rsidP="00835276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Future Directions</w:t>
            </w:r>
          </w:p>
        </w:tc>
        <w:tc>
          <w:tcPr>
            <w:tcW w:w="0" w:type="auto"/>
            <w:hideMark/>
          </w:tcPr>
          <w:p w14:paraId="116C16CE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Employ diverse precursors, explore bioactivity further, and develop polymer-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supported isoxazoles</w:t>
            </w:r>
          </w:p>
        </w:tc>
        <w:tc>
          <w:tcPr>
            <w:tcW w:w="0" w:type="auto"/>
            <w:hideMark/>
          </w:tcPr>
          <w:p w14:paraId="7AB39A6C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Reaction with new nitrile oxides and aldehydes</w:t>
            </w:r>
          </w:p>
        </w:tc>
        <w:tc>
          <w:tcPr>
            <w:tcW w:w="0" w:type="auto"/>
            <w:hideMark/>
          </w:tcPr>
          <w:p w14:paraId="57382D46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PEG-supported reaction mediums</w:t>
            </w:r>
          </w:p>
        </w:tc>
        <w:tc>
          <w:tcPr>
            <w:tcW w:w="0" w:type="auto"/>
            <w:hideMark/>
          </w:tcPr>
          <w:p w14:paraId="212DC301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Adjustable temperature and pH conditions</w:t>
            </w:r>
          </w:p>
        </w:tc>
        <w:tc>
          <w:tcPr>
            <w:tcW w:w="0" w:type="auto"/>
            <w:hideMark/>
          </w:tcPr>
          <w:p w14:paraId="739EB867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 xml:space="preserve">Suggested new approaches for improving yields, efficiency, and applications of synthesized </w:t>
            </w: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compounds.</w:t>
            </w:r>
          </w:p>
        </w:tc>
        <w:tc>
          <w:tcPr>
            <w:tcW w:w="0" w:type="auto"/>
            <w:hideMark/>
          </w:tcPr>
          <w:p w14:paraId="2B154CB8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Pharmaceuticals, advanced materials</w:t>
            </w:r>
          </w:p>
        </w:tc>
        <w:tc>
          <w:tcPr>
            <w:tcW w:w="0" w:type="auto"/>
            <w:hideMark/>
          </w:tcPr>
          <w:p w14:paraId="6B2CE7B6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Requires advanced tools and conditions</w:t>
            </w:r>
          </w:p>
        </w:tc>
        <w:tc>
          <w:tcPr>
            <w:tcW w:w="0" w:type="auto"/>
            <w:hideMark/>
          </w:tcPr>
          <w:p w14:paraId="34C22C27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Combine computational chemistry and experimental data for guided synthesis.</w:t>
            </w:r>
          </w:p>
        </w:tc>
        <w:tc>
          <w:tcPr>
            <w:tcW w:w="0" w:type="auto"/>
            <w:hideMark/>
          </w:tcPr>
          <w:p w14:paraId="18249189" w14:textId="77777777" w:rsidR="00451B58" w:rsidRPr="00EA1DC0" w:rsidRDefault="00451B58" w:rsidP="008352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EA1DC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Recommendations provide a clear roadmap for expanding isoxazole chemistry research.</w:t>
            </w:r>
          </w:p>
        </w:tc>
      </w:tr>
    </w:tbl>
    <w:p w14:paraId="0C1177FF" w14:textId="77777777" w:rsidR="00451B58" w:rsidRPr="00EA1DC0" w:rsidRDefault="00451B58" w:rsidP="00451B58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lang w:bidi="fa-IR"/>
        </w:rPr>
      </w:pPr>
      <w:r w:rsidRPr="00EA1DC0">
        <w:rPr>
          <w:rFonts w:ascii="Times New Roman" w:eastAsia="Times New Roman" w:hAnsi="Times New Roman" w:cs="Times New Roman"/>
          <w:i/>
          <w:iCs/>
          <w:sz w:val="24"/>
          <w:szCs w:val="24"/>
        </w:rPr>
        <w:t>Table 4</w:t>
      </w:r>
      <w:r w:rsidRPr="00EA1DC0">
        <w:rPr>
          <w:rFonts w:ascii="Times New Roman" w:eastAsia="Times New Roman" w:hAnsi="Times New Roman" w:cs="Times New Roman"/>
          <w:sz w:val="24"/>
          <w:szCs w:val="24"/>
        </w:rPr>
        <w:t>: Summary of findings and future directions</w:t>
      </w:r>
    </w:p>
    <w:p w14:paraId="2E3347B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B58"/>
    <w:rsid w:val="00011C58"/>
    <w:rsid w:val="0006021D"/>
    <w:rsid w:val="00206938"/>
    <w:rsid w:val="00331A6B"/>
    <w:rsid w:val="00451B58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C0962"/>
  <w15:chartTrackingRefBased/>
  <w15:docId w15:val="{714CA82F-B093-4D79-9074-4713046E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B5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1B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B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B5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1B5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1B5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1B5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1B5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1B5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1B5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B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B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B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1B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1B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1B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1B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1B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1B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1B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1B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1B5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1B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1B5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1B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1B5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1B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1B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1B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1B58"/>
    <w:rPr>
      <w:b/>
      <w:bCs/>
      <w:smallCaps/>
      <w:color w:val="0F4761" w:themeColor="accent1" w:themeShade="BF"/>
      <w:spacing w:val="5"/>
    </w:rPr>
  </w:style>
  <w:style w:type="table" w:styleId="GridTable3-Accent6">
    <w:name w:val="Grid Table 3 Accent 6"/>
    <w:basedOn w:val="TableNormal"/>
    <w:uiPriority w:val="48"/>
    <w:rsid w:val="00451B5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815</Words>
  <Characters>4646</Characters>
  <Application>Microsoft Office Word</Application>
  <DocSecurity>0</DocSecurity>
  <Lines>38</Lines>
  <Paragraphs>10</Paragraphs>
  <ScaleCrop>false</ScaleCrop>
  <Company>Springer Nature</Company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2025-06-25T10:28:00Z</dcterms:created>
  <dcterms:modified xsi:type="dcterms:W3CDTF">2025-06-25T10:28:00Z</dcterms:modified>
</cp:coreProperties>
</file>