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E163B" w14:textId="7A196682" w:rsidR="00F9242E" w:rsidRDefault="00F9242E" w:rsidP="00F9242E">
      <w:pPr>
        <w:keepNext/>
        <w:keepLines/>
        <w:spacing w:before="360" w:after="80" w:line="360" w:lineRule="auto"/>
        <w:outlineLvl w:val="0"/>
        <w:rPr>
          <w:rFonts w:asciiTheme="majorHAnsi" w:eastAsiaTheme="majorEastAsia" w:hAnsiTheme="majorHAnsi" w:cstheme="majorBidi"/>
          <w:color w:val="0F4761" w:themeColor="accent1" w:themeShade="BF"/>
          <w:sz w:val="40"/>
          <w:szCs w:val="40"/>
          <w:lang w:eastAsia="en-GB"/>
        </w:rPr>
      </w:pPr>
      <w:r>
        <w:rPr>
          <w:rFonts w:asciiTheme="majorHAnsi" w:eastAsiaTheme="majorEastAsia" w:hAnsiTheme="majorHAnsi" w:cstheme="majorBidi"/>
          <w:color w:val="0F4761" w:themeColor="accent1" w:themeShade="BF"/>
          <w:sz w:val="40"/>
          <w:szCs w:val="40"/>
          <w:lang w:eastAsia="en-GB"/>
        </w:rPr>
        <w:t>Appendix</w:t>
      </w:r>
    </w:p>
    <w:p w14:paraId="4A67A681" w14:textId="599363AB" w:rsidR="00F9242E" w:rsidRDefault="0000020B" w:rsidP="00F9242E">
      <w:pPr>
        <w:keepNext/>
        <w:keepLines/>
        <w:spacing w:before="160" w:after="80" w:line="360" w:lineRule="auto"/>
        <w:outlineLvl w:val="1"/>
        <w:rPr>
          <w:rFonts w:asciiTheme="majorHAnsi" w:eastAsiaTheme="majorEastAsia" w:hAnsiTheme="majorHAnsi" w:cstheme="majorBidi"/>
          <w:color w:val="0F4761" w:themeColor="accent1" w:themeShade="BF"/>
          <w:sz w:val="32"/>
          <w:szCs w:val="32"/>
        </w:rPr>
      </w:pPr>
      <w:r>
        <w:rPr>
          <w:rFonts w:asciiTheme="majorHAnsi" w:eastAsiaTheme="majorEastAsia" w:hAnsiTheme="majorHAnsi" w:cstheme="majorBidi"/>
          <w:color w:val="0F4761" w:themeColor="accent1" w:themeShade="BF"/>
          <w:sz w:val="32"/>
          <w:szCs w:val="32"/>
        </w:rPr>
        <w:t xml:space="preserve">Section 1. </w:t>
      </w:r>
      <w:r w:rsidR="00F9242E">
        <w:rPr>
          <w:rFonts w:asciiTheme="majorHAnsi" w:eastAsiaTheme="majorEastAsia" w:hAnsiTheme="majorHAnsi" w:cstheme="majorBidi"/>
          <w:color w:val="0F4761" w:themeColor="accent1" w:themeShade="BF"/>
          <w:sz w:val="32"/>
          <w:szCs w:val="32"/>
        </w:rPr>
        <w:t>Creation and content validation of knowledge questionnaires</w:t>
      </w:r>
    </w:p>
    <w:p w14:paraId="056B913D" w14:textId="2FB50CC2" w:rsidR="00F9242E" w:rsidRDefault="00F9242E" w:rsidP="00F9242E">
      <w:pPr>
        <w:spacing w:line="360" w:lineRule="auto"/>
        <w:rPr>
          <w:rFonts w:cstheme="minorHAnsi"/>
        </w:rPr>
      </w:pPr>
      <w:r>
        <w:rPr>
          <w:rFonts w:cstheme="minorHAnsi"/>
        </w:rPr>
        <w:t xml:space="preserve">At the time the survey was being constructed (May 2022), the only knowledge questionnaires for AMD risk factors were developed by Zhang et al </w:t>
      </w:r>
      <w:r w:rsidR="00B91AB7" w:rsidRPr="005948DF">
        <w:rPr>
          <w:rFonts w:cstheme="minorHAnsi"/>
          <w:noProof/>
          <w:vertAlign w:val="superscript"/>
        </w:rPr>
        <w:t>1</w:t>
      </w:r>
      <w:r>
        <w:rPr>
          <w:rFonts w:cstheme="minorHAnsi"/>
        </w:rPr>
        <w:t>. and Thapa et al</w:t>
      </w:r>
      <w:proofErr w:type="gramStart"/>
      <w:r w:rsidR="00B91AB7" w:rsidRPr="005948DF">
        <w:rPr>
          <w:rFonts w:cstheme="minorHAnsi"/>
          <w:noProof/>
          <w:vertAlign w:val="superscript"/>
        </w:rPr>
        <w:t>2</w:t>
      </w:r>
      <w:r>
        <w:rPr>
          <w:rFonts w:cstheme="minorHAnsi"/>
        </w:rPr>
        <w:t xml:space="preserve">( </w:t>
      </w:r>
      <w:r>
        <w:rPr>
          <w:rFonts w:cstheme="minorHAnsi"/>
          <w:b/>
          <w:bCs/>
        </w:rPr>
        <w:t>Tables</w:t>
      </w:r>
      <w:proofErr w:type="gramEnd"/>
      <w:r>
        <w:rPr>
          <w:rFonts w:cstheme="minorHAnsi"/>
          <w:b/>
          <w:bCs/>
        </w:rPr>
        <w:t xml:space="preserve"> </w:t>
      </w:r>
      <w:r w:rsidR="00941FCE">
        <w:rPr>
          <w:rFonts w:cstheme="minorHAnsi"/>
          <w:b/>
          <w:bCs/>
        </w:rPr>
        <w:t>5</w:t>
      </w:r>
      <w:r>
        <w:rPr>
          <w:rFonts w:cstheme="minorHAnsi"/>
          <w:b/>
          <w:bCs/>
        </w:rPr>
        <w:t xml:space="preserve">A and </w:t>
      </w:r>
      <w:r w:rsidR="00941FCE">
        <w:rPr>
          <w:rFonts w:cstheme="minorHAnsi"/>
          <w:b/>
          <w:bCs/>
        </w:rPr>
        <w:t>5</w:t>
      </w:r>
      <w:r>
        <w:rPr>
          <w:rFonts w:cstheme="minorHAnsi"/>
          <w:b/>
          <w:bCs/>
        </w:rPr>
        <w:t>B</w:t>
      </w:r>
      <w:r>
        <w:rPr>
          <w:rFonts w:cstheme="minorHAnsi"/>
        </w:rPr>
        <w:t>). However, there was no evidence that these instruments had been formally validated. Hence, a new knowledge of AMD risk factors questionnaire based on previous literature and clinical guidelines for AMD was developed</w:t>
      </w:r>
      <w:r w:rsidR="00B91AB7" w:rsidRPr="005948DF">
        <w:rPr>
          <w:rFonts w:cstheme="minorHAnsi"/>
          <w:noProof/>
          <w:vertAlign w:val="superscript"/>
        </w:rPr>
        <w:t>3-7</w:t>
      </w:r>
      <w:r>
        <w:rPr>
          <w:rFonts w:cstheme="minorHAnsi"/>
        </w:rPr>
        <w:t xml:space="preserve">, and content validation undertaken </w:t>
      </w:r>
      <w:r w:rsidR="00B91AB7" w:rsidRPr="005948DF">
        <w:rPr>
          <w:rFonts w:cstheme="minorHAnsi"/>
          <w:noProof/>
          <w:vertAlign w:val="superscript"/>
        </w:rPr>
        <w:t>8</w:t>
      </w:r>
      <w:r>
        <w:rPr>
          <w:rFonts w:cstheme="minorHAnsi"/>
        </w:rPr>
        <w:t xml:space="preserve">. </w:t>
      </w:r>
    </w:p>
    <w:p w14:paraId="0AAF73A1" w14:textId="4FE89C59" w:rsidR="00F9242E" w:rsidRDefault="00F9242E" w:rsidP="00F9242E">
      <w:pPr>
        <w:spacing w:line="360" w:lineRule="auto"/>
        <w:rPr>
          <w:rFonts w:cstheme="minorHAnsi"/>
        </w:rPr>
      </w:pPr>
      <w:r>
        <w:rPr>
          <w:rFonts w:cstheme="minorHAnsi"/>
        </w:rPr>
        <w:t>Content validation is a means of ensuring that the instrument “includes all necessary items, avoids unnecessary items, and is generally appropriately framed and presented”</w:t>
      </w:r>
      <w:r w:rsidR="00B91AB7" w:rsidRPr="005948DF">
        <w:rPr>
          <w:rFonts w:cstheme="minorHAnsi"/>
          <w:noProof/>
          <w:vertAlign w:val="superscript"/>
        </w:rPr>
        <w:t xml:space="preserve"> 9</w:t>
      </w:r>
      <w:r>
        <w:rPr>
          <w:rFonts w:cstheme="minorHAnsi"/>
        </w:rPr>
        <w:t xml:space="preserve">. To achieve </w:t>
      </w:r>
      <w:r w:rsidR="006625D9">
        <w:rPr>
          <w:rFonts w:cstheme="minorHAnsi"/>
        </w:rPr>
        <w:t>this, an</w:t>
      </w:r>
      <w:r>
        <w:rPr>
          <w:rFonts w:cstheme="minorHAnsi"/>
        </w:rPr>
        <w:t xml:space="preserve"> anonymous survey in Qualtrics was initially prepared with the </w:t>
      </w:r>
      <w:proofErr w:type="spellStart"/>
      <w:r>
        <w:rPr>
          <w:rFonts w:cstheme="minorHAnsi"/>
        </w:rPr>
        <w:t>i</w:t>
      </w:r>
      <w:proofErr w:type="spellEnd"/>
      <w:r>
        <w:rPr>
          <w:rFonts w:cstheme="minorHAnsi"/>
        </w:rPr>
        <w:t>) 13-item Knowledge and Perceptions of Lifestyle and Individual Risk Factors and ii) an 8-item instrument named Knowledge and Perceptions of Dietary Risk Factors. Each item in both instruments was assessed by five AMD researchers in the Centre for Public Health, Queen’s University Belfast (CPH QUB) for relevance and clarity. The relevance scale was as follows: 1(not relevant</w:t>
      </w:r>
      <w:proofErr w:type="gramStart"/>
      <w:r>
        <w:rPr>
          <w:rFonts w:cstheme="minorHAnsi"/>
        </w:rPr>
        <w:t>);  2</w:t>
      </w:r>
      <w:proofErr w:type="gramEnd"/>
      <w:r>
        <w:rPr>
          <w:rFonts w:cstheme="minorHAnsi"/>
        </w:rPr>
        <w:t>(item need some revision); 3(relevant but need some revision); 4(very relevant). The clarity scale was: 1(not clear); 2(item need some revision); 3(clear but need some minor revision); 4(very clear). Then followed open-ended comment boxes whereby participants could provide suggestions on how to improve clarity and relevance, and suggestions for additional dietary and lifestyle factors.</w:t>
      </w:r>
    </w:p>
    <w:p w14:paraId="07F3B03F" w14:textId="559BCCC5" w:rsidR="00F9242E" w:rsidRDefault="0000020B" w:rsidP="00F9242E">
      <w:pPr>
        <w:keepNext/>
        <w:keepLines/>
        <w:spacing w:before="160" w:after="80"/>
        <w:outlineLvl w:val="1"/>
        <w:rPr>
          <w:rFonts w:asciiTheme="majorHAnsi" w:eastAsiaTheme="majorEastAsia" w:hAnsiTheme="majorHAnsi" w:cstheme="majorBidi"/>
          <w:color w:val="0F4761" w:themeColor="accent1" w:themeShade="BF"/>
          <w:sz w:val="32"/>
          <w:szCs w:val="32"/>
        </w:rPr>
      </w:pPr>
      <w:r>
        <w:rPr>
          <w:rFonts w:asciiTheme="majorHAnsi" w:eastAsiaTheme="majorEastAsia" w:hAnsiTheme="majorHAnsi" w:cstheme="majorBidi"/>
          <w:color w:val="0F4761" w:themeColor="accent1" w:themeShade="BF"/>
          <w:sz w:val="32"/>
          <w:szCs w:val="32"/>
        </w:rPr>
        <w:t xml:space="preserve">Section </w:t>
      </w:r>
      <w:r>
        <w:rPr>
          <w:rFonts w:asciiTheme="majorHAnsi" w:eastAsiaTheme="majorEastAsia" w:hAnsiTheme="majorHAnsi" w:cstheme="majorBidi"/>
          <w:color w:val="0F4761" w:themeColor="accent1" w:themeShade="BF"/>
          <w:sz w:val="32"/>
          <w:szCs w:val="32"/>
        </w:rPr>
        <w:t>2</w:t>
      </w:r>
      <w:r>
        <w:rPr>
          <w:rFonts w:asciiTheme="majorHAnsi" w:eastAsiaTheme="majorEastAsia" w:hAnsiTheme="majorHAnsi" w:cstheme="majorBidi"/>
          <w:color w:val="0F4761" w:themeColor="accent1" w:themeShade="BF"/>
          <w:sz w:val="32"/>
          <w:szCs w:val="32"/>
        </w:rPr>
        <w:t xml:space="preserve">. </w:t>
      </w:r>
      <w:r w:rsidR="00F9242E">
        <w:rPr>
          <w:rFonts w:asciiTheme="majorHAnsi" w:eastAsiaTheme="majorEastAsia" w:hAnsiTheme="majorHAnsi" w:cstheme="majorBidi"/>
          <w:color w:val="0F4761" w:themeColor="accent1" w:themeShade="BF"/>
          <w:sz w:val="32"/>
          <w:szCs w:val="32"/>
        </w:rPr>
        <w:t>Analysis for content validation</w:t>
      </w:r>
    </w:p>
    <w:p w14:paraId="2ABD22AD" w14:textId="2746737B" w:rsidR="00F9242E" w:rsidRDefault="00F9242E" w:rsidP="00F9242E">
      <w:pPr>
        <w:spacing w:line="360" w:lineRule="auto"/>
        <w:rPr>
          <w:rFonts w:cstheme="minorHAnsi"/>
        </w:rPr>
      </w:pPr>
      <w:r>
        <w:rPr>
          <w:rFonts w:cstheme="minorHAnsi"/>
        </w:rPr>
        <w:t>First, the response for the relevance scale was dichotomized by combining values 1 and 2, and 3 and 4 together, yielding two categorical outcomes that are “not relevant” or “relevant” respectively</w:t>
      </w:r>
      <w:r w:rsidR="00B91AB7" w:rsidRPr="005948DF">
        <w:rPr>
          <w:rFonts w:cstheme="minorHAnsi"/>
          <w:noProof/>
          <w:vertAlign w:val="superscript"/>
        </w:rPr>
        <w:t>10</w:t>
      </w:r>
      <w:r>
        <w:rPr>
          <w:rFonts w:cstheme="minorHAnsi"/>
        </w:rPr>
        <w:t>. The dichotomous categories were then applied to all responses. Items that were not considered relevant by 4/5 of the experts were considered to have low content validity and therefore removed or altered according to respondent feedback from open-ended responses</w:t>
      </w:r>
      <w:r w:rsidR="00B91AB7" w:rsidRPr="005948DF">
        <w:rPr>
          <w:rFonts w:cstheme="minorHAnsi"/>
          <w:noProof/>
          <w:vertAlign w:val="superscript"/>
        </w:rPr>
        <w:t>11</w:t>
      </w:r>
      <w:r>
        <w:rPr>
          <w:rFonts w:cstheme="minorHAnsi"/>
        </w:rPr>
        <w:t xml:space="preserve">. A similar method was used for the clarity scale: items that were not considered clear by 4/5 of the experts were deleted or altered following suggestions from the open-ended responses. </w:t>
      </w:r>
    </w:p>
    <w:p w14:paraId="34E80CC2" w14:textId="77777777" w:rsidR="00F9242E" w:rsidRDefault="00F9242E" w:rsidP="00F9242E">
      <w:pPr>
        <w:spacing w:line="360" w:lineRule="auto"/>
        <w:rPr>
          <w:rFonts w:cstheme="minorHAnsi"/>
        </w:rPr>
      </w:pPr>
      <w:r>
        <w:rPr>
          <w:rFonts w:cstheme="minorHAnsi"/>
        </w:rPr>
        <w:t xml:space="preserve">Out of the 13 items in the instrument that assessed knowledge of the lifestyle and individual factors, three items were considered irrelevant and subsequently removed. Three items were </w:t>
      </w:r>
      <w:r>
        <w:rPr>
          <w:rFonts w:cstheme="minorHAnsi"/>
        </w:rPr>
        <w:lastRenderedPageBreak/>
        <w:t xml:space="preserve">considered unclear [1. Obesity (BMI 30kg/m2 or over), 2. Smoking and </w:t>
      </w:r>
      <w:proofErr w:type="gramStart"/>
      <w:r>
        <w:rPr>
          <w:rFonts w:cstheme="minorHAnsi"/>
        </w:rPr>
        <w:t>3.Being</w:t>
      </w:r>
      <w:proofErr w:type="gramEnd"/>
      <w:r>
        <w:rPr>
          <w:rFonts w:cstheme="minorHAnsi"/>
        </w:rPr>
        <w:t xml:space="preserve"> Caucasian]. As per suggestions of the respondent, “Obesity (BMI 30kg/m2 or over)” was altered to “Being extremely overweight”, “Smoking” clarified to “Currently a cigarette smoker”, and “Being Caucasian” altered to “Being a white European”. Cardiovascular disease was suggested as an additional lifestyle and individual risk factor.  All the items in the dietary risk factor questionnaire were considered relevant and clear by at least 4/5 of the respondents.</w:t>
      </w:r>
    </w:p>
    <w:p w14:paraId="453E3403" w14:textId="41BC5CE3" w:rsidR="00F9242E" w:rsidRDefault="00E33D36" w:rsidP="00F9242E">
      <w:pPr>
        <w:keepNext/>
        <w:keepLines/>
        <w:spacing w:before="160" w:after="80" w:line="360" w:lineRule="auto"/>
        <w:outlineLvl w:val="2"/>
        <w:rPr>
          <w:rFonts w:eastAsiaTheme="majorEastAsia" w:cstheme="majorBidi"/>
          <w:color w:val="0F4761" w:themeColor="accent1" w:themeShade="BF"/>
          <w:sz w:val="28"/>
          <w:szCs w:val="28"/>
        </w:rPr>
      </w:pPr>
      <w:r>
        <w:rPr>
          <w:rFonts w:eastAsiaTheme="majorEastAsia" w:cstheme="majorBidi"/>
          <w:color w:val="0F4761" w:themeColor="accent1" w:themeShade="BF"/>
          <w:sz w:val="28"/>
          <w:szCs w:val="28"/>
        </w:rPr>
        <w:t>T5</w:t>
      </w:r>
      <w:r w:rsidR="00F9242E">
        <w:rPr>
          <w:rFonts w:eastAsiaTheme="majorEastAsia" w:cstheme="majorBidi"/>
          <w:color w:val="0F4761" w:themeColor="accent1" w:themeShade="BF"/>
          <w:sz w:val="28"/>
          <w:szCs w:val="28"/>
        </w:rPr>
        <w:t>A. Awareness of AMD risk factors developed by Thapa et al</w:t>
      </w:r>
      <w:r w:rsidR="00B91AB7" w:rsidRPr="005948DF">
        <w:rPr>
          <w:rFonts w:eastAsiaTheme="majorEastAsia" w:cstheme="majorBidi"/>
          <w:noProof/>
          <w:color w:val="0F4761" w:themeColor="accent1" w:themeShade="BF"/>
          <w:sz w:val="28"/>
          <w:szCs w:val="28"/>
          <w:vertAlign w:val="superscript"/>
        </w:rPr>
        <w:t>2</w:t>
      </w:r>
      <w:r w:rsidR="00F9242E">
        <w:rPr>
          <w:rFonts w:eastAsiaTheme="majorEastAsia" w:cstheme="majorBidi"/>
          <w:color w:val="0F4761" w:themeColor="accent1" w:themeShade="BF"/>
          <w:sz w:val="28"/>
          <w:szCs w:val="28"/>
        </w:rPr>
        <w:t>.</w:t>
      </w:r>
    </w:p>
    <w:tbl>
      <w:tblPr>
        <w:tblW w:w="8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
        <w:tblDescription w:val=""/>
      </w:tblPr>
      <w:tblGrid>
        <w:gridCol w:w="8764"/>
      </w:tblGrid>
      <w:tr w:rsidR="00F9242E" w14:paraId="7C040919" w14:textId="77777777" w:rsidTr="003C655B">
        <w:trPr>
          <w:trHeight w:val="453"/>
        </w:trPr>
        <w:tc>
          <w:tcPr>
            <w:tcW w:w="8764"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hideMark/>
          </w:tcPr>
          <w:p w14:paraId="7E5E2024" w14:textId="77777777" w:rsidR="00F9242E" w:rsidRDefault="00F9242E" w:rsidP="003C655B">
            <w:pPr>
              <w:spacing w:line="360" w:lineRule="auto"/>
              <w:rPr>
                <w:rFonts w:cstheme="minorHAnsi"/>
              </w:rPr>
            </w:pPr>
            <w:r>
              <w:rPr>
                <w:rFonts w:cstheme="minorHAnsi"/>
              </w:rPr>
              <w:t>Are you aware of AMD?</w:t>
            </w:r>
          </w:p>
        </w:tc>
      </w:tr>
      <w:tr w:rsidR="00F9242E" w14:paraId="7DA7B2A4" w14:textId="77777777" w:rsidTr="003C655B">
        <w:trPr>
          <w:trHeight w:val="189"/>
        </w:trPr>
        <w:tc>
          <w:tcPr>
            <w:tcW w:w="8764"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hideMark/>
          </w:tcPr>
          <w:p w14:paraId="41DE0662" w14:textId="77777777" w:rsidR="00F9242E" w:rsidRDefault="00F9242E" w:rsidP="003C655B">
            <w:pPr>
              <w:spacing w:line="360" w:lineRule="auto"/>
              <w:rPr>
                <w:rFonts w:cstheme="minorHAnsi"/>
              </w:rPr>
            </w:pPr>
            <w:r>
              <w:rPr>
                <w:rFonts w:cstheme="minorHAnsi"/>
              </w:rPr>
              <w:t>Do you know smoking aggravates AMD?</w:t>
            </w:r>
          </w:p>
        </w:tc>
      </w:tr>
      <w:tr w:rsidR="00F9242E" w14:paraId="51A688BE" w14:textId="77777777" w:rsidTr="003C655B">
        <w:trPr>
          <w:trHeight w:val="258"/>
        </w:trPr>
        <w:tc>
          <w:tcPr>
            <w:tcW w:w="8764"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hideMark/>
          </w:tcPr>
          <w:p w14:paraId="257D4400" w14:textId="77777777" w:rsidR="00F9242E" w:rsidRDefault="00F9242E" w:rsidP="003C655B">
            <w:pPr>
              <w:spacing w:line="360" w:lineRule="auto"/>
              <w:rPr>
                <w:rFonts w:cstheme="minorHAnsi"/>
              </w:rPr>
            </w:pPr>
            <w:r>
              <w:rPr>
                <w:rFonts w:cstheme="minorHAnsi"/>
              </w:rPr>
              <w:t>Do you know sunlight exposure aggravates AMD?</w:t>
            </w:r>
          </w:p>
        </w:tc>
      </w:tr>
      <w:tr w:rsidR="00F9242E" w14:paraId="2406851F" w14:textId="77777777" w:rsidTr="003C655B">
        <w:trPr>
          <w:trHeight w:val="453"/>
        </w:trPr>
        <w:tc>
          <w:tcPr>
            <w:tcW w:w="8764"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hideMark/>
          </w:tcPr>
          <w:p w14:paraId="7CD8CB91" w14:textId="77777777" w:rsidR="00F9242E" w:rsidRDefault="00F9242E" w:rsidP="003C655B">
            <w:pPr>
              <w:spacing w:line="360" w:lineRule="auto"/>
              <w:rPr>
                <w:rFonts w:cstheme="minorHAnsi"/>
              </w:rPr>
            </w:pPr>
            <w:r>
              <w:rPr>
                <w:rFonts w:cstheme="minorHAnsi"/>
              </w:rPr>
              <w:t>Do you know green vegetables and fish protect against AMD?</w:t>
            </w:r>
          </w:p>
        </w:tc>
      </w:tr>
      <w:tr w:rsidR="00F9242E" w14:paraId="58094701" w14:textId="77777777" w:rsidTr="003C655B">
        <w:trPr>
          <w:trHeight w:val="453"/>
        </w:trPr>
        <w:tc>
          <w:tcPr>
            <w:tcW w:w="8764"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hideMark/>
          </w:tcPr>
          <w:p w14:paraId="292DAB16" w14:textId="77777777" w:rsidR="00F9242E" w:rsidRDefault="00F9242E" w:rsidP="003C655B">
            <w:pPr>
              <w:spacing w:line="360" w:lineRule="auto"/>
              <w:rPr>
                <w:rFonts w:cstheme="minorHAnsi"/>
              </w:rPr>
            </w:pPr>
            <w:r>
              <w:rPr>
                <w:rFonts w:cstheme="minorHAnsi"/>
              </w:rPr>
              <w:t xml:space="preserve">Do you know that certain vitamin </w:t>
            </w:r>
            <w:proofErr w:type="gramStart"/>
            <w:r>
              <w:rPr>
                <w:rFonts w:cstheme="minorHAnsi"/>
              </w:rPr>
              <w:t>help</w:t>
            </w:r>
            <w:proofErr w:type="gramEnd"/>
            <w:r>
              <w:rPr>
                <w:rFonts w:cstheme="minorHAnsi"/>
              </w:rPr>
              <w:t xml:space="preserve"> slow AMD progression?</w:t>
            </w:r>
          </w:p>
        </w:tc>
      </w:tr>
    </w:tbl>
    <w:p w14:paraId="76F5CD4C" w14:textId="77777777" w:rsidR="00F9242E" w:rsidRDefault="00F9242E" w:rsidP="00F9242E"/>
    <w:p w14:paraId="4ED1D7F1" w14:textId="42FA0BF4" w:rsidR="00F9242E" w:rsidRDefault="00E33D36" w:rsidP="00F9242E">
      <w:pPr>
        <w:keepNext/>
        <w:keepLines/>
        <w:spacing w:before="160" w:after="80" w:line="360" w:lineRule="auto"/>
        <w:outlineLvl w:val="2"/>
        <w:rPr>
          <w:rFonts w:eastAsiaTheme="majorEastAsia" w:cstheme="majorBidi"/>
          <w:color w:val="0F4761" w:themeColor="accent1" w:themeShade="BF"/>
          <w:sz w:val="28"/>
          <w:szCs w:val="28"/>
        </w:rPr>
      </w:pPr>
      <w:r>
        <w:rPr>
          <w:rFonts w:eastAsiaTheme="majorEastAsia" w:cstheme="majorBidi"/>
          <w:color w:val="0F4761" w:themeColor="accent1" w:themeShade="BF"/>
          <w:sz w:val="28"/>
          <w:szCs w:val="28"/>
        </w:rPr>
        <w:t>T5</w:t>
      </w:r>
      <w:r w:rsidR="00F9242E">
        <w:rPr>
          <w:rFonts w:eastAsiaTheme="majorEastAsia" w:cstheme="majorBidi"/>
          <w:color w:val="0F4761" w:themeColor="accent1" w:themeShade="BF"/>
          <w:sz w:val="28"/>
          <w:szCs w:val="28"/>
        </w:rPr>
        <w:t>B. Risk factors from Zhang et al.’s interview-based study</w:t>
      </w:r>
      <w:r w:rsidR="00B91AB7" w:rsidRPr="005948DF">
        <w:rPr>
          <w:rFonts w:eastAsiaTheme="majorEastAsia" w:cstheme="majorBidi"/>
          <w:noProof/>
          <w:color w:val="0F4761" w:themeColor="accent1" w:themeShade="BF"/>
          <w:sz w:val="28"/>
          <w:szCs w:val="28"/>
          <w:vertAlign w:val="superscript"/>
        </w:rPr>
        <w:t>1</w:t>
      </w:r>
      <w:r w:rsidR="00F9242E">
        <w:rPr>
          <w:rFonts w:eastAsiaTheme="majorEastAsia" w:cstheme="majorBidi"/>
          <w:color w:val="0F4761" w:themeColor="accent1" w:themeShade="BF"/>
          <w:sz w:val="28"/>
          <w:szCs w:val="28"/>
        </w:rPr>
        <w:t>.</w:t>
      </w:r>
    </w:p>
    <w:tbl>
      <w:tblPr>
        <w:tblW w:w="8539" w:type="dxa"/>
        <w:tblLook w:val="04A0" w:firstRow="1" w:lastRow="0" w:firstColumn="1" w:lastColumn="0" w:noHBand="0" w:noVBand="1"/>
      </w:tblPr>
      <w:tblGrid>
        <w:gridCol w:w="3552"/>
        <w:gridCol w:w="2720"/>
        <w:gridCol w:w="2267"/>
      </w:tblGrid>
      <w:tr w:rsidR="00F9242E" w14:paraId="43433602" w14:textId="77777777" w:rsidTr="003C655B">
        <w:trPr>
          <w:trHeight w:val="556"/>
        </w:trPr>
        <w:tc>
          <w:tcPr>
            <w:tcW w:w="3552" w:type="dxa"/>
            <w:tcBorders>
              <w:top w:val="single" w:sz="4" w:space="0" w:color="auto"/>
              <w:left w:val="single" w:sz="4" w:space="0" w:color="auto"/>
              <w:bottom w:val="single" w:sz="4" w:space="0" w:color="auto"/>
              <w:right w:val="single" w:sz="4" w:space="0" w:color="auto"/>
            </w:tcBorders>
            <w:vAlign w:val="center"/>
            <w:hideMark/>
          </w:tcPr>
          <w:p w14:paraId="635611CA" w14:textId="77777777" w:rsidR="00F9242E" w:rsidRDefault="00F9242E" w:rsidP="003C655B">
            <w:pPr>
              <w:spacing w:after="0" w:line="360" w:lineRule="auto"/>
              <w:ind w:firstLineChars="100" w:firstLine="220"/>
              <w:rPr>
                <w:rFonts w:eastAsia="Times New Roman" w:cstheme="minorHAnsi"/>
                <w:color w:val="231815"/>
                <w:kern w:val="0"/>
                <w:lang w:eastAsia="en-GB"/>
                <w14:ligatures w14:val="none"/>
              </w:rPr>
            </w:pPr>
            <w:r>
              <w:rPr>
                <w:rFonts w:eastAsia="Times New Roman" w:cstheme="minorHAnsi"/>
                <w:color w:val="231815"/>
                <w:kern w:val="0"/>
                <w:lang w:eastAsia="en-GB"/>
                <w14:ligatures w14:val="none"/>
              </w:rPr>
              <w:t>Unprotected exposure to sunlight</w:t>
            </w:r>
          </w:p>
        </w:tc>
        <w:tc>
          <w:tcPr>
            <w:tcW w:w="2720" w:type="dxa"/>
            <w:tcBorders>
              <w:top w:val="single" w:sz="4" w:space="0" w:color="auto"/>
              <w:left w:val="nil"/>
              <w:bottom w:val="single" w:sz="4" w:space="0" w:color="auto"/>
              <w:right w:val="single" w:sz="4" w:space="0" w:color="auto"/>
            </w:tcBorders>
            <w:vAlign w:val="center"/>
            <w:hideMark/>
          </w:tcPr>
          <w:p w14:paraId="77F55908" w14:textId="77777777" w:rsidR="00F9242E" w:rsidRDefault="00F9242E" w:rsidP="003C655B">
            <w:pPr>
              <w:spacing w:after="0" w:line="360" w:lineRule="auto"/>
              <w:ind w:firstLineChars="100" w:firstLine="220"/>
              <w:rPr>
                <w:rFonts w:eastAsia="Times New Roman" w:cstheme="minorHAnsi"/>
                <w:color w:val="231815"/>
                <w:kern w:val="0"/>
                <w:lang w:eastAsia="en-GB"/>
                <w14:ligatures w14:val="none"/>
              </w:rPr>
            </w:pPr>
            <w:r>
              <w:rPr>
                <w:rFonts w:eastAsia="Times New Roman" w:cstheme="minorHAnsi"/>
                <w:color w:val="231815"/>
                <w:kern w:val="0"/>
                <w:lang w:eastAsia="en-GB"/>
                <w14:ligatures w14:val="none"/>
              </w:rPr>
              <w:t>Alcohol</w:t>
            </w:r>
          </w:p>
        </w:tc>
        <w:tc>
          <w:tcPr>
            <w:tcW w:w="2267" w:type="dxa"/>
            <w:tcBorders>
              <w:top w:val="single" w:sz="4" w:space="0" w:color="auto"/>
              <w:left w:val="nil"/>
              <w:bottom w:val="single" w:sz="4" w:space="0" w:color="auto"/>
              <w:right w:val="single" w:sz="4" w:space="0" w:color="auto"/>
            </w:tcBorders>
            <w:vAlign w:val="center"/>
            <w:hideMark/>
          </w:tcPr>
          <w:p w14:paraId="1A658244" w14:textId="77777777" w:rsidR="00F9242E" w:rsidRDefault="00F9242E" w:rsidP="003C655B">
            <w:pPr>
              <w:spacing w:after="0" w:line="360" w:lineRule="auto"/>
              <w:ind w:firstLineChars="100" w:firstLine="220"/>
              <w:rPr>
                <w:rFonts w:eastAsia="Times New Roman" w:cstheme="minorHAnsi"/>
                <w:color w:val="231815"/>
                <w:kern w:val="0"/>
                <w:lang w:eastAsia="en-GB"/>
                <w14:ligatures w14:val="none"/>
              </w:rPr>
            </w:pPr>
            <w:r>
              <w:rPr>
                <w:rFonts w:eastAsia="Times New Roman" w:cstheme="minorHAnsi"/>
                <w:color w:val="231815"/>
                <w:kern w:val="0"/>
                <w:lang w:eastAsia="en-GB"/>
                <w14:ligatures w14:val="none"/>
              </w:rPr>
              <w:t>Diabetes</w:t>
            </w:r>
          </w:p>
        </w:tc>
      </w:tr>
      <w:tr w:rsidR="00F9242E" w14:paraId="73CFFB97" w14:textId="77777777" w:rsidTr="003C655B">
        <w:trPr>
          <w:trHeight w:val="550"/>
        </w:trPr>
        <w:tc>
          <w:tcPr>
            <w:tcW w:w="3552" w:type="dxa"/>
            <w:tcBorders>
              <w:top w:val="nil"/>
              <w:left w:val="single" w:sz="4" w:space="0" w:color="auto"/>
              <w:bottom w:val="single" w:sz="4" w:space="0" w:color="auto"/>
              <w:right w:val="single" w:sz="4" w:space="0" w:color="auto"/>
            </w:tcBorders>
            <w:vAlign w:val="center"/>
            <w:hideMark/>
          </w:tcPr>
          <w:p w14:paraId="047BB343" w14:textId="77777777" w:rsidR="00F9242E" w:rsidRDefault="00F9242E" w:rsidP="003C655B">
            <w:pPr>
              <w:spacing w:after="0" w:line="360" w:lineRule="auto"/>
              <w:ind w:firstLineChars="100" w:firstLine="220"/>
              <w:rPr>
                <w:rFonts w:eastAsia="Times New Roman" w:cstheme="minorHAnsi"/>
                <w:color w:val="231815"/>
                <w:kern w:val="0"/>
                <w:lang w:eastAsia="en-GB"/>
                <w14:ligatures w14:val="none"/>
              </w:rPr>
            </w:pPr>
            <w:r>
              <w:rPr>
                <w:rFonts w:eastAsia="Times New Roman" w:cstheme="minorHAnsi"/>
                <w:color w:val="231815"/>
                <w:kern w:val="0"/>
                <w:lang w:eastAsia="en-GB"/>
                <w14:ligatures w14:val="none"/>
              </w:rPr>
              <w:t>Lack of vitamins/nutrients</w:t>
            </w:r>
          </w:p>
        </w:tc>
        <w:tc>
          <w:tcPr>
            <w:tcW w:w="2720" w:type="dxa"/>
            <w:tcBorders>
              <w:top w:val="nil"/>
              <w:left w:val="nil"/>
              <w:bottom w:val="single" w:sz="4" w:space="0" w:color="auto"/>
              <w:right w:val="single" w:sz="4" w:space="0" w:color="auto"/>
            </w:tcBorders>
            <w:vAlign w:val="center"/>
            <w:hideMark/>
          </w:tcPr>
          <w:p w14:paraId="1898BE3A" w14:textId="77777777" w:rsidR="00F9242E" w:rsidRDefault="00F9242E" w:rsidP="003C655B">
            <w:pPr>
              <w:spacing w:after="0" w:line="360" w:lineRule="auto"/>
              <w:ind w:firstLineChars="100" w:firstLine="220"/>
              <w:rPr>
                <w:rFonts w:eastAsia="Times New Roman" w:cstheme="minorHAnsi"/>
                <w:color w:val="231815"/>
                <w:kern w:val="0"/>
                <w:lang w:eastAsia="en-GB"/>
                <w14:ligatures w14:val="none"/>
              </w:rPr>
            </w:pPr>
            <w:r>
              <w:rPr>
                <w:rFonts w:eastAsia="Times New Roman" w:cstheme="minorHAnsi"/>
                <w:color w:val="231815"/>
                <w:kern w:val="0"/>
                <w:lang w:eastAsia="en-GB"/>
                <w14:ligatures w14:val="none"/>
              </w:rPr>
              <w:t>Obesity</w:t>
            </w:r>
          </w:p>
        </w:tc>
        <w:tc>
          <w:tcPr>
            <w:tcW w:w="2267" w:type="dxa"/>
            <w:tcBorders>
              <w:top w:val="single" w:sz="4" w:space="0" w:color="auto"/>
              <w:left w:val="nil"/>
              <w:bottom w:val="single" w:sz="4" w:space="0" w:color="auto"/>
              <w:right w:val="single" w:sz="4" w:space="0" w:color="auto"/>
            </w:tcBorders>
            <w:noWrap/>
            <w:vAlign w:val="bottom"/>
            <w:hideMark/>
          </w:tcPr>
          <w:p w14:paraId="36C662FB" w14:textId="77777777" w:rsidR="00F9242E" w:rsidRDefault="00F9242E" w:rsidP="003C655B">
            <w:pPr>
              <w:spacing w:after="0" w:line="360" w:lineRule="auto"/>
              <w:ind w:firstLineChars="100" w:firstLine="220"/>
              <w:rPr>
                <w:rFonts w:eastAsia="Times New Roman" w:cstheme="minorHAnsi"/>
                <w:color w:val="231815"/>
                <w:kern w:val="0"/>
                <w:lang w:eastAsia="en-GB"/>
                <w14:ligatures w14:val="none"/>
              </w:rPr>
            </w:pPr>
            <w:r>
              <w:rPr>
                <w:rFonts w:eastAsia="Times New Roman" w:cstheme="minorHAnsi"/>
                <w:color w:val="231815"/>
                <w:kern w:val="0"/>
                <w:lang w:eastAsia="en-GB"/>
                <w14:ligatures w14:val="none"/>
              </w:rPr>
              <w:t>Computer use</w:t>
            </w:r>
          </w:p>
        </w:tc>
      </w:tr>
      <w:tr w:rsidR="00F9242E" w14:paraId="301B0337" w14:textId="77777777" w:rsidTr="003C655B">
        <w:trPr>
          <w:trHeight w:val="79"/>
        </w:trPr>
        <w:tc>
          <w:tcPr>
            <w:tcW w:w="3552" w:type="dxa"/>
            <w:tcBorders>
              <w:top w:val="nil"/>
              <w:left w:val="single" w:sz="4" w:space="0" w:color="auto"/>
              <w:bottom w:val="single" w:sz="4" w:space="0" w:color="auto"/>
              <w:right w:val="single" w:sz="4" w:space="0" w:color="auto"/>
            </w:tcBorders>
            <w:vAlign w:val="center"/>
            <w:hideMark/>
          </w:tcPr>
          <w:p w14:paraId="0CF3C9D8" w14:textId="77777777" w:rsidR="00F9242E" w:rsidRDefault="00F9242E" w:rsidP="003C655B">
            <w:pPr>
              <w:spacing w:after="0" w:line="360" w:lineRule="auto"/>
              <w:ind w:firstLineChars="100" w:firstLine="220"/>
              <w:rPr>
                <w:rFonts w:eastAsia="Times New Roman" w:cstheme="minorHAnsi"/>
                <w:color w:val="231815"/>
                <w:kern w:val="0"/>
                <w:lang w:eastAsia="en-GB"/>
                <w14:ligatures w14:val="none"/>
              </w:rPr>
            </w:pPr>
            <w:r>
              <w:rPr>
                <w:rFonts w:eastAsia="Times New Roman" w:cstheme="minorHAnsi"/>
                <w:color w:val="231815"/>
                <w:kern w:val="0"/>
                <w:lang w:eastAsia="en-GB"/>
                <w14:ligatures w14:val="none"/>
              </w:rPr>
              <w:t>Age</w:t>
            </w:r>
          </w:p>
        </w:tc>
        <w:tc>
          <w:tcPr>
            <w:tcW w:w="2720" w:type="dxa"/>
            <w:tcBorders>
              <w:top w:val="nil"/>
              <w:left w:val="nil"/>
              <w:bottom w:val="single" w:sz="4" w:space="0" w:color="auto"/>
              <w:right w:val="single" w:sz="4" w:space="0" w:color="auto"/>
            </w:tcBorders>
            <w:vAlign w:val="center"/>
            <w:hideMark/>
          </w:tcPr>
          <w:p w14:paraId="7F930BDA" w14:textId="77777777" w:rsidR="00F9242E" w:rsidRDefault="00F9242E" w:rsidP="003C655B">
            <w:pPr>
              <w:spacing w:after="0" w:line="360" w:lineRule="auto"/>
              <w:ind w:firstLineChars="100" w:firstLine="220"/>
              <w:rPr>
                <w:rFonts w:eastAsia="Times New Roman" w:cstheme="minorHAnsi"/>
                <w:color w:val="231815"/>
                <w:kern w:val="0"/>
                <w:lang w:eastAsia="en-GB"/>
                <w14:ligatures w14:val="none"/>
              </w:rPr>
            </w:pPr>
            <w:r>
              <w:rPr>
                <w:rFonts w:eastAsia="Times New Roman" w:cstheme="minorHAnsi"/>
                <w:color w:val="231815"/>
                <w:kern w:val="0"/>
                <w:lang w:eastAsia="en-GB"/>
                <w14:ligatures w14:val="none"/>
              </w:rPr>
              <w:t>Genetics</w:t>
            </w:r>
          </w:p>
        </w:tc>
        <w:tc>
          <w:tcPr>
            <w:tcW w:w="2267" w:type="dxa"/>
            <w:tcBorders>
              <w:top w:val="single" w:sz="4" w:space="0" w:color="auto"/>
              <w:left w:val="nil"/>
              <w:bottom w:val="single" w:sz="4" w:space="0" w:color="auto"/>
              <w:right w:val="single" w:sz="4" w:space="0" w:color="auto"/>
            </w:tcBorders>
            <w:noWrap/>
            <w:vAlign w:val="bottom"/>
            <w:hideMark/>
          </w:tcPr>
          <w:p w14:paraId="473AA6BA" w14:textId="77777777" w:rsidR="00F9242E" w:rsidRDefault="00F9242E" w:rsidP="003C655B">
            <w:pPr>
              <w:spacing w:after="0" w:line="360" w:lineRule="auto"/>
              <w:ind w:firstLineChars="100" w:firstLine="220"/>
              <w:rPr>
                <w:rFonts w:eastAsia="Times New Roman" w:cstheme="minorHAnsi"/>
                <w:color w:val="231815"/>
                <w:kern w:val="0"/>
                <w:lang w:eastAsia="en-GB"/>
                <w14:ligatures w14:val="none"/>
              </w:rPr>
            </w:pPr>
            <w:r>
              <w:rPr>
                <w:rFonts w:eastAsia="Times New Roman" w:cstheme="minorHAnsi"/>
                <w:color w:val="231815"/>
                <w:kern w:val="0"/>
                <w:lang w:eastAsia="en-GB"/>
                <w14:ligatures w14:val="none"/>
              </w:rPr>
              <w:t>Race</w:t>
            </w:r>
          </w:p>
        </w:tc>
      </w:tr>
      <w:tr w:rsidR="00F9242E" w14:paraId="4CD17DC2" w14:textId="77777777" w:rsidTr="003C655B">
        <w:trPr>
          <w:trHeight w:val="609"/>
        </w:trPr>
        <w:tc>
          <w:tcPr>
            <w:tcW w:w="3552" w:type="dxa"/>
            <w:tcBorders>
              <w:top w:val="nil"/>
              <w:left w:val="single" w:sz="4" w:space="0" w:color="auto"/>
              <w:bottom w:val="single" w:sz="4" w:space="0" w:color="auto"/>
              <w:right w:val="single" w:sz="4" w:space="0" w:color="auto"/>
            </w:tcBorders>
            <w:vAlign w:val="center"/>
            <w:hideMark/>
          </w:tcPr>
          <w:p w14:paraId="17572010" w14:textId="77777777" w:rsidR="00F9242E" w:rsidRDefault="00F9242E" w:rsidP="003C655B">
            <w:pPr>
              <w:spacing w:after="0" w:line="360" w:lineRule="auto"/>
              <w:ind w:firstLineChars="100" w:firstLine="220"/>
              <w:rPr>
                <w:rFonts w:eastAsia="Times New Roman" w:cstheme="minorHAnsi"/>
                <w:color w:val="231815"/>
                <w:kern w:val="0"/>
                <w:lang w:eastAsia="en-GB"/>
                <w14:ligatures w14:val="none"/>
              </w:rPr>
            </w:pPr>
            <w:r>
              <w:rPr>
                <w:rFonts w:eastAsia="Times New Roman" w:cstheme="minorHAnsi"/>
                <w:color w:val="231815"/>
                <w:kern w:val="0"/>
                <w:lang w:eastAsia="en-GB"/>
                <w14:ligatures w14:val="none"/>
              </w:rPr>
              <w:t>Hypertension</w:t>
            </w:r>
          </w:p>
        </w:tc>
        <w:tc>
          <w:tcPr>
            <w:tcW w:w="2720" w:type="dxa"/>
            <w:tcBorders>
              <w:top w:val="nil"/>
              <w:left w:val="nil"/>
              <w:bottom w:val="single" w:sz="4" w:space="0" w:color="auto"/>
              <w:right w:val="single" w:sz="4" w:space="0" w:color="auto"/>
            </w:tcBorders>
            <w:vAlign w:val="center"/>
            <w:hideMark/>
          </w:tcPr>
          <w:p w14:paraId="0475B971" w14:textId="77777777" w:rsidR="00F9242E" w:rsidRDefault="00F9242E" w:rsidP="003C655B">
            <w:pPr>
              <w:spacing w:after="0" w:line="360" w:lineRule="auto"/>
              <w:ind w:firstLineChars="100" w:firstLine="220"/>
              <w:rPr>
                <w:rFonts w:eastAsia="Times New Roman" w:cstheme="minorHAnsi"/>
                <w:color w:val="231815"/>
                <w:kern w:val="0"/>
                <w:lang w:eastAsia="en-GB"/>
                <w14:ligatures w14:val="none"/>
              </w:rPr>
            </w:pPr>
            <w:r>
              <w:rPr>
                <w:rFonts w:eastAsia="Times New Roman" w:cstheme="minorHAnsi"/>
                <w:color w:val="231815"/>
                <w:kern w:val="0"/>
                <w:lang w:eastAsia="en-GB"/>
                <w14:ligatures w14:val="none"/>
              </w:rPr>
              <w:t>Sex/gender</w:t>
            </w:r>
          </w:p>
        </w:tc>
        <w:tc>
          <w:tcPr>
            <w:tcW w:w="2267" w:type="dxa"/>
            <w:tcBorders>
              <w:top w:val="single" w:sz="4" w:space="0" w:color="auto"/>
              <w:left w:val="nil"/>
              <w:bottom w:val="nil"/>
              <w:right w:val="nil"/>
            </w:tcBorders>
            <w:noWrap/>
            <w:vAlign w:val="bottom"/>
            <w:hideMark/>
          </w:tcPr>
          <w:p w14:paraId="3357DD4C" w14:textId="77777777" w:rsidR="00F9242E" w:rsidRDefault="00F9242E" w:rsidP="003C655B">
            <w:pPr>
              <w:rPr>
                <w:rFonts w:eastAsia="Times New Roman" w:cstheme="minorHAnsi"/>
                <w:color w:val="231815"/>
                <w:kern w:val="0"/>
                <w:lang w:eastAsia="en-GB"/>
                <w14:ligatures w14:val="none"/>
              </w:rPr>
            </w:pPr>
          </w:p>
        </w:tc>
      </w:tr>
      <w:tr w:rsidR="00F9242E" w14:paraId="7379C0C7" w14:textId="77777777" w:rsidTr="003C655B">
        <w:trPr>
          <w:trHeight w:val="304"/>
        </w:trPr>
        <w:tc>
          <w:tcPr>
            <w:tcW w:w="3552" w:type="dxa"/>
            <w:tcBorders>
              <w:top w:val="nil"/>
              <w:left w:val="single" w:sz="4" w:space="0" w:color="auto"/>
              <w:bottom w:val="single" w:sz="4" w:space="0" w:color="auto"/>
              <w:right w:val="single" w:sz="4" w:space="0" w:color="auto"/>
            </w:tcBorders>
            <w:vAlign w:val="center"/>
            <w:hideMark/>
          </w:tcPr>
          <w:p w14:paraId="1BD24A74" w14:textId="77777777" w:rsidR="00F9242E" w:rsidRDefault="00F9242E" w:rsidP="003C655B">
            <w:pPr>
              <w:spacing w:after="0" w:line="360" w:lineRule="auto"/>
              <w:ind w:firstLineChars="100" w:firstLine="220"/>
              <w:rPr>
                <w:rFonts w:eastAsia="Times New Roman" w:cstheme="minorHAnsi"/>
                <w:color w:val="231815"/>
                <w:kern w:val="0"/>
                <w:lang w:eastAsia="en-GB"/>
                <w14:ligatures w14:val="none"/>
              </w:rPr>
            </w:pPr>
            <w:r>
              <w:rPr>
                <w:rFonts w:eastAsia="Times New Roman" w:cstheme="minorHAnsi"/>
                <w:color w:val="231815"/>
                <w:kern w:val="0"/>
                <w:lang w:eastAsia="en-GB"/>
                <w14:ligatures w14:val="none"/>
              </w:rPr>
              <w:t>Hyperlipidaemia</w:t>
            </w:r>
          </w:p>
        </w:tc>
        <w:tc>
          <w:tcPr>
            <w:tcW w:w="2720" w:type="dxa"/>
            <w:tcBorders>
              <w:top w:val="nil"/>
              <w:left w:val="nil"/>
              <w:bottom w:val="single" w:sz="4" w:space="0" w:color="auto"/>
              <w:right w:val="single" w:sz="4" w:space="0" w:color="auto"/>
            </w:tcBorders>
            <w:vAlign w:val="center"/>
            <w:hideMark/>
          </w:tcPr>
          <w:p w14:paraId="6D7F08D9" w14:textId="77777777" w:rsidR="00F9242E" w:rsidRDefault="00F9242E" w:rsidP="003C655B">
            <w:pPr>
              <w:spacing w:after="0" w:line="360" w:lineRule="auto"/>
              <w:ind w:firstLineChars="100" w:firstLine="220"/>
              <w:rPr>
                <w:rFonts w:eastAsia="Times New Roman" w:cstheme="minorHAnsi"/>
                <w:color w:val="231815"/>
                <w:kern w:val="0"/>
                <w:lang w:eastAsia="en-GB"/>
                <w14:ligatures w14:val="none"/>
              </w:rPr>
            </w:pPr>
            <w:r>
              <w:rPr>
                <w:rFonts w:eastAsia="Times New Roman" w:cstheme="minorHAnsi"/>
                <w:color w:val="231815"/>
                <w:kern w:val="0"/>
                <w:lang w:eastAsia="en-GB"/>
                <w14:ligatures w14:val="none"/>
              </w:rPr>
              <w:t>Smoking</w:t>
            </w:r>
          </w:p>
        </w:tc>
        <w:tc>
          <w:tcPr>
            <w:tcW w:w="2267" w:type="dxa"/>
            <w:noWrap/>
            <w:vAlign w:val="bottom"/>
          </w:tcPr>
          <w:p w14:paraId="3D835C53" w14:textId="77777777" w:rsidR="00F9242E" w:rsidRDefault="00F9242E" w:rsidP="003C655B">
            <w:pPr>
              <w:spacing w:after="0" w:line="360" w:lineRule="auto"/>
              <w:ind w:firstLineChars="100" w:firstLine="220"/>
              <w:rPr>
                <w:rFonts w:eastAsia="Times New Roman" w:cstheme="minorHAnsi"/>
                <w:color w:val="231815"/>
                <w:kern w:val="0"/>
                <w:lang w:eastAsia="en-GB"/>
                <w14:ligatures w14:val="none"/>
              </w:rPr>
            </w:pPr>
          </w:p>
        </w:tc>
      </w:tr>
    </w:tbl>
    <w:p w14:paraId="20E59053" w14:textId="370F7BD0" w:rsidR="00F9242E" w:rsidRDefault="0000020B" w:rsidP="00F9242E">
      <w:pPr>
        <w:keepNext/>
        <w:keepLines/>
        <w:spacing w:before="160" w:after="80" w:line="360" w:lineRule="auto"/>
        <w:outlineLvl w:val="1"/>
        <w:rPr>
          <w:rFonts w:asciiTheme="majorHAnsi" w:eastAsiaTheme="majorEastAsia" w:hAnsiTheme="majorHAnsi" w:cstheme="majorBidi"/>
          <w:color w:val="0F4761" w:themeColor="accent1" w:themeShade="BF"/>
          <w:sz w:val="32"/>
          <w:szCs w:val="32"/>
        </w:rPr>
      </w:pPr>
      <w:r>
        <w:rPr>
          <w:rFonts w:asciiTheme="majorHAnsi" w:eastAsiaTheme="majorEastAsia" w:hAnsiTheme="majorHAnsi" w:cstheme="majorBidi"/>
          <w:color w:val="0F4761" w:themeColor="accent1" w:themeShade="BF"/>
          <w:sz w:val="32"/>
          <w:szCs w:val="32"/>
        </w:rPr>
        <w:t xml:space="preserve">Section </w:t>
      </w:r>
      <w:r>
        <w:rPr>
          <w:rFonts w:asciiTheme="majorHAnsi" w:eastAsiaTheme="majorEastAsia" w:hAnsiTheme="majorHAnsi" w:cstheme="majorBidi"/>
          <w:color w:val="0F4761" w:themeColor="accent1" w:themeShade="BF"/>
          <w:sz w:val="32"/>
          <w:szCs w:val="32"/>
        </w:rPr>
        <w:t>3</w:t>
      </w:r>
      <w:r>
        <w:rPr>
          <w:rFonts w:asciiTheme="majorHAnsi" w:eastAsiaTheme="majorEastAsia" w:hAnsiTheme="majorHAnsi" w:cstheme="majorBidi"/>
          <w:color w:val="0F4761" w:themeColor="accent1" w:themeShade="BF"/>
          <w:sz w:val="32"/>
          <w:szCs w:val="32"/>
        </w:rPr>
        <w:t xml:space="preserve">. </w:t>
      </w:r>
      <w:r w:rsidR="00F9242E">
        <w:rPr>
          <w:rFonts w:asciiTheme="majorHAnsi" w:eastAsiaTheme="majorEastAsia" w:hAnsiTheme="majorHAnsi" w:cstheme="majorBidi"/>
          <w:color w:val="0F4761" w:themeColor="accent1" w:themeShade="BF"/>
          <w:sz w:val="32"/>
          <w:szCs w:val="32"/>
        </w:rPr>
        <w:t xml:space="preserve">Preparing scoring system for knowledge, and cooking and food skills questionnaires </w:t>
      </w:r>
    </w:p>
    <w:p w14:paraId="21DE87B6" w14:textId="5B9D8B4F" w:rsidR="00F9242E" w:rsidRDefault="00F9242E" w:rsidP="00F9242E">
      <w:pPr>
        <w:spacing w:line="360" w:lineRule="auto"/>
        <w:rPr>
          <w:rFonts w:cs="Calibri"/>
        </w:rPr>
      </w:pPr>
      <w:r>
        <w:rPr>
          <w:rFonts w:eastAsia="Times New Roman" w:cstheme="minorHAnsi"/>
          <w:lang w:val="en-US" w:eastAsia="en-GB"/>
        </w:rPr>
        <w:t xml:space="preserve">After content validation, a scoring method was made based on responses to the question “How do you think the dietary </w:t>
      </w:r>
      <w:proofErr w:type="spellStart"/>
      <w:r>
        <w:rPr>
          <w:rFonts w:eastAsia="Times New Roman" w:cstheme="minorHAnsi"/>
          <w:lang w:val="en-US" w:eastAsia="en-GB"/>
        </w:rPr>
        <w:t>behaviours</w:t>
      </w:r>
      <w:proofErr w:type="spellEnd"/>
      <w:r>
        <w:rPr>
          <w:rFonts w:eastAsia="Times New Roman" w:cstheme="minorHAnsi"/>
          <w:lang w:val="en-US" w:eastAsia="en-GB"/>
        </w:rPr>
        <w:t>/lifestyle and individual factors below impact risk of AMD?” based on guidelines</w:t>
      </w:r>
      <w:r>
        <w:rPr>
          <w:rFonts w:cstheme="minorHAnsi"/>
        </w:rPr>
        <w:t xml:space="preserve"> relevant in the UK setting, or if unavailable, the available literature at the time of survey construction (2022). Guidelines referred to </w:t>
      </w:r>
      <w:proofErr w:type="spellStart"/>
      <w:proofErr w:type="gramStart"/>
      <w:r>
        <w:rPr>
          <w:rFonts w:cstheme="minorHAnsi"/>
        </w:rPr>
        <w:t>included</w:t>
      </w:r>
      <w:proofErr w:type="spellEnd"/>
      <w:proofErr w:type="gramEnd"/>
      <w:r>
        <w:rPr>
          <w:rFonts w:cstheme="minorHAnsi"/>
        </w:rPr>
        <w:t xml:space="preserve"> the National Institute for </w:t>
      </w:r>
      <w:r>
        <w:rPr>
          <w:rFonts w:cstheme="minorHAnsi"/>
        </w:rPr>
        <w:lastRenderedPageBreak/>
        <w:t>Health and Care Excellence (NICE)</w:t>
      </w:r>
      <w:r w:rsidR="00B91AB7" w:rsidRPr="005948DF">
        <w:rPr>
          <w:rFonts w:cstheme="minorHAnsi"/>
          <w:noProof/>
          <w:vertAlign w:val="superscript"/>
        </w:rPr>
        <w:t xml:space="preserve"> </w:t>
      </w:r>
      <w:proofErr w:type="gramStart"/>
      <w:r w:rsidR="00B91AB7" w:rsidRPr="005948DF">
        <w:rPr>
          <w:rFonts w:cstheme="minorHAnsi"/>
          <w:noProof/>
          <w:vertAlign w:val="superscript"/>
        </w:rPr>
        <w:t>5</w:t>
      </w:r>
      <w:r>
        <w:rPr>
          <w:rFonts w:cstheme="minorHAnsi"/>
        </w:rPr>
        <w:t>,  British</w:t>
      </w:r>
      <w:proofErr w:type="gramEnd"/>
      <w:r>
        <w:rPr>
          <w:rFonts w:cstheme="minorHAnsi"/>
        </w:rPr>
        <w:t xml:space="preserve"> Medical Journal (BMJ)</w:t>
      </w:r>
      <w:r w:rsidR="00B91AB7" w:rsidRPr="005948DF">
        <w:rPr>
          <w:rFonts w:cstheme="minorHAnsi"/>
          <w:noProof/>
          <w:vertAlign w:val="superscript"/>
        </w:rPr>
        <w:t xml:space="preserve"> 6</w:t>
      </w:r>
      <w:r>
        <w:rPr>
          <w:rFonts w:cstheme="minorHAnsi"/>
        </w:rPr>
        <w:t>, Clinical Knowledge Summaries (CKS)</w:t>
      </w:r>
      <w:r>
        <w:rPr>
          <w:rFonts w:cstheme="minorHAnsi"/>
          <w:noProof/>
          <w:vertAlign w:val="superscript"/>
        </w:rPr>
        <w:t>13</w:t>
      </w:r>
      <w:r>
        <w:rPr>
          <w:rFonts w:cstheme="minorHAnsi"/>
        </w:rPr>
        <w:t>, American Academy of Ophthalmology (AAO)</w:t>
      </w:r>
      <w:r w:rsidR="00B91AB7" w:rsidRPr="005948DF">
        <w:rPr>
          <w:rFonts w:cstheme="minorHAnsi"/>
          <w:noProof/>
          <w:vertAlign w:val="superscript"/>
        </w:rPr>
        <w:t xml:space="preserve"> 7</w:t>
      </w:r>
      <w:r>
        <w:rPr>
          <w:rFonts w:cstheme="minorHAnsi"/>
        </w:rPr>
        <w:t>, and Royal College of Ophthalmologists (RCOP)</w:t>
      </w:r>
      <w:r w:rsidR="00B91AB7" w:rsidRPr="005948DF">
        <w:rPr>
          <w:rFonts w:cstheme="minorHAnsi"/>
          <w:noProof/>
          <w:vertAlign w:val="superscript"/>
        </w:rPr>
        <w:t xml:space="preserve"> 4</w:t>
      </w:r>
      <w:r>
        <w:rPr>
          <w:rFonts w:cstheme="minorHAnsi"/>
        </w:rPr>
        <w:t xml:space="preserve"> </w:t>
      </w:r>
      <w:r>
        <w:rPr>
          <w:rFonts w:cstheme="minorHAnsi"/>
          <w:b/>
          <w:bCs/>
        </w:rPr>
        <w:t xml:space="preserve">(Tables </w:t>
      </w:r>
      <w:r w:rsidR="00941FCE">
        <w:rPr>
          <w:rFonts w:cstheme="minorHAnsi"/>
          <w:b/>
          <w:bCs/>
        </w:rPr>
        <w:t>5</w:t>
      </w:r>
      <w:r>
        <w:rPr>
          <w:rFonts w:cstheme="minorHAnsi"/>
          <w:b/>
          <w:bCs/>
        </w:rPr>
        <w:t xml:space="preserve">C and </w:t>
      </w:r>
      <w:r w:rsidR="00941FCE">
        <w:rPr>
          <w:rFonts w:cstheme="minorHAnsi"/>
          <w:b/>
          <w:bCs/>
        </w:rPr>
        <w:t>5</w:t>
      </w:r>
      <w:r>
        <w:rPr>
          <w:rFonts w:cstheme="minorHAnsi"/>
          <w:b/>
          <w:bCs/>
        </w:rPr>
        <w:t>D)</w:t>
      </w:r>
      <w:r>
        <w:rPr>
          <w:rFonts w:cstheme="minorHAnsi"/>
        </w:rPr>
        <w:t xml:space="preserve">. Since the target population would be relatives of AMD patients, the items were specified further for risk factors for incident AMD. Hence, in the lifestyle and individual risk factors questionnaire, “Being Caucasian” and cardiovascular disease were removed since guidelines (AAO and CKS respectively) considered them as risk factors for AMD progression rather than incident AMD. In the dietary questionnaire, </w:t>
      </w:r>
      <w:r>
        <w:rPr>
          <w:rFonts w:eastAsia="Times New Roman" w:cstheme="minorHAnsi"/>
          <w:lang w:val="en-US" w:eastAsia="en-GB"/>
        </w:rPr>
        <w:t>“Eating fruits”, “Eating vegetables” and “Intake of carotenoids from supplements” were removed as guidelines (BMJ and AAO) considered them as risk factors of AMD progression. There was no source for scoring from guidelines on the item “Alcohol intake”; one published commentary stated that no recommendation could be made as regards alcohol intake, hence this item was removed from the instrument</w:t>
      </w:r>
      <w:r w:rsidR="00B91AB7" w:rsidRPr="005948DF">
        <w:rPr>
          <w:rFonts w:eastAsia="Times New Roman" w:cstheme="minorHAnsi"/>
          <w:noProof/>
          <w:vertAlign w:val="superscript"/>
          <w:lang w:val="en-US" w:eastAsia="en-GB"/>
        </w:rPr>
        <w:t>12</w:t>
      </w:r>
      <w:r>
        <w:rPr>
          <w:rFonts w:eastAsia="Times New Roman" w:cstheme="minorHAnsi"/>
          <w:lang w:val="en-US" w:eastAsia="en-GB"/>
        </w:rPr>
        <w:t xml:space="preserve">. </w:t>
      </w:r>
      <w:r>
        <w:t xml:space="preserve">Missing values were also addressed during or before exploratory factor analysis (EFA).  If the participant missed an item in the diet quality questionnaire, it was assumed that the food was not consumed. Similarly, if an item in the food score and cooking questionnaire was not selected, it was assumed that the participant did not perform other food and cooking methods. Total confidence in food prepping and cooking skills were calculated from the sum across each item in the respective instruments. However, if there were no responses across the food and cooking skills instrument, the food and cook scores were considered missing. For other instruments, </w:t>
      </w:r>
      <w:r>
        <w:rPr>
          <w:rFonts w:cs="Calibri"/>
        </w:rPr>
        <w:t xml:space="preserve">missing data (n=30) were imputed using the </w:t>
      </w:r>
      <w:proofErr w:type="spellStart"/>
      <w:r>
        <w:rPr>
          <w:rFonts w:cs="Calibri"/>
        </w:rPr>
        <w:t>mifa</w:t>
      </w:r>
      <w:proofErr w:type="spellEnd"/>
      <w:r>
        <w:rPr>
          <w:rFonts w:cs="Calibri"/>
        </w:rPr>
        <w:t xml:space="preserve"> function from the </w:t>
      </w:r>
      <w:proofErr w:type="spellStart"/>
      <w:r>
        <w:rPr>
          <w:rFonts w:cs="Calibri"/>
        </w:rPr>
        <w:t>mifa</w:t>
      </w:r>
      <w:proofErr w:type="spellEnd"/>
      <w:r>
        <w:rPr>
          <w:rFonts w:cs="Calibri"/>
        </w:rPr>
        <w:t xml:space="preserve"> package in R (V 0.2.0) and then proceeded to EFA analysis</w:t>
      </w:r>
      <w:r w:rsidR="00B91AB7" w:rsidRPr="005948DF">
        <w:rPr>
          <w:rFonts w:cs="Calibri"/>
          <w:noProof/>
          <w:vertAlign w:val="superscript"/>
        </w:rPr>
        <w:t>13</w:t>
      </w:r>
      <w:r>
        <w:rPr>
          <w:rFonts w:cs="Calibri"/>
        </w:rPr>
        <w:t>.</w:t>
      </w:r>
    </w:p>
    <w:p w14:paraId="70E9DB0F" w14:textId="77777777" w:rsidR="00F9242E" w:rsidRDefault="00F9242E" w:rsidP="00F9242E">
      <w:pPr>
        <w:spacing w:after="0" w:line="360" w:lineRule="auto"/>
        <w:rPr>
          <w:rFonts w:eastAsia="Times New Roman" w:cstheme="minorHAnsi"/>
          <w:kern w:val="0"/>
          <w:lang w:val="en-US" w:eastAsia="en-GB"/>
          <w14:ligatures w14:val="none"/>
        </w:rPr>
      </w:pPr>
    </w:p>
    <w:p w14:paraId="56E88D5A" w14:textId="77777777" w:rsidR="00F817B7" w:rsidRDefault="00F817B7" w:rsidP="00F9242E">
      <w:pPr>
        <w:spacing w:after="0" w:line="360" w:lineRule="auto"/>
        <w:rPr>
          <w:rFonts w:eastAsia="Times New Roman" w:cstheme="minorHAnsi"/>
          <w:kern w:val="0"/>
          <w:lang w:val="en-US" w:eastAsia="en-GB"/>
          <w14:ligatures w14:val="none"/>
        </w:rPr>
      </w:pPr>
    </w:p>
    <w:p w14:paraId="71091680" w14:textId="77777777" w:rsidR="00F817B7" w:rsidRDefault="00F817B7" w:rsidP="00F9242E">
      <w:pPr>
        <w:spacing w:after="0" w:line="360" w:lineRule="auto"/>
        <w:rPr>
          <w:rFonts w:eastAsia="Times New Roman" w:cstheme="minorHAnsi"/>
          <w:kern w:val="0"/>
          <w:lang w:val="en-US" w:eastAsia="en-GB"/>
          <w14:ligatures w14:val="none"/>
        </w:rPr>
        <w:sectPr w:rsidR="00F817B7" w:rsidSect="00F9242E">
          <w:pgSz w:w="11906" w:h="16838"/>
          <w:pgMar w:top="1440" w:right="1440" w:bottom="1440" w:left="1440" w:header="708" w:footer="708" w:gutter="0"/>
          <w:lnNumType w:countBy="1" w:restart="continuous"/>
          <w:cols w:space="720"/>
        </w:sectPr>
      </w:pPr>
    </w:p>
    <w:p w14:paraId="04B10DFC" w14:textId="374BE4D7" w:rsidR="00F9242E" w:rsidRDefault="00E33D36" w:rsidP="00F9242E">
      <w:pPr>
        <w:keepNext/>
        <w:keepLines/>
        <w:spacing w:before="160" w:after="80"/>
        <w:outlineLvl w:val="2"/>
        <w:rPr>
          <w:rFonts w:eastAsiaTheme="majorEastAsia" w:cstheme="majorBidi"/>
          <w:color w:val="0F4761" w:themeColor="accent1" w:themeShade="BF"/>
          <w:sz w:val="28"/>
          <w:szCs w:val="28"/>
        </w:rPr>
      </w:pPr>
      <w:r>
        <w:rPr>
          <w:rFonts w:eastAsiaTheme="majorEastAsia" w:cstheme="majorBidi"/>
          <w:color w:val="0F4761" w:themeColor="accent1" w:themeShade="BF"/>
          <w:sz w:val="28"/>
          <w:szCs w:val="28"/>
        </w:rPr>
        <w:lastRenderedPageBreak/>
        <w:t>T5</w:t>
      </w:r>
      <w:r w:rsidR="00F9242E">
        <w:rPr>
          <w:rFonts w:eastAsiaTheme="majorEastAsia" w:cstheme="majorBidi"/>
          <w:color w:val="0F4761" w:themeColor="accent1" w:themeShade="BF"/>
          <w:sz w:val="28"/>
          <w:szCs w:val="28"/>
        </w:rPr>
        <w:t>C. The scoring system of the knowledge questionnaire on the risk of dietary risk factors on developing AMD is based on current best practice guidelines.</w:t>
      </w:r>
    </w:p>
    <w:tbl>
      <w:tblPr>
        <w:tblW w:w="14591" w:type="dxa"/>
        <w:tblBorders>
          <w:top w:val="single" w:sz="8" w:space="0" w:color="A3A3A3"/>
          <w:left w:val="single" w:sz="8" w:space="0" w:color="A3A3A3"/>
          <w:bottom w:val="single" w:sz="8" w:space="0" w:color="A3A3A3"/>
          <w:right w:val="single" w:sz="8" w:space="0" w:color="A3A3A3"/>
        </w:tblBorders>
        <w:shd w:val="clear" w:color="auto" w:fill="FFFFFF" w:themeFill="background1"/>
        <w:tblCellMar>
          <w:left w:w="0" w:type="dxa"/>
          <w:right w:w="0" w:type="dxa"/>
        </w:tblCellMar>
        <w:tblLook w:val="04A0" w:firstRow="1" w:lastRow="0" w:firstColumn="1" w:lastColumn="0" w:noHBand="0" w:noVBand="1"/>
      </w:tblPr>
      <w:tblGrid>
        <w:gridCol w:w="4446"/>
        <w:gridCol w:w="2023"/>
        <w:gridCol w:w="2256"/>
        <w:gridCol w:w="1475"/>
        <w:gridCol w:w="1201"/>
        <w:gridCol w:w="3190"/>
      </w:tblGrid>
      <w:tr w:rsidR="00F9242E" w14:paraId="5B4111CC" w14:textId="77777777" w:rsidTr="00DE5DF8">
        <w:trPr>
          <w:trHeight w:val="206"/>
        </w:trPr>
        <w:tc>
          <w:tcPr>
            <w:tcW w:w="4446"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17723C2A" w14:textId="77777777" w:rsidR="00F9242E" w:rsidRDefault="00F9242E" w:rsidP="003C655B">
            <w:pPr>
              <w:spacing w:after="0" w:line="360" w:lineRule="auto"/>
              <w:jc w:val="center"/>
              <w:rPr>
                <w:rFonts w:eastAsia="Times New Roman" w:cstheme="minorHAnsi"/>
                <w:kern w:val="0"/>
                <w:lang w:eastAsia="en-GB"/>
                <w14:ligatures w14:val="none"/>
              </w:rPr>
            </w:pPr>
            <w:r>
              <w:rPr>
                <w:rFonts w:eastAsia="Times New Roman" w:cstheme="minorHAnsi"/>
                <w:kern w:val="0"/>
                <w:lang w:eastAsia="en-GB"/>
                <w14:ligatures w14:val="none"/>
              </w:rPr>
              <w:t>How do you think the dietary behaviours below impact risk of AMD?</w:t>
            </w:r>
          </w:p>
        </w:tc>
        <w:tc>
          <w:tcPr>
            <w:tcW w:w="202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147AD2E7" w14:textId="77777777" w:rsidR="00F9242E" w:rsidRDefault="00F9242E" w:rsidP="003C655B">
            <w:pPr>
              <w:spacing w:after="0" w:line="360" w:lineRule="auto"/>
              <w:jc w:val="center"/>
              <w:rPr>
                <w:rFonts w:eastAsia="Times New Roman" w:cstheme="minorHAnsi"/>
                <w:kern w:val="0"/>
                <w:lang w:eastAsia="en-GB"/>
                <w14:ligatures w14:val="none"/>
              </w:rPr>
            </w:pPr>
            <w:r>
              <w:rPr>
                <w:rFonts w:eastAsia="Times New Roman" w:cstheme="minorHAnsi"/>
                <w:kern w:val="0"/>
                <w:lang w:eastAsia="en-GB"/>
                <w14:ligatures w14:val="none"/>
              </w:rPr>
              <w:t>INCREASES RISK</w:t>
            </w:r>
          </w:p>
        </w:tc>
        <w:tc>
          <w:tcPr>
            <w:tcW w:w="2256"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46F9B1DF" w14:textId="77777777" w:rsidR="00F9242E" w:rsidRDefault="00F9242E" w:rsidP="003C655B">
            <w:pPr>
              <w:spacing w:after="0" w:line="360" w:lineRule="auto"/>
              <w:jc w:val="center"/>
              <w:rPr>
                <w:rFonts w:eastAsia="Times New Roman" w:cstheme="minorHAnsi"/>
                <w:kern w:val="0"/>
                <w:lang w:eastAsia="en-GB"/>
                <w14:ligatures w14:val="none"/>
              </w:rPr>
            </w:pPr>
            <w:r>
              <w:rPr>
                <w:rFonts w:eastAsia="Times New Roman" w:cstheme="minorHAnsi"/>
                <w:kern w:val="0"/>
                <w:lang w:eastAsia="en-GB"/>
                <w14:ligatures w14:val="none"/>
              </w:rPr>
              <w:t>DECREASES RISK</w:t>
            </w:r>
          </w:p>
        </w:tc>
        <w:tc>
          <w:tcPr>
            <w:tcW w:w="1475"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74299C90" w14:textId="77777777" w:rsidR="00F9242E" w:rsidRDefault="00F9242E" w:rsidP="003C655B">
            <w:pPr>
              <w:spacing w:after="0" w:line="360" w:lineRule="auto"/>
              <w:jc w:val="center"/>
              <w:rPr>
                <w:rFonts w:eastAsia="Times New Roman" w:cstheme="minorHAnsi"/>
                <w:kern w:val="0"/>
                <w:lang w:eastAsia="en-GB"/>
                <w14:ligatures w14:val="none"/>
              </w:rPr>
            </w:pPr>
            <w:r>
              <w:rPr>
                <w:rFonts w:eastAsia="Times New Roman" w:cstheme="minorHAnsi"/>
                <w:kern w:val="0"/>
                <w:lang w:eastAsia="en-GB"/>
                <w14:ligatures w14:val="none"/>
              </w:rPr>
              <w:t>NO EFFECT</w:t>
            </w:r>
          </w:p>
        </w:tc>
        <w:tc>
          <w:tcPr>
            <w:tcW w:w="1201"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7B68375F" w14:textId="77777777" w:rsidR="00F9242E" w:rsidRDefault="00F9242E" w:rsidP="003C655B">
            <w:pPr>
              <w:spacing w:after="0" w:line="360" w:lineRule="auto"/>
              <w:jc w:val="center"/>
              <w:rPr>
                <w:rFonts w:eastAsia="Times New Roman" w:cstheme="minorHAnsi"/>
                <w:kern w:val="0"/>
                <w:lang w:eastAsia="en-GB"/>
                <w14:ligatures w14:val="none"/>
              </w:rPr>
            </w:pPr>
            <w:r>
              <w:rPr>
                <w:rFonts w:eastAsia="Times New Roman" w:cstheme="minorHAnsi"/>
                <w:kern w:val="0"/>
                <w:lang w:eastAsia="en-GB"/>
                <w14:ligatures w14:val="none"/>
              </w:rPr>
              <w:t>DON'T KNOW</w:t>
            </w:r>
          </w:p>
        </w:tc>
        <w:tc>
          <w:tcPr>
            <w:tcW w:w="31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6821297A" w14:textId="77777777" w:rsidR="00F9242E" w:rsidRDefault="00F9242E" w:rsidP="003C655B">
            <w:pPr>
              <w:spacing w:after="0" w:line="360" w:lineRule="auto"/>
              <w:jc w:val="center"/>
              <w:rPr>
                <w:rFonts w:eastAsia="Times New Roman" w:cstheme="minorHAnsi"/>
                <w:kern w:val="0"/>
                <w:lang w:eastAsia="en-GB"/>
                <w14:ligatures w14:val="none"/>
              </w:rPr>
            </w:pPr>
            <w:r>
              <w:rPr>
                <w:rFonts w:eastAsia="Times New Roman" w:cstheme="minorHAnsi"/>
                <w:kern w:val="0"/>
                <w:lang w:eastAsia="en-GB"/>
                <w14:ligatures w14:val="none"/>
              </w:rPr>
              <w:t>Source</w:t>
            </w:r>
          </w:p>
        </w:tc>
      </w:tr>
      <w:tr w:rsidR="00F9242E" w14:paraId="2FAD55DA" w14:textId="77777777" w:rsidTr="00DE5DF8">
        <w:trPr>
          <w:trHeight w:val="421"/>
        </w:trPr>
        <w:tc>
          <w:tcPr>
            <w:tcW w:w="4446"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6A54AF33" w14:textId="77777777" w:rsidR="00F9242E" w:rsidRDefault="00F9242E" w:rsidP="003C655B">
            <w:pPr>
              <w:spacing w:after="0" w:line="360" w:lineRule="auto"/>
              <w:jc w:val="center"/>
              <w:rPr>
                <w:rFonts w:eastAsia="Times New Roman" w:cstheme="minorHAnsi"/>
                <w:kern w:val="0"/>
                <w:lang w:val="en-US" w:eastAsia="en-GB"/>
                <w14:ligatures w14:val="none"/>
              </w:rPr>
            </w:pPr>
            <w:r>
              <w:rPr>
                <w:rFonts w:eastAsia="Times New Roman" w:cstheme="minorHAnsi"/>
                <w:kern w:val="0"/>
                <w:lang w:val="en-US" w:eastAsia="en-GB"/>
                <w14:ligatures w14:val="none"/>
              </w:rPr>
              <w:t xml:space="preserve">Intake of carotenoids (a substance found highly in foods like fruits and vegetables) </w:t>
            </w:r>
          </w:p>
        </w:tc>
        <w:tc>
          <w:tcPr>
            <w:tcW w:w="202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4DD22D8A" w14:textId="77777777" w:rsidR="00F9242E" w:rsidRDefault="00F9242E" w:rsidP="003C655B">
            <w:pPr>
              <w:spacing w:after="0" w:line="360" w:lineRule="auto"/>
              <w:jc w:val="center"/>
              <w:rPr>
                <w:rFonts w:eastAsia="Times New Roman" w:cstheme="minorHAnsi"/>
                <w:kern w:val="0"/>
                <w:lang w:eastAsia="en-GB"/>
                <w14:ligatures w14:val="none"/>
              </w:rPr>
            </w:pPr>
            <w:r>
              <w:rPr>
                <w:rFonts w:eastAsia="Times New Roman" w:cstheme="minorHAnsi"/>
                <w:kern w:val="0"/>
                <w:lang w:eastAsia="en-GB"/>
                <w14:ligatures w14:val="none"/>
              </w:rPr>
              <w:t> -1.5</w:t>
            </w:r>
          </w:p>
        </w:tc>
        <w:tc>
          <w:tcPr>
            <w:tcW w:w="2256"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1329E432" w14:textId="77777777" w:rsidR="00F9242E" w:rsidRDefault="00F9242E" w:rsidP="003C655B">
            <w:pPr>
              <w:rPr>
                <w:rFonts w:eastAsia="Times New Roman" w:cstheme="minorHAnsi"/>
                <w:kern w:val="0"/>
                <w:lang w:eastAsia="en-GB"/>
                <w14:ligatures w14:val="none"/>
              </w:rPr>
            </w:pPr>
          </w:p>
        </w:tc>
        <w:tc>
          <w:tcPr>
            <w:tcW w:w="1475"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49241C91" w14:textId="77777777" w:rsidR="00F9242E" w:rsidRDefault="00F9242E" w:rsidP="003C655B">
            <w:pPr>
              <w:spacing w:after="0" w:line="360" w:lineRule="auto"/>
              <w:jc w:val="center"/>
              <w:rPr>
                <w:rFonts w:eastAsia="Times New Roman" w:cstheme="minorHAnsi"/>
                <w:kern w:val="0"/>
                <w:lang w:val="en-US" w:eastAsia="en-GB"/>
                <w14:ligatures w14:val="none"/>
              </w:rPr>
            </w:pPr>
            <w:r>
              <w:rPr>
                <w:rFonts w:eastAsia="Times New Roman" w:cstheme="minorHAnsi"/>
                <w:kern w:val="0"/>
                <w:lang w:val="en-US" w:eastAsia="en-GB"/>
                <w14:ligatures w14:val="none"/>
              </w:rPr>
              <w:t> </w:t>
            </w:r>
          </w:p>
        </w:tc>
        <w:tc>
          <w:tcPr>
            <w:tcW w:w="1201"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0968CEAE" w14:textId="77777777" w:rsidR="00F9242E" w:rsidRDefault="00F9242E" w:rsidP="003C655B">
            <w:pPr>
              <w:spacing w:after="0" w:line="360" w:lineRule="auto"/>
              <w:jc w:val="center"/>
              <w:rPr>
                <w:rFonts w:eastAsia="Times New Roman" w:cstheme="minorHAnsi"/>
                <w:kern w:val="0"/>
                <w:lang w:val="en-US" w:eastAsia="en-GB"/>
                <w14:ligatures w14:val="none"/>
              </w:rPr>
            </w:pPr>
            <w:r>
              <w:rPr>
                <w:rFonts w:eastAsia="Times New Roman" w:cstheme="minorHAnsi"/>
                <w:kern w:val="0"/>
                <w:lang w:val="en-US" w:eastAsia="en-GB"/>
                <w14:ligatures w14:val="none"/>
              </w:rPr>
              <w:t> </w:t>
            </w:r>
          </w:p>
        </w:tc>
        <w:tc>
          <w:tcPr>
            <w:tcW w:w="31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14CDA12F" w14:textId="77777777" w:rsidR="00F9242E" w:rsidRDefault="00F9242E" w:rsidP="003C655B">
            <w:pPr>
              <w:spacing w:after="0" w:line="360" w:lineRule="auto"/>
              <w:rPr>
                <w:rFonts w:eastAsia="Times New Roman" w:cstheme="minorHAnsi"/>
                <w:kern w:val="0"/>
                <w:lang w:eastAsia="en-GB"/>
                <w14:ligatures w14:val="none"/>
              </w:rPr>
            </w:pPr>
            <w:proofErr w:type="spellStart"/>
            <w:proofErr w:type="gramStart"/>
            <w:r>
              <w:rPr>
                <w:rFonts w:eastAsia="Times New Roman" w:cstheme="minorHAnsi"/>
                <w:kern w:val="0"/>
                <w:lang w:eastAsia="en-GB"/>
                <w14:ligatures w14:val="none"/>
              </w:rPr>
              <w:t>NICE:a</w:t>
            </w:r>
            <w:proofErr w:type="spellEnd"/>
            <w:proofErr w:type="gramEnd"/>
            <w:r>
              <w:rPr>
                <w:rFonts w:eastAsia="Times New Roman" w:cstheme="minorHAnsi"/>
                <w:kern w:val="0"/>
                <w:lang w:eastAsia="en-GB"/>
                <w14:ligatures w14:val="none"/>
              </w:rPr>
              <w:t xml:space="preserve"> diet low in carotenoids is a risk factor of AMD. They do not say carotenoids decrease risk of AMD. Hence, this is reflected in the scoring. </w:t>
            </w:r>
          </w:p>
        </w:tc>
      </w:tr>
      <w:tr w:rsidR="00F9242E" w14:paraId="7E84AAFA" w14:textId="77777777" w:rsidTr="003C655B">
        <w:trPr>
          <w:trHeight w:val="238"/>
        </w:trPr>
        <w:tc>
          <w:tcPr>
            <w:tcW w:w="4446"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27C35481" w14:textId="77777777" w:rsidR="00F9242E" w:rsidRDefault="00F9242E" w:rsidP="003C655B">
            <w:pPr>
              <w:spacing w:after="0" w:line="360" w:lineRule="auto"/>
              <w:jc w:val="center"/>
              <w:rPr>
                <w:rFonts w:eastAsia="Times New Roman" w:cstheme="minorHAnsi"/>
                <w:kern w:val="0"/>
                <w:lang w:val="en-US" w:eastAsia="en-GB"/>
                <w14:ligatures w14:val="none"/>
              </w:rPr>
            </w:pPr>
            <w:r>
              <w:rPr>
                <w:rFonts w:eastAsia="Times New Roman" w:cstheme="minorHAnsi"/>
                <w:kern w:val="0"/>
                <w:lang w:val="en-US" w:eastAsia="en-GB"/>
                <w14:ligatures w14:val="none"/>
              </w:rPr>
              <w:t xml:space="preserve">Eating fish </w:t>
            </w:r>
          </w:p>
        </w:tc>
        <w:tc>
          <w:tcPr>
            <w:tcW w:w="2023"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0B8D9735" w14:textId="77777777" w:rsidR="00F9242E" w:rsidRDefault="00F9242E" w:rsidP="003C655B">
            <w:pPr>
              <w:spacing w:after="0" w:line="360" w:lineRule="auto"/>
              <w:jc w:val="center"/>
              <w:rPr>
                <w:rFonts w:eastAsia="Times New Roman" w:cstheme="minorHAnsi"/>
                <w:kern w:val="0"/>
                <w:lang w:val="en-US" w:eastAsia="en-GB"/>
                <w14:ligatures w14:val="none"/>
              </w:rPr>
            </w:pPr>
            <w:r>
              <w:rPr>
                <w:rFonts w:eastAsia="Times New Roman" w:cstheme="minorHAnsi"/>
                <w:kern w:val="0"/>
                <w:lang w:val="en-US" w:eastAsia="en-GB"/>
                <w14:ligatures w14:val="none"/>
              </w:rPr>
              <w:t> </w:t>
            </w:r>
          </w:p>
        </w:tc>
        <w:tc>
          <w:tcPr>
            <w:tcW w:w="2256"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51EE8486" w14:textId="77777777" w:rsidR="00F9242E" w:rsidRDefault="00F9242E" w:rsidP="003C655B">
            <w:pPr>
              <w:spacing w:after="0" w:line="360" w:lineRule="auto"/>
              <w:jc w:val="center"/>
              <w:rPr>
                <w:rFonts w:eastAsia="Times New Roman" w:cstheme="minorHAnsi"/>
                <w:kern w:val="0"/>
                <w:lang w:eastAsia="en-GB"/>
                <w14:ligatures w14:val="none"/>
              </w:rPr>
            </w:pPr>
            <w:r>
              <w:rPr>
                <w:rFonts w:eastAsia="Times New Roman" w:cstheme="minorHAnsi"/>
                <w:kern w:val="0"/>
                <w:lang w:eastAsia="en-GB"/>
                <w14:ligatures w14:val="none"/>
              </w:rPr>
              <w:t>+1</w:t>
            </w:r>
          </w:p>
        </w:tc>
        <w:tc>
          <w:tcPr>
            <w:tcW w:w="1475"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465EF254" w14:textId="77777777" w:rsidR="00F9242E" w:rsidRDefault="00F9242E" w:rsidP="003C655B">
            <w:pPr>
              <w:spacing w:after="0" w:line="360" w:lineRule="auto"/>
              <w:jc w:val="center"/>
              <w:rPr>
                <w:rFonts w:eastAsia="Times New Roman" w:cstheme="minorHAnsi"/>
                <w:kern w:val="0"/>
                <w:lang w:val="en-US" w:eastAsia="en-GB"/>
                <w14:ligatures w14:val="none"/>
              </w:rPr>
            </w:pPr>
            <w:r>
              <w:rPr>
                <w:rFonts w:eastAsia="Times New Roman" w:cstheme="minorHAnsi"/>
                <w:kern w:val="0"/>
                <w:lang w:val="en-US" w:eastAsia="en-GB"/>
                <w14:ligatures w14:val="none"/>
              </w:rPr>
              <w:t> </w:t>
            </w:r>
          </w:p>
        </w:tc>
        <w:tc>
          <w:tcPr>
            <w:tcW w:w="1201"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43835EB3" w14:textId="77777777" w:rsidR="00F9242E" w:rsidRDefault="00F9242E" w:rsidP="003C655B">
            <w:pPr>
              <w:spacing w:after="0" w:line="360" w:lineRule="auto"/>
              <w:jc w:val="center"/>
              <w:rPr>
                <w:rFonts w:eastAsia="Times New Roman" w:cstheme="minorHAnsi"/>
                <w:kern w:val="0"/>
                <w:lang w:val="en-US" w:eastAsia="en-GB"/>
                <w14:ligatures w14:val="none"/>
              </w:rPr>
            </w:pPr>
            <w:r>
              <w:rPr>
                <w:rFonts w:eastAsia="Times New Roman" w:cstheme="minorHAnsi"/>
                <w:kern w:val="0"/>
                <w:lang w:val="en-US" w:eastAsia="en-GB"/>
                <w14:ligatures w14:val="none"/>
              </w:rPr>
              <w:t> </w:t>
            </w:r>
          </w:p>
        </w:tc>
        <w:tc>
          <w:tcPr>
            <w:tcW w:w="319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21D4DF3B" w14:textId="77777777" w:rsidR="00F9242E" w:rsidRDefault="00F9242E" w:rsidP="003C655B">
            <w:pPr>
              <w:spacing w:after="0" w:line="360" w:lineRule="auto"/>
              <w:jc w:val="center"/>
              <w:rPr>
                <w:rFonts w:eastAsia="Times New Roman" w:cstheme="minorHAnsi"/>
                <w:kern w:val="0"/>
                <w:lang w:eastAsia="en-GB"/>
                <w14:ligatures w14:val="none"/>
              </w:rPr>
            </w:pPr>
            <w:r>
              <w:rPr>
                <w:rFonts w:eastAsia="Times New Roman" w:cstheme="minorHAnsi"/>
                <w:kern w:val="0"/>
                <w:lang w:eastAsia="en-GB"/>
                <w14:ligatures w14:val="none"/>
              </w:rPr>
              <w:t xml:space="preserve">BMJ </w:t>
            </w:r>
          </w:p>
        </w:tc>
      </w:tr>
      <w:tr w:rsidR="00F9242E" w14:paraId="3CA9547F" w14:textId="77777777" w:rsidTr="003C655B">
        <w:trPr>
          <w:trHeight w:val="421"/>
        </w:trPr>
        <w:tc>
          <w:tcPr>
            <w:tcW w:w="4446"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42A04323" w14:textId="77777777" w:rsidR="00F9242E" w:rsidRDefault="00F9242E" w:rsidP="003C655B">
            <w:pPr>
              <w:spacing w:after="0" w:line="360" w:lineRule="auto"/>
              <w:jc w:val="center"/>
              <w:rPr>
                <w:rFonts w:eastAsia="Times New Roman" w:cstheme="minorHAnsi"/>
                <w:kern w:val="0"/>
                <w:lang w:eastAsia="en-GB"/>
                <w14:ligatures w14:val="none"/>
              </w:rPr>
            </w:pPr>
            <w:r>
              <w:rPr>
                <w:rFonts w:eastAsia="Times New Roman" w:cstheme="minorHAnsi"/>
                <w:kern w:val="0"/>
                <w:lang w:eastAsia="en-GB"/>
                <w14:ligatures w14:val="none"/>
              </w:rPr>
              <w:t>Intake of saturated fats (these are a specific type of fat high in red meat, cheese and milk)</w:t>
            </w:r>
            <w:r>
              <w:rPr>
                <w:rFonts w:eastAsia="Times New Roman" w:cstheme="minorHAnsi"/>
                <w:kern w:val="0"/>
                <w:lang w:val="en-US" w:eastAsia="en-GB"/>
                <w14:ligatures w14:val="none"/>
              </w:rPr>
              <w:t xml:space="preserve"> </w:t>
            </w:r>
          </w:p>
        </w:tc>
        <w:tc>
          <w:tcPr>
            <w:tcW w:w="2023"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193C7B8C" w14:textId="77777777" w:rsidR="00F9242E" w:rsidRDefault="00F9242E" w:rsidP="003C655B">
            <w:pPr>
              <w:spacing w:after="0" w:line="360" w:lineRule="auto"/>
              <w:jc w:val="center"/>
              <w:rPr>
                <w:rFonts w:eastAsia="Times New Roman" w:cstheme="minorHAnsi"/>
                <w:kern w:val="0"/>
                <w:lang w:eastAsia="en-GB"/>
                <w14:ligatures w14:val="none"/>
              </w:rPr>
            </w:pPr>
            <w:r>
              <w:rPr>
                <w:rFonts w:eastAsia="Times New Roman" w:cstheme="minorHAnsi"/>
                <w:kern w:val="0"/>
                <w:lang w:eastAsia="en-GB"/>
                <w14:ligatures w14:val="none"/>
              </w:rPr>
              <w:t>+1</w:t>
            </w:r>
          </w:p>
        </w:tc>
        <w:tc>
          <w:tcPr>
            <w:tcW w:w="2256"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405C5791" w14:textId="77777777" w:rsidR="00F9242E" w:rsidRDefault="00F9242E" w:rsidP="003C655B">
            <w:pPr>
              <w:rPr>
                <w:rFonts w:eastAsia="Times New Roman" w:cstheme="minorHAnsi"/>
                <w:kern w:val="0"/>
                <w:lang w:eastAsia="en-GB"/>
                <w14:ligatures w14:val="none"/>
              </w:rPr>
            </w:pPr>
          </w:p>
        </w:tc>
        <w:tc>
          <w:tcPr>
            <w:tcW w:w="1475"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319827E0" w14:textId="77777777" w:rsidR="00F9242E" w:rsidRDefault="00F9242E" w:rsidP="003C655B">
            <w:pPr>
              <w:spacing w:after="0" w:line="360" w:lineRule="auto"/>
              <w:jc w:val="center"/>
              <w:rPr>
                <w:rFonts w:eastAsia="Times New Roman" w:cstheme="minorHAnsi"/>
                <w:kern w:val="0"/>
                <w:lang w:val="en-US" w:eastAsia="en-GB"/>
                <w14:ligatures w14:val="none"/>
              </w:rPr>
            </w:pPr>
            <w:r>
              <w:rPr>
                <w:rFonts w:eastAsia="Times New Roman" w:cstheme="minorHAnsi"/>
                <w:kern w:val="0"/>
                <w:lang w:val="en-US" w:eastAsia="en-GB"/>
                <w14:ligatures w14:val="none"/>
              </w:rPr>
              <w:t> </w:t>
            </w:r>
          </w:p>
        </w:tc>
        <w:tc>
          <w:tcPr>
            <w:tcW w:w="1201"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353E79D1" w14:textId="77777777" w:rsidR="00F9242E" w:rsidRDefault="00F9242E" w:rsidP="003C655B">
            <w:pPr>
              <w:spacing w:after="0" w:line="360" w:lineRule="auto"/>
              <w:jc w:val="center"/>
              <w:rPr>
                <w:rFonts w:eastAsia="Times New Roman" w:cstheme="minorHAnsi"/>
                <w:kern w:val="0"/>
                <w:lang w:val="en-US" w:eastAsia="en-GB"/>
                <w14:ligatures w14:val="none"/>
              </w:rPr>
            </w:pPr>
            <w:r>
              <w:rPr>
                <w:rFonts w:eastAsia="Times New Roman" w:cstheme="minorHAnsi"/>
                <w:kern w:val="0"/>
                <w:lang w:val="en-US" w:eastAsia="en-GB"/>
                <w14:ligatures w14:val="none"/>
              </w:rPr>
              <w:t> </w:t>
            </w:r>
          </w:p>
        </w:tc>
        <w:tc>
          <w:tcPr>
            <w:tcW w:w="319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38D41EAB" w14:textId="77777777" w:rsidR="00F9242E" w:rsidRDefault="00F9242E" w:rsidP="003C655B">
            <w:pPr>
              <w:spacing w:after="0" w:line="360" w:lineRule="auto"/>
              <w:jc w:val="center"/>
              <w:rPr>
                <w:rFonts w:eastAsia="Times New Roman" w:cstheme="minorHAnsi"/>
                <w:kern w:val="0"/>
                <w:lang w:eastAsia="en-GB"/>
                <w14:ligatures w14:val="none"/>
              </w:rPr>
            </w:pPr>
            <w:r>
              <w:rPr>
                <w:rFonts w:eastAsia="Times New Roman" w:cstheme="minorHAnsi"/>
                <w:kern w:val="0"/>
                <w:lang w:eastAsia="en-GB"/>
                <w14:ligatures w14:val="none"/>
              </w:rPr>
              <w:t xml:space="preserve">NICE </w:t>
            </w:r>
          </w:p>
        </w:tc>
      </w:tr>
      <w:tr w:rsidR="00F9242E" w14:paraId="736F5083" w14:textId="77777777" w:rsidTr="003C655B">
        <w:trPr>
          <w:trHeight w:val="313"/>
        </w:trPr>
        <w:tc>
          <w:tcPr>
            <w:tcW w:w="4446"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471B65D3" w14:textId="77777777" w:rsidR="00F9242E" w:rsidRDefault="00F9242E" w:rsidP="003C655B">
            <w:pPr>
              <w:spacing w:after="0" w:line="360" w:lineRule="auto"/>
              <w:jc w:val="center"/>
              <w:rPr>
                <w:rFonts w:eastAsia="Times New Roman" w:cstheme="minorHAnsi"/>
                <w:kern w:val="0"/>
                <w:lang w:eastAsia="en-GB"/>
                <w14:ligatures w14:val="none"/>
              </w:rPr>
            </w:pPr>
            <w:r>
              <w:rPr>
                <w:rFonts w:eastAsia="Times New Roman" w:cstheme="minorHAnsi"/>
                <w:kern w:val="0"/>
                <w:lang w:eastAsia="en-GB"/>
                <w14:ligatures w14:val="none"/>
              </w:rPr>
              <w:t>Intake of omega-3 and omega-6 fats (these are also specific types of fat)</w:t>
            </w:r>
          </w:p>
        </w:tc>
        <w:tc>
          <w:tcPr>
            <w:tcW w:w="2023"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011E39C1" w14:textId="77777777" w:rsidR="00F9242E" w:rsidRDefault="00F9242E" w:rsidP="003C655B">
            <w:pPr>
              <w:spacing w:after="0" w:line="360" w:lineRule="auto"/>
              <w:jc w:val="center"/>
              <w:rPr>
                <w:rFonts w:eastAsia="Times New Roman" w:cstheme="minorHAnsi"/>
                <w:kern w:val="0"/>
                <w:lang w:eastAsia="en-GB"/>
                <w14:ligatures w14:val="none"/>
              </w:rPr>
            </w:pPr>
            <w:r>
              <w:rPr>
                <w:rFonts w:eastAsia="Times New Roman" w:cstheme="minorHAnsi"/>
                <w:kern w:val="0"/>
                <w:lang w:eastAsia="en-GB"/>
                <w14:ligatures w14:val="none"/>
              </w:rPr>
              <w:t>-1.5</w:t>
            </w:r>
          </w:p>
        </w:tc>
        <w:tc>
          <w:tcPr>
            <w:tcW w:w="2256"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7F9A5C61" w14:textId="77777777" w:rsidR="00F9242E" w:rsidRDefault="00F9242E" w:rsidP="003C655B">
            <w:pPr>
              <w:rPr>
                <w:rFonts w:eastAsia="Times New Roman" w:cstheme="minorHAnsi"/>
                <w:kern w:val="0"/>
                <w:lang w:eastAsia="en-GB"/>
                <w14:ligatures w14:val="none"/>
              </w:rPr>
            </w:pPr>
          </w:p>
        </w:tc>
        <w:tc>
          <w:tcPr>
            <w:tcW w:w="1475"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5FD6E914" w14:textId="77777777" w:rsidR="00F9242E" w:rsidRDefault="00F9242E" w:rsidP="003C655B">
            <w:pPr>
              <w:spacing w:after="0" w:line="360" w:lineRule="auto"/>
              <w:jc w:val="center"/>
              <w:rPr>
                <w:rFonts w:eastAsia="Times New Roman" w:cstheme="minorHAnsi"/>
                <w:kern w:val="0"/>
                <w:lang w:val="en-US" w:eastAsia="en-GB"/>
                <w14:ligatures w14:val="none"/>
              </w:rPr>
            </w:pPr>
            <w:r>
              <w:rPr>
                <w:rFonts w:eastAsia="Times New Roman" w:cstheme="minorHAnsi"/>
                <w:kern w:val="0"/>
                <w:lang w:val="en-US" w:eastAsia="en-GB"/>
                <w14:ligatures w14:val="none"/>
              </w:rPr>
              <w:t> </w:t>
            </w:r>
          </w:p>
        </w:tc>
        <w:tc>
          <w:tcPr>
            <w:tcW w:w="1201"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52B88299" w14:textId="77777777" w:rsidR="00F9242E" w:rsidRDefault="00F9242E" w:rsidP="003C655B">
            <w:pPr>
              <w:spacing w:after="0" w:line="360" w:lineRule="auto"/>
              <w:jc w:val="center"/>
              <w:rPr>
                <w:rFonts w:eastAsia="Times New Roman" w:cstheme="minorHAnsi"/>
                <w:kern w:val="0"/>
                <w:lang w:val="en-US" w:eastAsia="en-GB"/>
                <w14:ligatures w14:val="none"/>
              </w:rPr>
            </w:pPr>
            <w:r>
              <w:rPr>
                <w:rFonts w:eastAsia="Times New Roman" w:cstheme="minorHAnsi"/>
                <w:kern w:val="0"/>
                <w:lang w:val="en-US" w:eastAsia="en-GB"/>
                <w14:ligatures w14:val="none"/>
              </w:rPr>
              <w:t> </w:t>
            </w:r>
          </w:p>
        </w:tc>
        <w:tc>
          <w:tcPr>
            <w:tcW w:w="3190"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0B771BB9" w14:textId="77777777" w:rsidR="00F9242E" w:rsidRDefault="00F9242E" w:rsidP="003C655B">
            <w:pPr>
              <w:spacing w:after="0" w:line="360" w:lineRule="auto"/>
              <w:rPr>
                <w:rFonts w:eastAsia="Times New Roman" w:cstheme="minorHAnsi"/>
                <w:kern w:val="0"/>
                <w:lang w:eastAsia="en-GB"/>
                <w14:ligatures w14:val="none"/>
              </w:rPr>
            </w:pPr>
            <w:proofErr w:type="spellStart"/>
            <w:proofErr w:type="gramStart"/>
            <w:r>
              <w:rPr>
                <w:rFonts w:eastAsia="Times New Roman" w:cstheme="minorHAnsi"/>
                <w:kern w:val="0"/>
                <w:lang w:eastAsia="en-GB"/>
                <w14:ligatures w14:val="none"/>
              </w:rPr>
              <w:t>NICE:a</w:t>
            </w:r>
            <w:proofErr w:type="spellEnd"/>
            <w:proofErr w:type="gramEnd"/>
            <w:r>
              <w:rPr>
                <w:rFonts w:eastAsia="Times New Roman" w:cstheme="minorHAnsi"/>
                <w:kern w:val="0"/>
                <w:lang w:eastAsia="en-GB"/>
                <w14:ligatures w14:val="none"/>
              </w:rPr>
              <w:t xml:space="preserve"> diet low in carotenoids is a risk factor of AMD. They do not say carotenoids decrease risk of AMD. Hence, this is reflected in the scoring.</w:t>
            </w:r>
          </w:p>
        </w:tc>
      </w:tr>
    </w:tbl>
    <w:p w14:paraId="1070964C" w14:textId="08FAB7F5" w:rsidR="00F9242E" w:rsidRDefault="00F9242E" w:rsidP="00F9242E">
      <w:pPr>
        <w:spacing w:after="0" w:line="360" w:lineRule="auto"/>
        <w:rPr>
          <w:rFonts w:eastAsia="Times New Roman" w:cstheme="minorHAnsi"/>
          <w:kern w:val="0"/>
          <w14:ligatures w14:val="none"/>
        </w:rPr>
      </w:pPr>
      <w:r>
        <w:rPr>
          <w:rFonts w:eastAsia="Times New Roman" w:cstheme="minorHAnsi"/>
          <w:kern w:val="0"/>
          <w14:ligatures w14:val="none"/>
        </w:rPr>
        <w:t>Note: NICE= National Institute for Health and Care Excellence</w:t>
      </w:r>
      <w:r w:rsidR="00B91AB7" w:rsidRPr="005948DF">
        <w:rPr>
          <w:rFonts w:eastAsia="Times New Roman" w:cstheme="minorHAnsi"/>
          <w:noProof/>
          <w:kern w:val="0"/>
          <w:vertAlign w:val="superscript"/>
          <w14:ligatures w14:val="none"/>
        </w:rPr>
        <w:t>5</w:t>
      </w:r>
      <w:r>
        <w:rPr>
          <w:rFonts w:eastAsia="Times New Roman" w:cstheme="minorHAnsi"/>
          <w:kern w:val="0"/>
          <w14:ligatures w14:val="none"/>
        </w:rPr>
        <w:t>; BMJ= British Medical Journal</w:t>
      </w:r>
      <w:r w:rsidR="00B91AB7" w:rsidRPr="005948DF">
        <w:rPr>
          <w:rFonts w:eastAsia="Times New Roman" w:cstheme="minorHAnsi"/>
          <w:noProof/>
          <w:kern w:val="0"/>
          <w:vertAlign w:val="superscript"/>
          <w14:ligatures w14:val="none"/>
        </w:rPr>
        <w:t>6</w:t>
      </w:r>
      <w:r>
        <w:rPr>
          <w:rFonts w:eastAsia="Times New Roman" w:cstheme="minorHAnsi"/>
          <w:kern w:val="0"/>
          <w14:ligatures w14:val="none"/>
        </w:rPr>
        <w:t>. Max score= 2, Min score= -</w:t>
      </w:r>
      <w:proofErr w:type="gramStart"/>
      <w:r>
        <w:rPr>
          <w:rFonts w:eastAsia="Times New Roman" w:cstheme="minorHAnsi"/>
          <w:kern w:val="0"/>
          <w14:ligatures w14:val="none"/>
        </w:rPr>
        <w:t>3 .</w:t>
      </w:r>
      <w:proofErr w:type="gramEnd"/>
    </w:p>
    <w:p w14:paraId="4A4299E1" w14:textId="3676A3D1" w:rsidR="00F9242E" w:rsidRDefault="00E33D36" w:rsidP="00F9242E">
      <w:pPr>
        <w:keepNext/>
        <w:keepLines/>
        <w:spacing w:before="160" w:after="80"/>
        <w:outlineLvl w:val="2"/>
        <w:rPr>
          <w:rFonts w:eastAsia="Times New Roman" w:cstheme="minorHAnsi"/>
          <w:color w:val="0F4761" w:themeColor="accent1" w:themeShade="BF"/>
          <w:kern w:val="0"/>
          <w:sz w:val="28"/>
          <w:szCs w:val="28"/>
          <w14:ligatures w14:val="none"/>
        </w:rPr>
      </w:pPr>
      <w:r>
        <w:rPr>
          <w:rFonts w:eastAsiaTheme="majorEastAsia" w:cstheme="minorHAnsi"/>
          <w:color w:val="0F4761" w:themeColor="accent1" w:themeShade="BF"/>
          <w:sz w:val="28"/>
          <w:szCs w:val="28"/>
        </w:rPr>
        <w:lastRenderedPageBreak/>
        <w:t>T5</w:t>
      </w:r>
      <w:r w:rsidR="00F9242E">
        <w:rPr>
          <w:rFonts w:eastAsiaTheme="majorEastAsia" w:cstheme="minorHAnsi"/>
          <w:color w:val="0F4761" w:themeColor="accent1" w:themeShade="BF"/>
          <w:sz w:val="28"/>
          <w:szCs w:val="28"/>
        </w:rPr>
        <w:t>D</w:t>
      </w:r>
      <w:r w:rsidR="00F9242E">
        <w:rPr>
          <w:rFonts w:eastAsiaTheme="majorEastAsia" w:cstheme="minorHAnsi"/>
          <w:i/>
          <w:iCs/>
          <w:color w:val="0F4761" w:themeColor="accent1" w:themeShade="BF"/>
          <w:sz w:val="28"/>
          <w:szCs w:val="28"/>
        </w:rPr>
        <w:t>.</w:t>
      </w:r>
      <w:r w:rsidR="00F9242E">
        <w:rPr>
          <w:rFonts w:eastAsia="MS Gothic" w:cstheme="majorBidi"/>
          <w:b/>
          <w:color w:val="0F4761" w:themeColor="accent1" w:themeShade="BF"/>
          <w:kern w:val="0"/>
          <w:sz w:val="28"/>
          <w:szCs w:val="28"/>
          <w14:ligatures w14:val="none"/>
        </w:rPr>
        <w:t xml:space="preserve"> </w:t>
      </w:r>
      <w:r w:rsidR="00F9242E">
        <w:rPr>
          <w:rFonts w:eastAsia="MS Gothic" w:cstheme="majorBidi"/>
          <w:color w:val="0F4761" w:themeColor="accent1" w:themeShade="BF"/>
          <w:sz w:val="28"/>
          <w:szCs w:val="28"/>
        </w:rPr>
        <w:t>The scoring system of the knowledge questionnaire based</w:t>
      </w:r>
      <w:r w:rsidR="00F9242E">
        <w:rPr>
          <w:rFonts w:eastAsiaTheme="majorEastAsia" w:cstheme="majorBidi"/>
          <w:color w:val="0F4761" w:themeColor="accent1" w:themeShade="BF"/>
          <w:sz w:val="28"/>
          <w:szCs w:val="28"/>
        </w:rPr>
        <w:t xml:space="preserve"> </w:t>
      </w:r>
      <w:r w:rsidR="00F9242E">
        <w:rPr>
          <w:rFonts w:eastAsia="MS Gothic" w:cstheme="majorBidi"/>
          <w:color w:val="0F4761" w:themeColor="accent1" w:themeShade="BF"/>
          <w:sz w:val="28"/>
          <w:szCs w:val="28"/>
        </w:rPr>
        <w:t>on the risk of individual and lifestyle risk factors for developing AMD is based on current best practice guidelines.</w:t>
      </w:r>
    </w:p>
    <w:tbl>
      <w:tblPr>
        <w:tblW w:w="14977"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3843"/>
        <w:gridCol w:w="1966"/>
        <w:gridCol w:w="1997"/>
        <w:gridCol w:w="1457"/>
        <w:gridCol w:w="1075"/>
        <w:gridCol w:w="4639"/>
      </w:tblGrid>
      <w:tr w:rsidR="00F9242E" w14:paraId="1C4416FE" w14:textId="77777777" w:rsidTr="00DE5DF8">
        <w:trPr>
          <w:trHeight w:val="312"/>
        </w:trPr>
        <w:tc>
          <w:tcPr>
            <w:tcW w:w="3843"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78163662"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How do you think the lifestyle and individual factors below impact risk of AMD?</w:t>
            </w:r>
          </w:p>
        </w:tc>
        <w:tc>
          <w:tcPr>
            <w:tcW w:w="1966"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07315227"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INCREASES RISK</w:t>
            </w:r>
          </w:p>
          <w:p w14:paraId="0A296216"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w:t>
            </w:r>
          </w:p>
        </w:tc>
        <w:tc>
          <w:tcPr>
            <w:tcW w:w="1997"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70A49724"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DECREASES RISK</w:t>
            </w:r>
          </w:p>
        </w:tc>
        <w:tc>
          <w:tcPr>
            <w:tcW w:w="1457"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75474646"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NO EFFECT</w:t>
            </w:r>
          </w:p>
        </w:tc>
        <w:tc>
          <w:tcPr>
            <w:tcW w:w="1075"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4A5FD18F"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DON'T KNOW</w:t>
            </w:r>
          </w:p>
        </w:tc>
        <w:tc>
          <w:tcPr>
            <w:tcW w:w="4639"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hideMark/>
          </w:tcPr>
          <w:p w14:paraId="58F7249A"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Source</w:t>
            </w:r>
          </w:p>
        </w:tc>
      </w:tr>
      <w:tr w:rsidR="00F9242E" w14:paraId="37E58322" w14:textId="77777777" w:rsidTr="003C655B">
        <w:trPr>
          <w:trHeight w:val="106"/>
        </w:trPr>
        <w:tc>
          <w:tcPr>
            <w:tcW w:w="3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B32C917"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Physical activity</w:t>
            </w:r>
          </w:p>
        </w:tc>
        <w:tc>
          <w:tcPr>
            <w:tcW w:w="196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65967BF"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-1.5</w:t>
            </w:r>
          </w:p>
        </w:tc>
        <w:tc>
          <w:tcPr>
            <w:tcW w:w="19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EEDF5EA" w14:textId="77777777" w:rsidR="00F9242E" w:rsidRDefault="00F9242E" w:rsidP="003C655B">
            <w:pPr>
              <w:rPr>
                <w:rFonts w:eastAsia="Times New Roman" w:cstheme="minorHAnsi"/>
                <w:kern w:val="0"/>
                <w:lang w:eastAsia="en-GB"/>
                <w14:ligatures w14:val="none"/>
              </w:rPr>
            </w:pPr>
          </w:p>
        </w:tc>
        <w:tc>
          <w:tcPr>
            <w:tcW w:w="14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9FFB838"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w:t>
            </w:r>
          </w:p>
        </w:tc>
        <w:tc>
          <w:tcPr>
            <w:tcW w:w="10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24B2E9C"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w:t>
            </w:r>
          </w:p>
        </w:tc>
        <w:tc>
          <w:tcPr>
            <w:tcW w:w="46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947F096"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xml:space="preserve">NICE: lack of exercise increases AMD risk </w:t>
            </w:r>
          </w:p>
        </w:tc>
      </w:tr>
      <w:tr w:rsidR="00F9242E" w14:paraId="60C04BFA" w14:textId="77777777" w:rsidTr="003C655B">
        <w:trPr>
          <w:trHeight w:val="205"/>
        </w:trPr>
        <w:tc>
          <w:tcPr>
            <w:tcW w:w="3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AE4849E"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High blood pressure (or hypertension)</w:t>
            </w:r>
          </w:p>
        </w:tc>
        <w:tc>
          <w:tcPr>
            <w:tcW w:w="196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C0965D"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+1</w:t>
            </w:r>
          </w:p>
        </w:tc>
        <w:tc>
          <w:tcPr>
            <w:tcW w:w="19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6553618"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w:t>
            </w:r>
          </w:p>
        </w:tc>
        <w:tc>
          <w:tcPr>
            <w:tcW w:w="14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E08F50F"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w:t>
            </w:r>
          </w:p>
        </w:tc>
        <w:tc>
          <w:tcPr>
            <w:tcW w:w="10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8AE1F16"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w:t>
            </w:r>
          </w:p>
        </w:tc>
        <w:tc>
          <w:tcPr>
            <w:tcW w:w="46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AEB5247"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xml:space="preserve">NICE </w:t>
            </w:r>
          </w:p>
        </w:tc>
      </w:tr>
      <w:tr w:rsidR="00F9242E" w14:paraId="5F75D942" w14:textId="77777777" w:rsidTr="003C655B">
        <w:trPr>
          <w:trHeight w:val="205"/>
        </w:trPr>
        <w:tc>
          <w:tcPr>
            <w:tcW w:w="3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C2F9C19"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Being extremely overweight</w:t>
            </w:r>
          </w:p>
        </w:tc>
        <w:tc>
          <w:tcPr>
            <w:tcW w:w="196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9844299"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+1</w:t>
            </w:r>
          </w:p>
        </w:tc>
        <w:tc>
          <w:tcPr>
            <w:tcW w:w="19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FBC76A"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w:t>
            </w:r>
          </w:p>
        </w:tc>
        <w:tc>
          <w:tcPr>
            <w:tcW w:w="14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1E138F"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w:t>
            </w:r>
          </w:p>
        </w:tc>
        <w:tc>
          <w:tcPr>
            <w:tcW w:w="10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3E13DEC"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w:t>
            </w:r>
          </w:p>
        </w:tc>
        <w:tc>
          <w:tcPr>
            <w:tcW w:w="46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117301"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xml:space="preserve">NICE </w:t>
            </w:r>
          </w:p>
        </w:tc>
      </w:tr>
      <w:tr w:rsidR="00F9242E" w14:paraId="1ED45B4B" w14:textId="77777777" w:rsidTr="003C655B">
        <w:trPr>
          <w:trHeight w:val="205"/>
        </w:trPr>
        <w:tc>
          <w:tcPr>
            <w:tcW w:w="3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71CA865"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Ageing</w:t>
            </w:r>
          </w:p>
        </w:tc>
        <w:tc>
          <w:tcPr>
            <w:tcW w:w="196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175085A"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+1</w:t>
            </w:r>
          </w:p>
        </w:tc>
        <w:tc>
          <w:tcPr>
            <w:tcW w:w="19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1CE407B"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w:t>
            </w:r>
          </w:p>
        </w:tc>
        <w:tc>
          <w:tcPr>
            <w:tcW w:w="14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08C9C15"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w:t>
            </w:r>
          </w:p>
        </w:tc>
        <w:tc>
          <w:tcPr>
            <w:tcW w:w="10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4C8C98"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w:t>
            </w:r>
          </w:p>
        </w:tc>
        <w:tc>
          <w:tcPr>
            <w:tcW w:w="46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CBAA18B"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xml:space="preserve">NICE, RCOP </w:t>
            </w:r>
          </w:p>
        </w:tc>
      </w:tr>
      <w:tr w:rsidR="00F9242E" w14:paraId="6DFC5466" w14:textId="77777777" w:rsidTr="003C655B">
        <w:trPr>
          <w:trHeight w:val="213"/>
        </w:trPr>
        <w:tc>
          <w:tcPr>
            <w:tcW w:w="3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BF0138"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Family history of AMD</w:t>
            </w:r>
          </w:p>
        </w:tc>
        <w:tc>
          <w:tcPr>
            <w:tcW w:w="196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19EAB4A"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+1</w:t>
            </w:r>
          </w:p>
        </w:tc>
        <w:tc>
          <w:tcPr>
            <w:tcW w:w="19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F1E2FF1"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w:t>
            </w:r>
          </w:p>
        </w:tc>
        <w:tc>
          <w:tcPr>
            <w:tcW w:w="14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4220644"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w:t>
            </w:r>
          </w:p>
        </w:tc>
        <w:tc>
          <w:tcPr>
            <w:tcW w:w="10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57571E"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w:t>
            </w:r>
          </w:p>
        </w:tc>
        <w:tc>
          <w:tcPr>
            <w:tcW w:w="46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B5C968"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xml:space="preserve">NICE </w:t>
            </w:r>
          </w:p>
        </w:tc>
      </w:tr>
      <w:tr w:rsidR="00F9242E" w14:paraId="0066FAED" w14:textId="77777777" w:rsidTr="003C655B">
        <w:trPr>
          <w:trHeight w:val="205"/>
        </w:trPr>
        <w:tc>
          <w:tcPr>
            <w:tcW w:w="3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43EC10C"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xml:space="preserve">Currently a cigarette smoker </w:t>
            </w:r>
          </w:p>
        </w:tc>
        <w:tc>
          <w:tcPr>
            <w:tcW w:w="196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80A3BA"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+1</w:t>
            </w:r>
          </w:p>
        </w:tc>
        <w:tc>
          <w:tcPr>
            <w:tcW w:w="19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0160384"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w:t>
            </w:r>
          </w:p>
        </w:tc>
        <w:tc>
          <w:tcPr>
            <w:tcW w:w="14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791BCFD"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w:t>
            </w:r>
          </w:p>
        </w:tc>
        <w:tc>
          <w:tcPr>
            <w:tcW w:w="10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D0C0E2E"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w:t>
            </w:r>
          </w:p>
        </w:tc>
        <w:tc>
          <w:tcPr>
            <w:tcW w:w="46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288AD23"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xml:space="preserve">NICE </w:t>
            </w:r>
          </w:p>
        </w:tc>
      </w:tr>
      <w:tr w:rsidR="00F9242E" w14:paraId="7C715D7E" w14:textId="77777777" w:rsidTr="003C655B">
        <w:trPr>
          <w:trHeight w:val="205"/>
        </w:trPr>
        <w:tc>
          <w:tcPr>
            <w:tcW w:w="3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9B4F618"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Genetic background</w:t>
            </w:r>
          </w:p>
        </w:tc>
        <w:tc>
          <w:tcPr>
            <w:tcW w:w="196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E51BFB2"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w:t>
            </w:r>
          </w:p>
        </w:tc>
        <w:tc>
          <w:tcPr>
            <w:tcW w:w="19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341B19"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w:t>
            </w:r>
          </w:p>
        </w:tc>
        <w:tc>
          <w:tcPr>
            <w:tcW w:w="14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70059FB"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-1.5</w:t>
            </w:r>
          </w:p>
        </w:tc>
        <w:tc>
          <w:tcPr>
            <w:tcW w:w="10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388F277"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 </w:t>
            </w:r>
          </w:p>
        </w:tc>
        <w:tc>
          <w:tcPr>
            <w:tcW w:w="46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7CA7183" w14:textId="77777777" w:rsidR="00F9242E" w:rsidRDefault="00F9242E" w:rsidP="003C655B">
            <w:pPr>
              <w:spacing w:after="0" w:line="360" w:lineRule="auto"/>
              <w:rPr>
                <w:rFonts w:eastAsia="Times New Roman" w:cstheme="minorHAnsi"/>
                <w:kern w:val="0"/>
                <w:lang w:eastAsia="en-GB"/>
                <w14:ligatures w14:val="none"/>
              </w:rPr>
            </w:pPr>
            <w:r>
              <w:rPr>
                <w:rFonts w:eastAsia="Times New Roman" w:cstheme="minorHAnsi"/>
                <w:kern w:val="0"/>
                <w:lang w:eastAsia="en-GB"/>
                <w14:ligatures w14:val="none"/>
              </w:rPr>
              <w:t>RCOP and AAO acknowledge the effect of genetics in development of AMD. AAO highlight that some genetic risk factors require further investigation. RCOP highlight that not all those with AMD have genetic risk variants.</w:t>
            </w:r>
          </w:p>
        </w:tc>
      </w:tr>
    </w:tbl>
    <w:p w14:paraId="241C9FBD" w14:textId="77777777" w:rsidR="00F9242E" w:rsidRDefault="00F9242E" w:rsidP="00F9242E">
      <w:pPr>
        <w:spacing w:after="0" w:line="360" w:lineRule="auto"/>
        <w:rPr>
          <w:rFonts w:eastAsia="Times New Roman" w:cstheme="minorHAnsi"/>
          <w:kern w:val="0"/>
          <w14:ligatures w14:val="none"/>
        </w:rPr>
      </w:pPr>
    </w:p>
    <w:p w14:paraId="7928DDF6" w14:textId="563EA83C" w:rsidR="00F9242E" w:rsidRDefault="00F9242E" w:rsidP="00F9242E">
      <w:pPr>
        <w:rPr>
          <w:rFonts w:eastAsia="Times New Roman" w:cstheme="minorHAnsi"/>
          <w:kern w:val="0"/>
          <w14:ligatures w14:val="none"/>
        </w:rPr>
      </w:pPr>
      <w:r>
        <w:rPr>
          <w:rFonts w:eastAsia="Times New Roman" w:cstheme="minorHAnsi"/>
          <w:b/>
          <w:bCs/>
          <w:kern w:val="0"/>
          <w14:ligatures w14:val="none"/>
        </w:rPr>
        <w:t xml:space="preserve">Note: </w:t>
      </w:r>
      <w:r>
        <w:rPr>
          <w:rFonts w:eastAsia="Times New Roman" w:cstheme="minorHAnsi"/>
          <w:kern w:val="0"/>
          <w14:ligatures w14:val="none"/>
        </w:rPr>
        <w:t>National Institute for Health and Care Excellence</w:t>
      </w:r>
      <w:r w:rsidR="00B91AB7" w:rsidRPr="005948DF">
        <w:rPr>
          <w:rFonts w:eastAsia="Times New Roman" w:cstheme="minorHAnsi"/>
          <w:noProof/>
          <w:kern w:val="0"/>
          <w:vertAlign w:val="superscript"/>
          <w14:ligatures w14:val="none"/>
        </w:rPr>
        <w:t>5</w:t>
      </w:r>
      <w:r>
        <w:rPr>
          <w:rFonts w:eastAsia="Times New Roman" w:cstheme="minorHAnsi"/>
          <w:kern w:val="0"/>
          <w14:ligatures w14:val="none"/>
        </w:rPr>
        <w:t>; RCOP= Royal College of Ophthalmologists</w:t>
      </w:r>
      <w:r w:rsidR="00B91AB7" w:rsidRPr="005948DF">
        <w:rPr>
          <w:rFonts w:eastAsia="Times New Roman" w:cstheme="minorHAnsi"/>
          <w:noProof/>
          <w:kern w:val="0"/>
          <w:vertAlign w:val="superscript"/>
          <w14:ligatures w14:val="none"/>
        </w:rPr>
        <w:t>4</w:t>
      </w:r>
      <w:r>
        <w:rPr>
          <w:rFonts w:eastAsia="Times New Roman" w:cstheme="minorHAnsi"/>
          <w:kern w:val="0"/>
          <w14:ligatures w14:val="none"/>
        </w:rPr>
        <w:t>; AAO= American Academy of Ophthalmology</w:t>
      </w:r>
      <w:r w:rsidR="00B91AB7" w:rsidRPr="005948DF">
        <w:rPr>
          <w:rFonts w:eastAsia="Times New Roman" w:cstheme="minorHAnsi"/>
          <w:noProof/>
          <w:kern w:val="0"/>
          <w:vertAlign w:val="superscript"/>
          <w14:ligatures w14:val="none"/>
        </w:rPr>
        <w:t>7</w:t>
      </w:r>
      <w:r>
        <w:rPr>
          <w:rFonts w:eastAsia="Times New Roman" w:cstheme="minorHAnsi"/>
          <w:kern w:val="0"/>
          <w14:ligatures w14:val="none"/>
        </w:rPr>
        <w:t>. Max score= 5; Min score= -</w:t>
      </w:r>
    </w:p>
    <w:p w14:paraId="2FD8316F" w14:textId="77777777" w:rsidR="00F9242E" w:rsidRDefault="00F9242E" w:rsidP="00F9242E">
      <w:pPr>
        <w:spacing w:after="0"/>
        <w:rPr>
          <w:rFonts w:eastAsia="Times New Roman" w:cstheme="minorHAnsi"/>
          <w:kern w:val="0"/>
          <w14:ligatures w14:val="none"/>
        </w:rPr>
        <w:sectPr w:rsidR="00F9242E" w:rsidSect="00F9242E">
          <w:pgSz w:w="16838" w:h="11906" w:orient="landscape"/>
          <w:pgMar w:top="1440" w:right="1440" w:bottom="1440" w:left="1440" w:header="709" w:footer="709" w:gutter="0"/>
          <w:lnNumType w:countBy="1" w:restart="continuous"/>
          <w:cols w:space="720"/>
        </w:sectPr>
      </w:pPr>
    </w:p>
    <w:p w14:paraId="13ED4DF6" w14:textId="5F5B8B52" w:rsidR="00F9242E" w:rsidRDefault="0000020B" w:rsidP="00F9242E">
      <w:pPr>
        <w:keepNext/>
        <w:keepLines/>
        <w:spacing w:before="160" w:after="80" w:line="360" w:lineRule="auto"/>
        <w:outlineLvl w:val="1"/>
        <w:rPr>
          <w:rFonts w:asciiTheme="majorHAnsi" w:eastAsiaTheme="majorEastAsia" w:hAnsiTheme="majorHAnsi" w:cstheme="majorBidi"/>
          <w:color w:val="0F4761" w:themeColor="accent1" w:themeShade="BF"/>
          <w:sz w:val="32"/>
          <w:szCs w:val="32"/>
        </w:rPr>
      </w:pPr>
      <w:r>
        <w:rPr>
          <w:rFonts w:asciiTheme="majorHAnsi" w:eastAsiaTheme="majorEastAsia" w:hAnsiTheme="majorHAnsi" w:cstheme="majorBidi"/>
          <w:color w:val="0F4761" w:themeColor="accent1" w:themeShade="BF"/>
          <w:sz w:val="32"/>
          <w:szCs w:val="32"/>
        </w:rPr>
        <w:lastRenderedPageBreak/>
        <w:t xml:space="preserve">Section </w:t>
      </w:r>
      <w:r>
        <w:rPr>
          <w:rFonts w:asciiTheme="majorHAnsi" w:eastAsiaTheme="majorEastAsia" w:hAnsiTheme="majorHAnsi" w:cstheme="majorBidi"/>
          <w:color w:val="0F4761" w:themeColor="accent1" w:themeShade="BF"/>
          <w:sz w:val="32"/>
          <w:szCs w:val="32"/>
        </w:rPr>
        <w:t>4</w:t>
      </w:r>
      <w:r>
        <w:rPr>
          <w:rFonts w:asciiTheme="majorHAnsi" w:eastAsiaTheme="majorEastAsia" w:hAnsiTheme="majorHAnsi" w:cstheme="majorBidi"/>
          <w:color w:val="0F4761" w:themeColor="accent1" w:themeShade="BF"/>
          <w:sz w:val="32"/>
          <w:szCs w:val="32"/>
        </w:rPr>
        <w:t xml:space="preserve">. </w:t>
      </w:r>
      <w:r w:rsidR="00F9242E">
        <w:rPr>
          <w:rFonts w:asciiTheme="majorHAnsi" w:eastAsiaTheme="majorEastAsia" w:hAnsiTheme="majorHAnsi" w:cstheme="majorBidi"/>
          <w:color w:val="0F4761" w:themeColor="accent1" w:themeShade="BF"/>
          <w:sz w:val="32"/>
          <w:szCs w:val="32"/>
        </w:rPr>
        <w:t xml:space="preserve">Analysis via exploratory factor analysis </w:t>
      </w:r>
    </w:p>
    <w:p w14:paraId="11D499A8" w14:textId="4853BED9" w:rsidR="00F9242E" w:rsidRDefault="00F9242E" w:rsidP="00F9242E">
      <w:pPr>
        <w:spacing w:line="360" w:lineRule="auto"/>
      </w:pPr>
      <w:r>
        <w:t xml:space="preserve">The questionnaires were validated via exploratory factor analysis (EFA) and reliability </w:t>
      </w:r>
      <w:proofErr w:type="gramStart"/>
      <w:r>
        <w:t>tests, and</w:t>
      </w:r>
      <w:proofErr w:type="gramEnd"/>
      <w:r>
        <w:t xml:space="preserve"> subsequently reduced the number of items in the EFA-validated instruments. </w:t>
      </w:r>
      <w:r>
        <w:rPr>
          <w:rFonts w:cs="Arial"/>
        </w:rPr>
        <w:t>EFA is a means of measuring the correlation between items in the questionnaire and whether items could be grouped to capture a specific unobservable factor</w:t>
      </w:r>
      <w:r w:rsidR="00B91AB7" w:rsidRPr="005948DF">
        <w:rPr>
          <w:rFonts w:cs="Arial"/>
          <w:noProof/>
          <w:vertAlign w:val="superscript"/>
        </w:rPr>
        <w:t>14</w:t>
      </w:r>
      <w:r>
        <w:rPr>
          <w:rFonts w:cs="Arial"/>
        </w:rPr>
        <w:t xml:space="preserve">. The extent to which an item is related to the unobservable factor is termed “factor loading” (FL). </w:t>
      </w:r>
      <w:r>
        <w:t>According to de Winter et al., the minimum sample for validation via EFA is 18 provided that the FL of at least 6 items or more in a questionnaire is at least 0.6 with minimal lower variation</w:t>
      </w:r>
      <w:r w:rsidR="00B91AB7" w:rsidRPr="005948DF">
        <w:rPr>
          <w:noProof/>
          <w:vertAlign w:val="superscript"/>
        </w:rPr>
        <w:t>15</w:t>
      </w:r>
      <w:r>
        <w:t xml:space="preserve">.  FL of </w:t>
      </w:r>
      <w:r>
        <w:rPr>
          <w:rFonts w:ascii="Calibri" w:hAnsi="Calibri" w:cs="Calibri"/>
        </w:rPr>
        <w:t xml:space="preserve">EFA was attained via </w:t>
      </w:r>
      <w:proofErr w:type="spellStart"/>
      <w:r>
        <w:rPr>
          <w:rFonts w:ascii="Calibri" w:hAnsi="Calibri" w:cs="Calibri"/>
        </w:rPr>
        <w:t>quartimax</w:t>
      </w:r>
      <w:proofErr w:type="spellEnd"/>
      <w:r>
        <w:rPr>
          <w:rFonts w:ascii="Calibri" w:hAnsi="Calibri" w:cs="Calibri"/>
        </w:rPr>
        <w:t xml:space="preserve"> rotation to fit the questionnaire items into a simple structure</w:t>
      </w:r>
      <w:r w:rsidR="00B91AB7" w:rsidRPr="005948DF">
        <w:rPr>
          <w:rFonts w:ascii="Calibri" w:hAnsi="Calibri" w:cs="Calibri"/>
          <w:noProof/>
          <w:vertAlign w:val="superscript"/>
        </w:rPr>
        <w:t>16</w:t>
      </w:r>
      <w:r>
        <w:rPr>
          <w:rFonts w:ascii="Calibri" w:hAnsi="Calibri" w:cs="Calibri"/>
        </w:rPr>
        <w:t>.</w:t>
      </w:r>
      <w:r>
        <w:t xml:space="preserve"> Cronbach’s alpha was used to measure the reliability of the final model. </w:t>
      </w:r>
    </w:p>
    <w:p w14:paraId="241779DB" w14:textId="2D8C2D83" w:rsidR="00F9242E" w:rsidRDefault="0000020B" w:rsidP="00F9242E">
      <w:pPr>
        <w:keepNext/>
        <w:keepLines/>
        <w:spacing w:before="160" w:after="80" w:line="360" w:lineRule="auto"/>
        <w:outlineLvl w:val="1"/>
        <w:rPr>
          <w:rFonts w:ascii="Calibri" w:eastAsia="Times New Roman" w:hAnsi="Calibri" w:cs="Calibri"/>
          <w:color w:val="0F4761" w:themeColor="accent1" w:themeShade="BF"/>
          <w:kern w:val="0"/>
          <w:sz w:val="32"/>
          <w:szCs w:val="32"/>
          <w:lang w:eastAsia="en-GB"/>
          <w14:ligatures w14:val="none"/>
        </w:rPr>
      </w:pPr>
      <w:r>
        <w:rPr>
          <w:rFonts w:asciiTheme="majorHAnsi" w:eastAsiaTheme="majorEastAsia" w:hAnsiTheme="majorHAnsi" w:cstheme="majorBidi"/>
          <w:color w:val="0F4761" w:themeColor="accent1" w:themeShade="BF"/>
          <w:sz w:val="32"/>
          <w:szCs w:val="32"/>
        </w:rPr>
        <w:t xml:space="preserve">Section </w:t>
      </w:r>
      <w:r>
        <w:rPr>
          <w:rFonts w:asciiTheme="majorHAnsi" w:eastAsiaTheme="majorEastAsia" w:hAnsiTheme="majorHAnsi" w:cstheme="majorBidi"/>
          <w:color w:val="0F4761" w:themeColor="accent1" w:themeShade="BF"/>
          <w:sz w:val="32"/>
          <w:szCs w:val="32"/>
        </w:rPr>
        <w:t>5</w:t>
      </w:r>
      <w:r>
        <w:rPr>
          <w:rFonts w:asciiTheme="majorHAnsi" w:eastAsiaTheme="majorEastAsia" w:hAnsiTheme="majorHAnsi" w:cstheme="majorBidi"/>
          <w:color w:val="0F4761" w:themeColor="accent1" w:themeShade="BF"/>
          <w:sz w:val="32"/>
          <w:szCs w:val="32"/>
        </w:rPr>
        <w:t xml:space="preserve">. </w:t>
      </w:r>
      <w:r w:rsidR="00F9242E">
        <w:rPr>
          <w:rFonts w:asciiTheme="majorHAnsi" w:eastAsia="Times New Roman" w:hAnsiTheme="majorHAnsi" w:cstheme="majorBidi"/>
          <w:color w:val="0F4761" w:themeColor="accent1" w:themeShade="BF"/>
          <w:sz w:val="32"/>
          <w:szCs w:val="32"/>
          <w:lang w:eastAsia="en-GB"/>
        </w:rPr>
        <w:t>Exploratory factor analysis results</w:t>
      </w:r>
    </w:p>
    <w:p w14:paraId="33AA8666" w14:textId="53A2670D" w:rsidR="00F9242E" w:rsidRDefault="00F9242E" w:rsidP="00F9242E">
      <w:pPr>
        <w:spacing w:line="360" w:lineRule="auto"/>
        <w:rPr>
          <w:rFonts w:ascii="Calibri" w:hAnsi="Calibri" w:cs="Calibri"/>
        </w:rPr>
      </w:pPr>
      <w:r>
        <w:rPr>
          <w:rFonts w:ascii="Calibri" w:hAnsi="Calibri" w:cs="Calibri"/>
        </w:rPr>
        <w:t>Since the minimum sample size of 18 was surpassed</w:t>
      </w:r>
      <w:r w:rsidR="00B91AB7" w:rsidRPr="005948DF">
        <w:rPr>
          <w:rFonts w:ascii="Calibri" w:hAnsi="Calibri" w:cs="Calibri"/>
          <w:noProof/>
          <w:vertAlign w:val="superscript"/>
        </w:rPr>
        <w:t>15</w:t>
      </w:r>
      <w:r>
        <w:rPr>
          <w:rFonts w:ascii="Calibri" w:hAnsi="Calibri" w:cs="Calibri"/>
        </w:rPr>
        <w:t>, EFA was undertaken. Both the responses from other instruments and demographic features of the sample were used as predictors for imputation. EFA provided a model with six or seven items for each instrument with all attaining either perfect simple structure</w:t>
      </w:r>
      <w:r w:rsidR="00B91AB7" w:rsidRPr="005948DF">
        <w:rPr>
          <w:rFonts w:ascii="Calibri" w:hAnsi="Calibri" w:cs="Calibri"/>
          <w:noProof/>
          <w:vertAlign w:val="superscript"/>
        </w:rPr>
        <w:t>17</w:t>
      </w:r>
      <w:r>
        <w:rPr>
          <w:rFonts w:ascii="Calibri" w:hAnsi="Calibri" w:cs="Calibri"/>
        </w:rPr>
        <w:t xml:space="preserve"> or with minimal lower variation from 0.6 (minimum item FL=0.529; mean total FL of all instruments ≥ 7.02). Subsequently, item reduction was performed for all instruments apart from the single-item Food Choice Questionnaire to attain a perfect simple structure with at least six items [Social influence questionnaire: from eight to seven items (</w:t>
      </w:r>
      <w:r w:rsidR="00364B52">
        <w:rPr>
          <w:rFonts w:ascii="Calibri" w:hAnsi="Calibri" w:cs="Calibri"/>
          <w:b/>
          <w:bCs/>
        </w:rPr>
        <w:t>F8</w:t>
      </w:r>
      <w:r>
        <w:rPr>
          <w:rFonts w:ascii="Calibri" w:hAnsi="Calibri" w:cs="Calibri"/>
          <w:b/>
          <w:bCs/>
        </w:rPr>
        <w:t>A</w:t>
      </w:r>
      <w:r>
        <w:rPr>
          <w:rFonts w:ascii="Calibri" w:hAnsi="Calibri" w:cs="Calibri"/>
        </w:rPr>
        <w:t>); cues to act</w:t>
      </w:r>
      <w:r w:rsidR="002664EB">
        <w:rPr>
          <w:rFonts w:ascii="Calibri" w:hAnsi="Calibri" w:cs="Calibri"/>
        </w:rPr>
        <w:t>ion questionnaire</w:t>
      </w:r>
      <w:r>
        <w:rPr>
          <w:rFonts w:ascii="Calibri" w:hAnsi="Calibri" w:cs="Calibri"/>
        </w:rPr>
        <w:t xml:space="preserve"> 10 to six (</w:t>
      </w:r>
      <w:r w:rsidR="00364B52">
        <w:rPr>
          <w:rFonts w:ascii="Calibri" w:hAnsi="Calibri" w:cs="Calibri"/>
          <w:b/>
          <w:bCs/>
        </w:rPr>
        <w:t>F8</w:t>
      </w:r>
      <w:r>
        <w:rPr>
          <w:rFonts w:ascii="Calibri" w:hAnsi="Calibri" w:cs="Calibri"/>
          <w:b/>
          <w:bCs/>
        </w:rPr>
        <w:t>B</w:t>
      </w:r>
      <w:proofErr w:type="gramStart"/>
      <w:r>
        <w:rPr>
          <w:rFonts w:ascii="Calibri" w:hAnsi="Calibri" w:cs="Calibri"/>
        </w:rPr>
        <w:t>);  food</w:t>
      </w:r>
      <w:proofErr w:type="gramEnd"/>
      <w:r>
        <w:rPr>
          <w:rFonts w:ascii="Calibri" w:hAnsi="Calibri" w:cs="Calibri"/>
        </w:rPr>
        <w:t xml:space="preserve"> skills 19 to six (</w:t>
      </w:r>
      <w:r w:rsidR="00364B52">
        <w:rPr>
          <w:rFonts w:ascii="Calibri" w:hAnsi="Calibri" w:cs="Calibri"/>
          <w:b/>
          <w:bCs/>
        </w:rPr>
        <w:t>F8</w:t>
      </w:r>
      <w:r>
        <w:rPr>
          <w:rFonts w:ascii="Calibri" w:hAnsi="Calibri" w:cs="Calibri"/>
          <w:b/>
          <w:bCs/>
        </w:rPr>
        <w:t>C</w:t>
      </w:r>
      <w:r>
        <w:rPr>
          <w:rFonts w:ascii="Calibri" w:hAnsi="Calibri" w:cs="Calibri"/>
        </w:rPr>
        <w:t>); and cooking skills from 14 to seven items (</w:t>
      </w:r>
      <w:r w:rsidR="00364B52">
        <w:rPr>
          <w:rFonts w:ascii="Calibri" w:hAnsi="Calibri" w:cs="Calibri"/>
          <w:b/>
          <w:bCs/>
        </w:rPr>
        <w:t>F8</w:t>
      </w:r>
      <w:r>
        <w:rPr>
          <w:rFonts w:ascii="Calibri" w:hAnsi="Calibri" w:cs="Calibri"/>
          <w:b/>
          <w:bCs/>
        </w:rPr>
        <w:t>D</w:t>
      </w:r>
      <w:r>
        <w:rPr>
          <w:rFonts w:ascii="Calibri" w:hAnsi="Calibri" w:cs="Calibri"/>
        </w:rPr>
        <w:t>)]. All instruments reported strong reliability upon EFA (Cronbach’s alpha ≥0.8). Furthermore, since only one instrument captures a factor, there were no cross-loadings.</w:t>
      </w:r>
    </w:p>
    <w:p w14:paraId="2FF2C79B" w14:textId="0450F6FB" w:rsidR="00F9242E" w:rsidRDefault="00364B52" w:rsidP="00F9242E">
      <w:pPr>
        <w:keepNext/>
        <w:keepLines/>
        <w:spacing w:before="160" w:after="80"/>
        <w:outlineLvl w:val="2"/>
        <w:rPr>
          <w:rFonts w:eastAsiaTheme="majorEastAsia" w:cstheme="majorBidi"/>
          <w:color w:val="0F4761" w:themeColor="accent1" w:themeShade="BF"/>
          <w:sz w:val="28"/>
          <w:szCs w:val="28"/>
        </w:rPr>
      </w:pPr>
      <w:r>
        <w:rPr>
          <w:rFonts w:eastAsiaTheme="majorEastAsia" w:cstheme="majorBidi"/>
          <w:b/>
          <w:bCs/>
          <w:color w:val="0F4761" w:themeColor="accent1" w:themeShade="BF"/>
          <w:sz w:val="28"/>
          <w:szCs w:val="28"/>
        </w:rPr>
        <w:lastRenderedPageBreak/>
        <w:t>F8</w:t>
      </w:r>
      <w:r w:rsidR="00F9242E">
        <w:rPr>
          <w:rFonts w:eastAsiaTheme="majorEastAsia" w:cstheme="majorBidi"/>
          <w:b/>
          <w:bCs/>
          <w:color w:val="0F4761" w:themeColor="accent1" w:themeShade="BF"/>
          <w:sz w:val="28"/>
          <w:szCs w:val="28"/>
        </w:rPr>
        <w:t>A</w:t>
      </w:r>
      <w:r w:rsidR="00F9242E">
        <w:rPr>
          <w:rFonts w:eastAsiaTheme="majorEastAsia" w:cstheme="majorBidi"/>
          <w:color w:val="0F4761" w:themeColor="accent1" w:themeShade="BF"/>
          <w:sz w:val="28"/>
          <w:szCs w:val="28"/>
        </w:rPr>
        <w:t>.Validated social influences questionnaire, Cronbach’s alpha (CA) and factor loadings (FL)</w:t>
      </w:r>
    </w:p>
    <w:p w14:paraId="0FE042E7" w14:textId="77777777" w:rsidR="00F9242E" w:rsidRDefault="00F9242E" w:rsidP="00F9242E">
      <w:r>
        <w:rPr>
          <w:noProof/>
        </w:rPr>
        <w:drawing>
          <wp:inline distT="0" distB="0" distL="0" distR="0" wp14:anchorId="1E8479C8" wp14:editId="5B40C027">
            <wp:extent cx="5730240" cy="2918460"/>
            <wp:effectExtent l="0" t="0" r="3810" b="0"/>
            <wp:docPr id="766414949" name="Picture 5" descr="A diagram of a social influ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social influence&#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0240" cy="2918460"/>
                    </a:xfrm>
                    <a:prstGeom prst="rect">
                      <a:avLst/>
                    </a:prstGeom>
                    <a:noFill/>
                    <a:ln>
                      <a:noFill/>
                    </a:ln>
                  </pic:spPr>
                </pic:pic>
              </a:graphicData>
            </a:graphic>
          </wp:inline>
        </w:drawing>
      </w:r>
    </w:p>
    <w:p w14:paraId="2973573C" w14:textId="7C7AB735" w:rsidR="00F9242E" w:rsidRDefault="00364B52" w:rsidP="00F9242E">
      <w:pPr>
        <w:keepNext/>
        <w:keepLines/>
        <w:spacing w:before="160" w:after="80"/>
        <w:outlineLvl w:val="2"/>
        <w:rPr>
          <w:rFonts w:eastAsiaTheme="majorEastAsia" w:cstheme="majorBidi"/>
          <w:color w:val="0F4761" w:themeColor="accent1" w:themeShade="BF"/>
          <w:sz w:val="28"/>
          <w:szCs w:val="28"/>
        </w:rPr>
      </w:pPr>
      <w:r>
        <w:rPr>
          <w:rFonts w:eastAsiaTheme="majorEastAsia" w:cstheme="majorBidi"/>
          <w:b/>
          <w:bCs/>
          <w:color w:val="0F4761" w:themeColor="accent1" w:themeShade="BF"/>
          <w:sz w:val="28"/>
          <w:szCs w:val="28"/>
        </w:rPr>
        <w:t>F8</w:t>
      </w:r>
      <w:r w:rsidR="00F9242E">
        <w:rPr>
          <w:rFonts w:eastAsiaTheme="majorEastAsia" w:cstheme="majorBidi"/>
          <w:b/>
          <w:bCs/>
          <w:color w:val="0F4761" w:themeColor="accent1" w:themeShade="BF"/>
          <w:sz w:val="28"/>
          <w:szCs w:val="28"/>
        </w:rPr>
        <w:t>B</w:t>
      </w:r>
      <w:r w:rsidR="00F9242E">
        <w:rPr>
          <w:rFonts w:eastAsiaTheme="majorEastAsia" w:cstheme="majorBidi"/>
          <w:color w:val="0F4761" w:themeColor="accent1" w:themeShade="BF"/>
          <w:sz w:val="28"/>
          <w:szCs w:val="28"/>
        </w:rPr>
        <w:t>.Validated cues to act</w:t>
      </w:r>
      <w:r w:rsidR="00BD7841">
        <w:rPr>
          <w:rFonts w:eastAsiaTheme="majorEastAsia" w:cstheme="majorBidi"/>
          <w:color w:val="0F4761" w:themeColor="accent1" w:themeShade="BF"/>
          <w:sz w:val="28"/>
          <w:szCs w:val="28"/>
        </w:rPr>
        <w:t>ion</w:t>
      </w:r>
      <w:r w:rsidR="00F9242E">
        <w:rPr>
          <w:rFonts w:eastAsiaTheme="majorEastAsia" w:cstheme="majorBidi"/>
          <w:color w:val="0F4761" w:themeColor="accent1" w:themeShade="BF"/>
          <w:sz w:val="28"/>
          <w:szCs w:val="28"/>
        </w:rPr>
        <w:t xml:space="preserve"> questionnaire, Cronbach’s alpha (</w:t>
      </w:r>
      <w:proofErr w:type="gramStart"/>
      <w:r w:rsidR="00F9242E">
        <w:rPr>
          <w:rFonts w:eastAsiaTheme="majorEastAsia" w:cstheme="majorBidi"/>
          <w:color w:val="0F4761" w:themeColor="accent1" w:themeShade="BF"/>
          <w:sz w:val="28"/>
          <w:szCs w:val="28"/>
        </w:rPr>
        <w:t>CA)  and</w:t>
      </w:r>
      <w:proofErr w:type="gramEnd"/>
      <w:r w:rsidR="00F9242E">
        <w:rPr>
          <w:rFonts w:eastAsiaTheme="majorEastAsia" w:cstheme="majorBidi"/>
          <w:color w:val="0F4761" w:themeColor="accent1" w:themeShade="BF"/>
          <w:sz w:val="28"/>
          <w:szCs w:val="28"/>
        </w:rPr>
        <w:t xml:space="preserve"> factor loadings (FL)</w:t>
      </w:r>
    </w:p>
    <w:p w14:paraId="48E65EEE" w14:textId="77777777" w:rsidR="00F9242E" w:rsidRDefault="00F9242E" w:rsidP="00F9242E">
      <w:pPr>
        <w:spacing w:line="360" w:lineRule="auto"/>
        <w:rPr>
          <w:rFonts w:ascii="Calibri" w:hAnsi="Calibri" w:cs="Calibri"/>
        </w:rPr>
      </w:pPr>
    </w:p>
    <w:p w14:paraId="48D4AAE6" w14:textId="77777777" w:rsidR="00F9242E" w:rsidRDefault="00F9242E" w:rsidP="00F9242E">
      <w:pPr>
        <w:spacing w:line="360" w:lineRule="auto"/>
        <w:rPr>
          <w:rFonts w:ascii="Calibri" w:hAnsi="Calibri" w:cs="Calibri"/>
        </w:rPr>
      </w:pPr>
      <w:r>
        <w:rPr>
          <w:rFonts w:ascii="Calibri" w:hAnsi="Calibri" w:cs="Calibri"/>
          <w:noProof/>
        </w:rPr>
        <w:drawing>
          <wp:inline distT="0" distB="0" distL="0" distR="0" wp14:anchorId="5E18717B" wp14:editId="6AC6694D">
            <wp:extent cx="5318760" cy="1981200"/>
            <wp:effectExtent l="0" t="0" r="0" b="0"/>
            <wp:docPr id="1408386660" name="Picture 4" descr="A diagram of a number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diagram of a number of words&#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18760" cy="1981200"/>
                    </a:xfrm>
                    <a:prstGeom prst="rect">
                      <a:avLst/>
                    </a:prstGeom>
                    <a:noFill/>
                    <a:ln>
                      <a:noFill/>
                    </a:ln>
                  </pic:spPr>
                </pic:pic>
              </a:graphicData>
            </a:graphic>
          </wp:inline>
        </w:drawing>
      </w:r>
    </w:p>
    <w:p w14:paraId="21AD1C9D" w14:textId="0ECEBCE9" w:rsidR="00F9242E" w:rsidRDefault="00364B52" w:rsidP="00F9242E">
      <w:pPr>
        <w:keepNext/>
        <w:keepLines/>
        <w:spacing w:before="160" w:after="80"/>
        <w:outlineLvl w:val="2"/>
        <w:rPr>
          <w:rFonts w:eastAsiaTheme="majorEastAsia" w:cstheme="majorBidi"/>
          <w:color w:val="0F4761" w:themeColor="accent1" w:themeShade="BF"/>
          <w:sz w:val="28"/>
          <w:szCs w:val="28"/>
        </w:rPr>
      </w:pPr>
      <w:r>
        <w:rPr>
          <w:rFonts w:eastAsiaTheme="majorEastAsia" w:cstheme="majorBidi"/>
          <w:b/>
          <w:bCs/>
          <w:color w:val="0F4761" w:themeColor="accent1" w:themeShade="BF"/>
          <w:sz w:val="28"/>
          <w:szCs w:val="28"/>
        </w:rPr>
        <w:lastRenderedPageBreak/>
        <w:t>F8</w:t>
      </w:r>
      <w:r w:rsidR="00F9242E">
        <w:rPr>
          <w:rFonts w:eastAsiaTheme="majorEastAsia" w:cstheme="majorBidi"/>
          <w:b/>
          <w:bCs/>
          <w:color w:val="0F4761" w:themeColor="accent1" w:themeShade="BF"/>
          <w:sz w:val="28"/>
          <w:szCs w:val="28"/>
        </w:rPr>
        <w:t>C</w:t>
      </w:r>
      <w:r w:rsidR="00F9242E">
        <w:rPr>
          <w:rFonts w:eastAsiaTheme="majorEastAsia" w:cstheme="majorBidi"/>
          <w:color w:val="0F4761" w:themeColor="accent1" w:themeShade="BF"/>
          <w:sz w:val="28"/>
          <w:szCs w:val="28"/>
        </w:rPr>
        <w:t>.Validated food skills questionnaire, Cronbach’s alpha (CA) and factor loadings (FL)</w:t>
      </w:r>
    </w:p>
    <w:p w14:paraId="092F6B76" w14:textId="77777777" w:rsidR="00F9242E" w:rsidRDefault="00F9242E" w:rsidP="00F9242E">
      <w:pPr>
        <w:spacing w:line="360" w:lineRule="auto"/>
        <w:rPr>
          <w:rFonts w:ascii="Calibri" w:hAnsi="Calibri" w:cs="Calibri"/>
        </w:rPr>
      </w:pPr>
      <w:r>
        <w:rPr>
          <w:rFonts w:ascii="Calibri" w:hAnsi="Calibri" w:cs="Calibri"/>
          <w:noProof/>
        </w:rPr>
        <w:drawing>
          <wp:inline distT="0" distB="0" distL="0" distR="0" wp14:anchorId="58C2A535" wp14:editId="3E48D45F">
            <wp:extent cx="5295900" cy="1988820"/>
            <wp:effectExtent l="0" t="0" r="0" b="0"/>
            <wp:docPr id="1920641426" name="Picture 3" descr="A diagram of a food skills sca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diagram of a food skills scal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95900" cy="1988820"/>
                    </a:xfrm>
                    <a:prstGeom prst="rect">
                      <a:avLst/>
                    </a:prstGeom>
                    <a:noFill/>
                    <a:ln>
                      <a:noFill/>
                    </a:ln>
                  </pic:spPr>
                </pic:pic>
              </a:graphicData>
            </a:graphic>
          </wp:inline>
        </w:drawing>
      </w:r>
    </w:p>
    <w:p w14:paraId="7B3A38B9" w14:textId="4BD8F0EC" w:rsidR="00F9242E" w:rsidRDefault="00364B52" w:rsidP="00F9242E">
      <w:pPr>
        <w:keepNext/>
        <w:keepLines/>
        <w:spacing w:before="160" w:after="80"/>
        <w:outlineLvl w:val="2"/>
        <w:rPr>
          <w:rFonts w:eastAsiaTheme="majorEastAsia" w:cstheme="majorBidi"/>
          <w:color w:val="0F4761" w:themeColor="accent1" w:themeShade="BF"/>
          <w:sz w:val="28"/>
          <w:szCs w:val="28"/>
        </w:rPr>
      </w:pPr>
      <w:r>
        <w:rPr>
          <w:rFonts w:eastAsiaTheme="majorEastAsia" w:cstheme="majorBidi"/>
          <w:b/>
          <w:bCs/>
          <w:color w:val="0F4761" w:themeColor="accent1" w:themeShade="BF"/>
          <w:sz w:val="28"/>
          <w:szCs w:val="28"/>
        </w:rPr>
        <w:t>F8</w:t>
      </w:r>
      <w:r w:rsidR="00F9242E">
        <w:rPr>
          <w:rFonts w:eastAsiaTheme="majorEastAsia" w:cstheme="majorBidi"/>
          <w:b/>
          <w:bCs/>
          <w:color w:val="0F4761" w:themeColor="accent1" w:themeShade="BF"/>
          <w:sz w:val="28"/>
          <w:szCs w:val="28"/>
        </w:rPr>
        <w:t>D</w:t>
      </w:r>
      <w:r w:rsidR="00F9242E">
        <w:rPr>
          <w:rFonts w:eastAsiaTheme="majorEastAsia" w:cstheme="majorBidi"/>
          <w:color w:val="0F4761" w:themeColor="accent1" w:themeShade="BF"/>
          <w:sz w:val="28"/>
          <w:szCs w:val="28"/>
        </w:rPr>
        <w:t>.Validated cooking skills questionnaire, Cronbach’s alpha (</w:t>
      </w:r>
      <w:proofErr w:type="gramStart"/>
      <w:r w:rsidR="00F9242E">
        <w:rPr>
          <w:rFonts w:eastAsiaTheme="majorEastAsia" w:cstheme="majorBidi"/>
          <w:color w:val="0F4761" w:themeColor="accent1" w:themeShade="BF"/>
          <w:sz w:val="28"/>
          <w:szCs w:val="28"/>
        </w:rPr>
        <w:t>CA)  and</w:t>
      </w:r>
      <w:proofErr w:type="gramEnd"/>
      <w:r w:rsidR="00F9242E">
        <w:rPr>
          <w:rFonts w:eastAsiaTheme="majorEastAsia" w:cstheme="majorBidi"/>
          <w:color w:val="0F4761" w:themeColor="accent1" w:themeShade="BF"/>
          <w:sz w:val="28"/>
          <w:szCs w:val="28"/>
        </w:rPr>
        <w:t xml:space="preserve"> factor loadings (FL)</w:t>
      </w:r>
    </w:p>
    <w:p w14:paraId="039F0D84" w14:textId="77777777" w:rsidR="00F9242E" w:rsidRDefault="00F9242E" w:rsidP="00F9242E">
      <w:pPr>
        <w:rPr>
          <w:noProof/>
        </w:rPr>
      </w:pPr>
      <w:r>
        <w:rPr>
          <w:noProof/>
        </w:rPr>
        <w:t xml:space="preserve"> </w:t>
      </w:r>
      <w:r>
        <w:rPr>
          <w:noProof/>
        </w:rPr>
        <w:drawing>
          <wp:inline distT="0" distB="0" distL="0" distR="0" wp14:anchorId="0B080C7E" wp14:editId="4ED3F84B">
            <wp:extent cx="5212080" cy="2011680"/>
            <wp:effectExtent l="0" t="0" r="7620" b="7620"/>
            <wp:docPr id="1555425338" name="Picture 2" descr="A diagram of cooking ski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cooking skill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2080" cy="2011680"/>
                    </a:xfrm>
                    <a:prstGeom prst="rect">
                      <a:avLst/>
                    </a:prstGeom>
                    <a:noFill/>
                    <a:ln>
                      <a:noFill/>
                    </a:ln>
                  </pic:spPr>
                </pic:pic>
              </a:graphicData>
            </a:graphic>
          </wp:inline>
        </w:drawing>
      </w:r>
    </w:p>
    <w:p w14:paraId="07D6419F" w14:textId="77777777" w:rsidR="00F9242E" w:rsidRDefault="00F9242E" w:rsidP="00F9242E">
      <w:pPr>
        <w:rPr>
          <w:noProof/>
        </w:rPr>
      </w:pPr>
    </w:p>
    <w:p w14:paraId="41A01ADF" w14:textId="77777777" w:rsidR="00F9242E" w:rsidRDefault="00F9242E" w:rsidP="00F9242E">
      <w:pPr>
        <w:rPr>
          <w:noProof/>
        </w:rPr>
      </w:pPr>
    </w:p>
    <w:p w14:paraId="3633BA00" w14:textId="77777777" w:rsidR="00F9242E" w:rsidRDefault="00F9242E" w:rsidP="00F9242E">
      <w:pPr>
        <w:rPr>
          <w:noProof/>
        </w:rPr>
      </w:pPr>
    </w:p>
    <w:p w14:paraId="7973556F" w14:textId="77777777" w:rsidR="00F9242E" w:rsidRDefault="00F9242E" w:rsidP="00F9242E">
      <w:pPr>
        <w:rPr>
          <w:noProof/>
        </w:rPr>
      </w:pPr>
    </w:p>
    <w:p w14:paraId="58A16F72" w14:textId="77777777" w:rsidR="00F9242E" w:rsidRDefault="00F9242E" w:rsidP="00F9242E">
      <w:pPr>
        <w:rPr>
          <w:noProof/>
        </w:rPr>
      </w:pPr>
    </w:p>
    <w:p w14:paraId="443D4673" w14:textId="77777777" w:rsidR="00F9242E" w:rsidRDefault="00F9242E" w:rsidP="00F9242E">
      <w:pPr>
        <w:rPr>
          <w:noProof/>
        </w:rPr>
      </w:pPr>
    </w:p>
    <w:p w14:paraId="7DC4820A" w14:textId="77777777" w:rsidR="00F9242E" w:rsidRDefault="00F9242E" w:rsidP="00F9242E">
      <w:pPr>
        <w:rPr>
          <w:noProof/>
        </w:rPr>
      </w:pPr>
    </w:p>
    <w:p w14:paraId="76BDB8C8" w14:textId="77777777" w:rsidR="00F9242E" w:rsidRDefault="00F9242E" w:rsidP="00F9242E">
      <w:pPr>
        <w:rPr>
          <w:noProof/>
        </w:rPr>
      </w:pPr>
    </w:p>
    <w:p w14:paraId="6766DA4C" w14:textId="77777777" w:rsidR="00F9242E" w:rsidRDefault="00F9242E" w:rsidP="00F9242E"/>
    <w:p w14:paraId="6FD1895F" w14:textId="01CC65E9" w:rsidR="00F9242E" w:rsidRDefault="00F9242E" w:rsidP="00F9242E">
      <w:pPr>
        <w:keepNext/>
        <w:keepLines/>
        <w:spacing w:before="160" w:after="80"/>
        <w:outlineLvl w:val="2"/>
        <w:rPr>
          <w:rFonts w:eastAsiaTheme="majorEastAsia" w:cstheme="majorBidi"/>
          <w:color w:val="0F4761" w:themeColor="accent1" w:themeShade="BF"/>
          <w:sz w:val="28"/>
          <w:szCs w:val="28"/>
        </w:rPr>
      </w:pPr>
      <w:r>
        <w:rPr>
          <w:rFonts w:asciiTheme="majorHAnsi" w:eastAsiaTheme="majorEastAsia" w:hAnsiTheme="majorHAnsi" w:cs="Arial"/>
          <w:color w:val="153D63" w:themeColor="text2" w:themeTint="E6"/>
          <w:sz w:val="32"/>
          <w:szCs w:val="32"/>
        </w:rPr>
        <w:lastRenderedPageBreak/>
        <w:t>T</w:t>
      </w:r>
      <w:r w:rsidR="00E33D36">
        <w:rPr>
          <w:rFonts w:asciiTheme="majorHAnsi" w:eastAsiaTheme="majorEastAsia" w:hAnsiTheme="majorHAnsi" w:cs="Arial"/>
          <w:color w:val="153D63" w:themeColor="text2" w:themeTint="E6"/>
          <w:sz w:val="32"/>
          <w:szCs w:val="32"/>
        </w:rPr>
        <w:t>6</w:t>
      </w:r>
      <w:r>
        <w:rPr>
          <w:rFonts w:asciiTheme="majorHAnsi" w:eastAsiaTheme="majorEastAsia" w:hAnsiTheme="majorHAnsi" w:cs="Arial"/>
          <w:color w:val="153D63" w:themeColor="text2" w:themeTint="E6"/>
          <w:sz w:val="32"/>
          <w:szCs w:val="32"/>
        </w:rPr>
        <w:t>.</w:t>
      </w:r>
      <w:r>
        <w:rPr>
          <w:rFonts w:eastAsiaTheme="majorEastAsia" w:cstheme="majorBidi"/>
          <w:b/>
          <w:i/>
          <w:color w:val="153D63" w:themeColor="text2" w:themeTint="E6"/>
          <w:sz w:val="28"/>
          <w:szCs w:val="28"/>
        </w:rPr>
        <w:t xml:space="preserve"> </w:t>
      </w:r>
      <w:r>
        <w:rPr>
          <w:rFonts w:asciiTheme="majorHAnsi" w:eastAsiaTheme="majorEastAsia" w:hAnsiTheme="majorHAnsi" w:cstheme="majorBidi"/>
          <w:color w:val="153D63" w:themeColor="text2" w:themeTint="E6"/>
          <w:sz w:val="32"/>
          <w:szCs w:val="32"/>
        </w:rPr>
        <w:t xml:space="preserve">The original items and scoring system for diet quality taken from Trial to </w:t>
      </w:r>
      <w:r>
        <w:rPr>
          <w:rFonts w:asciiTheme="majorHAnsi" w:eastAsiaTheme="majorEastAsia" w:hAnsiTheme="majorHAnsi" w:cstheme="majorBidi"/>
          <w:color w:val="0F4761" w:themeColor="accent1" w:themeShade="BF"/>
          <w:sz w:val="32"/>
          <w:szCs w:val="32"/>
        </w:rPr>
        <w:t xml:space="preserve">Encourage Adoption and Maintenance of a </w:t>
      </w:r>
      <w:proofErr w:type="spellStart"/>
      <w:r>
        <w:rPr>
          <w:rFonts w:asciiTheme="majorHAnsi" w:eastAsiaTheme="majorEastAsia" w:hAnsiTheme="majorHAnsi" w:cstheme="majorBidi"/>
          <w:color w:val="0F4761" w:themeColor="accent1" w:themeShade="BF"/>
          <w:sz w:val="32"/>
          <w:szCs w:val="32"/>
        </w:rPr>
        <w:t>MEditerranean</w:t>
      </w:r>
      <w:proofErr w:type="spellEnd"/>
      <w:r>
        <w:rPr>
          <w:rFonts w:asciiTheme="majorHAnsi" w:eastAsiaTheme="majorEastAsia" w:hAnsiTheme="majorHAnsi" w:cstheme="majorBidi"/>
          <w:color w:val="0F4761" w:themeColor="accent1" w:themeShade="BF"/>
          <w:sz w:val="32"/>
          <w:szCs w:val="32"/>
        </w:rPr>
        <w:t xml:space="preserve"> Diet (TEAM-MED) study</w:t>
      </w:r>
      <w:r w:rsidR="00B91AB7" w:rsidRPr="005948DF">
        <w:rPr>
          <w:rFonts w:asciiTheme="majorHAnsi" w:eastAsiaTheme="majorEastAsia" w:hAnsiTheme="majorHAnsi" w:cstheme="majorBidi"/>
          <w:noProof/>
          <w:color w:val="0F4761" w:themeColor="accent1" w:themeShade="BF"/>
          <w:sz w:val="32"/>
          <w:szCs w:val="32"/>
          <w:vertAlign w:val="superscript"/>
        </w:rPr>
        <w:t>18, 19</w:t>
      </w:r>
      <w:r>
        <w:rPr>
          <w:rFonts w:asciiTheme="majorHAnsi" w:eastAsiaTheme="majorEastAsia" w:hAnsiTheme="majorHAnsi" w:cstheme="majorBidi"/>
          <w:color w:val="0F4761" w:themeColor="accent1" w:themeShade="BF"/>
          <w:sz w:val="32"/>
          <w:szCs w:val="32"/>
        </w:rPr>
        <w:t>.</w:t>
      </w:r>
      <w:r>
        <w:rPr>
          <w:rFonts w:eastAsiaTheme="majorEastAsia" w:cstheme="majorBidi"/>
          <w:b/>
          <w:color w:val="0F4761" w:themeColor="accent1" w:themeShade="BF"/>
          <w:sz w:val="28"/>
          <w:szCs w:val="28"/>
        </w:rPr>
        <w:t xml:space="preserve"> </w:t>
      </w:r>
    </w:p>
    <w:p w14:paraId="548FF3B4" w14:textId="77777777" w:rsidR="00F9242E" w:rsidRDefault="00F9242E" w:rsidP="00F9242E">
      <w:pPr>
        <w:spacing w:line="360" w:lineRule="auto"/>
        <w:jc w:val="both"/>
        <w:rPr>
          <w:rFonts w:cs="Arial"/>
          <w:b/>
        </w:rPr>
      </w:pPr>
    </w:p>
    <w:p w14:paraId="31851356" w14:textId="77777777" w:rsidR="00F9242E" w:rsidRDefault="00F9242E" w:rsidP="00F9242E">
      <w:pPr>
        <w:spacing w:line="360" w:lineRule="auto"/>
        <w:jc w:val="both"/>
        <w:rPr>
          <w:rFonts w:cs="Arial"/>
          <w:b/>
          <w:bCs/>
        </w:rPr>
      </w:pPr>
      <w:r>
        <w:rPr>
          <w:rFonts w:cs="Arial"/>
          <w:b/>
          <w:noProof/>
          <w:lang w:eastAsia="en-GB"/>
        </w:rPr>
        <w:drawing>
          <wp:inline distT="0" distB="0" distL="0" distR="0" wp14:anchorId="34E929C4" wp14:editId="6FF419D8">
            <wp:extent cx="5731510" cy="3849370"/>
            <wp:effectExtent l="0" t="0" r="2540" b="0"/>
            <wp:docPr id="161846669"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l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l="3751" t="10419" r="12364" b="9955"/>
                    <a:stretch>
                      <a:fillRect/>
                    </a:stretch>
                  </pic:blipFill>
                  <pic:spPr bwMode="auto">
                    <a:xfrm>
                      <a:off x="0" y="0"/>
                      <a:ext cx="5731510" cy="3849370"/>
                    </a:xfrm>
                    <a:prstGeom prst="rect">
                      <a:avLst/>
                    </a:prstGeom>
                    <a:noFill/>
                    <a:ln>
                      <a:noFill/>
                    </a:ln>
                  </pic:spPr>
                </pic:pic>
              </a:graphicData>
            </a:graphic>
          </wp:inline>
        </w:drawing>
      </w:r>
    </w:p>
    <w:p w14:paraId="5943A701" w14:textId="77777777" w:rsidR="00F9242E" w:rsidRDefault="00F9242E" w:rsidP="00F9242E">
      <w:pPr>
        <w:spacing w:line="360" w:lineRule="auto"/>
        <w:jc w:val="both"/>
        <w:rPr>
          <w:rFonts w:cs="Arial"/>
        </w:rPr>
      </w:pPr>
      <w:r>
        <w:rPr>
          <w:rFonts w:cs="Arial"/>
        </w:rPr>
        <w:t>Note: The tense was altered to past tense as the timeframe of dietary intake was specified to over the last month (i.e., the last four weeks). The scoring system was unchanged. Range 0-14.</w:t>
      </w:r>
    </w:p>
    <w:p w14:paraId="136AA643" w14:textId="77777777" w:rsidR="00F9242E" w:rsidRDefault="00F9242E" w:rsidP="00F9242E">
      <w:pPr>
        <w:spacing w:line="360" w:lineRule="auto"/>
        <w:jc w:val="both"/>
        <w:rPr>
          <w:rFonts w:cs="Arial"/>
        </w:rPr>
      </w:pPr>
    </w:p>
    <w:p w14:paraId="7D790418" w14:textId="77777777" w:rsidR="00F9242E" w:rsidRDefault="00F9242E" w:rsidP="00F9242E">
      <w:pPr>
        <w:spacing w:line="360" w:lineRule="auto"/>
        <w:jc w:val="both"/>
        <w:rPr>
          <w:rFonts w:cs="Arial"/>
        </w:rPr>
      </w:pPr>
    </w:p>
    <w:p w14:paraId="269F0FEC" w14:textId="77777777" w:rsidR="00F9242E" w:rsidRDefault="00F9242E" w:rsidP="00F9242E">
      <w:pPr>
        <w:spacing w:line="360" w:lineRule="auto"/>
        <w:jc w:val="both"/>
        <w:rPr>
          <w:rFonts w:cs="Arial"/>
        </w:rPr>
      </w:pPr>
    </w:p>
    <w:p w14:paraId="3F32864F" w14:textId="77777777" w:rsidR="00F9242E" w:rsidRDefault="00F9242E" w:rsidP="00F9242E">
      <w:pPr>
        <w:spacing w:line="360" w:lineRule="auto"/>
        <w:jc w:val="both"/>
        <w:rPr>
          <w:rFonts w:cs="Arial"/>
        </w:rPr>
      </w:pPr>
    </w:p>
    <w:p w14:paraId="105759AC" w14:textId="77777777" w:rsidR="00F9242E" w:rsidRDefault="00F9242E" w:rsidP="00F9242E">
      <w:pPr>
        <w:spacing w:line="360" w:lineRule="auto"/>
        <w:jc w:val="both"/>
        <w:rPr>
          <w:rFonts w:cs="Arial"/>
        </w:rPr>
      </w:pPr>
    </w:p>
    <w:p w14:paraId="0217CE37" w14:textId="77777777" w:rsidR="00F9242E" w:rsidRDefault="00F9242E" w:rsidP="00F9242E">
      <w:pPr>
        <w:spacing w:line="360" w:lineRule="auto"/>
        <w:jc w:val="both"/>
        <w:rPr>
          <w:rFonts w:cs="Arial"/>
        </w:rPr>
      </w:pPr>
    </w:p>
    <w:p w14:paraId="664EC655" w14:textId="77777777" w:rsidR="00F9242E" w:rsidRDefault="00F9242E" w:rsidP="00F9242E">
      <w:pPr>
        <w:spacing w:line="360" w:lineRule="auto"/>
        <w:jc w:val="both"/>
        <w:rPr>
          <w:rFonts w:cs="Arial"/>
        </w:rPr>
      </w:pPr>
    </w:p>
    <w:p w14:paraId="771B871D" w14:textId="77777777" w:rsidR="00F9242E" w:rsidRDefault="00F9242E" w:rsidP="00F9242E">
      <w:pPr>
        <w:spacing w:line="360" w:lineRule="auto"/>
        <w:jc w:val="both"/>
        <w:rPr>
          <w:rFonts w:cs="Arial"/>
        </w:rPr>
      </w:pPr>
    </w:p>
    <w:p w14:paraId="761B6B61" w14:textId="77777777" w:rsidR="00F9242E" w:rsidRDefault="00F9242E" w:rsidP="00F9242E">
      <w:pPr>
        <w:spacing w:after="0"/>
        <w:rPr>
          <w:rFonts w:eastAsiaTheme="majorEastAsia" w:cstheme="majorBidi"/>
          <w:color w:val="0F4761" w:themeColor="accent1" w:themeShade="BF"/>
          <w:kern w:val="0"/>
          <w:sz w:val="28"/>
          <w:szCs w:val="28"/>
          <w14:ligatures w14:val="none"/>
        </w:rPr>
        <w:sectPr w:rsidR="00F9242E" w:rsidSect="00F9242E">
          <w:pgSz w:w="11906" w:h="16838"/>
          <w:pgMar w:top="1440" w:right="1440" w:bottom="1440" w:left="1440" w:header="708" w:footer="708" w:gutter="0"/>
          <w:lnNumType w:countBy="1" w:restart="continuous"/>
          <w:cols w:space="720"/>
        </w:sectPr>
      </w:pPr>
    </w:p>
    <w:p w14:paraId="14F34E38" w14:textId="2DBAAC2F" w:rsidR="00F9242E" w:rsidRDefault="00F9242E" w:rsidP="00F9242E">
      <w:pPr>
        <w:keepNext/>
        <w:keepLines/>
        <w:spacing w:before="160" w:after="80"/>
        <w:outlineLvl w:val="2"/>
        <w:rPr>
          <w:rFonts w:eastAsiaTheme="majorEastAsia" w:cstheme="majorBidi"/>
          <w:color w:val="0F4761" w:themeColor="accent1" w:themeShade="BF"/>
          <w:sz w:val="28"/>
          <w:szCs w:val="28"/>
        </w:rPr>
      </w:pPr>
      <w:r>
        <w:rPr>
          <w:rFonts w:eastAsiaTheme="majorEastAsia" w:cstheme="majorBidi"/>
          <w:color w:val="0F4761" w:themeColor="accent1" w:themeShade="BF"/>
          <w:sz w:val="28"/>
          <w:szCs w:val="28"/>
        </w:rPr>
        <w:lastRenderedPageBreak/>
        <w:t>T7</w:t>
      </w:r>
      <w:r w:rsidR="00300497">
        <w:rPr>
          <w:rFonts w:eastAsiaTheme="majorEastAsia" w:cstheme="majorBidi"/>
          <w:color w:val="0F4761" w:themeColor="accent1" w:themeShade="BF"/>
          <w:sz w:val="28"/>
          <w:szCs w:val="28"/>
        </w:rPr>
        <w:t>.</w:t>
      </w:r>
      <w:r>
        <w:rPr>
          <w:rFonts w:eastAsiaTheme="majorEastAsia" w:cstheme="majorBidi"/>
          <w:color w:val="0F4761" w:themeColor="accent1" w:themeShade="BF"/>
          <w:sz w:val="28"/>
          <w:szCs w:val="28"/>
        </w:rPr>
        <w:t xml:space="preserve"> Fish intake and COM-B model</w:t>
      </w:r>
    </w:p>
    <w:tbl>
      <w:tblPr>
        <w:tblStyle w:val="TableGrid"/>
        <w:tblW w:w="14666" w:type="dxa"/>
        <w:tblLook w:val="04A0" w:firstRow="1" w:lastRow="0" w:firstColumn="1" w:lastColumn="0" w:noHBand="0" w:noVBand="1"/>
      </w:tblPr>
      <w:tblGrid>
        <w:gridCol w:w="2310"/>
        <w:gridCol w:w="1890"/>
        <w:gridCol w:w="2032"/>
        <w:gridCol w:w="2127"/>
        <w:gridCol w:w="1446"/>
        <w:gridCol w:w="2097"/>
        <w:gridCol w:w="2764"/>
      </w:tblGrid>
      <w:tr w:rsidR="00F9242E" w14:paraId="3C05FFBC" w14:textId="77777777" w:rsidTr="00865E93">
        <w:trPr>
          <w:trHeight w:val="661"/>
        </w:trPr>
        <w:tc>
          <w:tcPr>
            <w:tcW w:w="2310" w:type="dxa"/>
            <w:tcBorders>
              <w:top w:val="single" w:sz="4" w:space="0" w:color="auto"/>
              <w:left w:val="single" w:sz="4" w:space="0" w:color="auto"/>
              <w:bottom w:val="single" w:sz="4" w:space="0" w:color="auto"/>
              <w:right w:val="single" w:sz="4" w:space="0" w:color="auto"/>
            </w:tcBorders>
            <w:hideMark/>
          </w:tcPr>
          <w:p w14:paraId="550C7610" w14:textId="77777777" w:rsidR="00F9242E" w:rsidRDefault="00F9242E" w:rsidP="003C655B">
            <w:pPr>
              <w:spacing w:line="240" w:lineRule="auto"/>
              <w:rPr>
                <w:sz w:val="18"/>
                <w:szCs w:val="18"/>
                <w:u w:val="single"/>
              </w:rPr>
            </w:pPr>
            <w:r>
              <w:rPr>
                <w:sz w:val="18"/>
                <w:szCs w:val="18"/>
                <w:u w:val="single"/>
              </w:rPr>
              <w:t>COM-B model for fish intake</w:t>
            </w:r>
          </w:p>
        </w:tc>
        <w:tc>
          <w:tcPr>
            <w:tcW w:w="3922" w:type="dxa"/>
            <w:gridSpan w:val="2"/>
            <w:tcBorders>
              <w:top w:val="single" w:sz="4" w:space="0" w:color="auto"/>
              <w:left w:val="single" w:sz="4" w:space="0" w:color="auto"/>
              <w:bottom w:val="single" w:sz="4" w:space="0" w:color="auto"/>
              <w:right w:val="single" w:sz="4" w:space="0" w:color="auto"/>
            </w:tcBorders>
            <w:noWrap/>
            <w:hideMark/>
          </w:tcPr>
          <w:p w14:paraId="5A1A14BC" w14:textId="77777777" w:rsidR="00F9242E" w:rsidRDefault="00F9242E" w:rsidP="003C655B">
            <w:pPr>
              <w:spacing w:line="240" w:lineRule="auto"/>
              <w:rPr>
                <w:sz w:val="18"/>
                <w:szCs w:val="18"/>
              </w:rPr>
            </w:pPr>
            <w:r>
              <w:rPr>
                <w:sz w:val="18"/>
                <w:szCs w:val="18"/>
              </w:rPr>
              <w:t>CAPABILITY</w:t>
            </w:r>
          </w:p>
        </w:tc>
        <w:tc>
          <w:tcPr>
            <w:tcW w:w="3573" w:type="dxa"/>
            <w:gridSpan w:val="2"/>
            <w:tcBorders>
              <w:top w:val="single" w:sz="4" w:space="0" w:color="auto"/>
              <w:left w:val="single" w:sz="4" w:space="0" w:color="auto"/>
              <w:bottom w:val="single" w:sz="4" w:space="0" w:color="auto"/>
              <w:right w:val="single" w:sz="4" w:space="0" w:color="auto"/>
            </w:tcBorders>
            <w:noWrap/>
            <w:hideMark/>
          </w:tcPr>
          <w:p w14:paraId="359A50BB" w14:textId="77777777" w:rsidR="00F9242E" w:rsidRDefault="00F9242E" w:rsidP="003C655B">
            <w:pPr>
              <w:spacing w:line="240" w:lineRule="auto"/>
              <w:rPr>
                <w:sz w:val="18"/>
                <w:szCs w:val="18"/>
              </w:rPr>
            </w:pPr>
            <w:r>
              <w:rPr>
                <w:sz w:val="18"/>
                <w:szCs w:val="18"/>
              </w:rPr>
              <w:t>OPPORTUNITY</w:t>
            </w:r>
          </w:p>
        </w:tc>
        <w:tc>
          <w:tcPr>
            <w:tcW w:w="4861" w:type="dxa"/>
            <w:gridSpan w:val="2"/>
            <w:tcBorders>
              <w:top w:val="single" w:sz="4" w:space="0" w:color="auto"/>
              <w:left w:val="single" w:sz="4" w:space="0" w:color="auto"/>
              <w:bottom w:val="single" w:sz="4" w:space="0" w:color="auto"/>
              <w:right w:val="single" w:sz="4" w:space="0" w:color="auto"/>
            </w:tcBorders>
            <w:noWrap/>
            <w:hideMark/>
          </w:tcPr>
          <w:p w14:paraId="7C17E701" w14:textId="77777777" w:rsidR="00F9242E" w:rsidRDefault="00F9242E" w:rsidP="003C655B">
            <w:pPr>
              <w:spacing w:line="240" w:lineRule="auto"/>
              <w:rPr>
                <w:sz w:val="18"/>
                <w:szCs w:val="18"/>
              </w:rPr>
            </w:pPr>
            <w:r>
              <w:rPr>
                <w:sz w:val="18"/>
                <w:szCs w:val="18"/>
              </w:rPr>
              <w:t>MOTIVATION</w:t>
            </w:r>
          </w:p>
        </w:tc>
      </w:tr>
      <w:tr w:rsidR="00F9242E" w14:paraId="0A0F9B8D" w14:textId="77777777" w:rsidTr="00865E93">
        <w:trPr>
          <w:trHeight w:val="330"/>
        </w:trPr>
        <w:tc>
          <w:tcPr>
            <w:tcW w:w="2310" w:type="dxa"/>
            <w:tcBorders>
              <w:top w:val="single" w:sz="4" w:space="0" w:color="auto"/>
              <w:left w:val="single" w:sz="4" w:space="0" w:color="auto"/>
              <w:bottom w:val="single" w:sz="4" w:space="0" w:color="auto"/>
              <w:right w:val="single" w:sz="4" w:space="0" w:color="auto"/>
            </w:tcBorders>
            <w:noWrap/>
            <w:hideMark/>
          </w:tcPr>
          <w:p w14:paraId="4D309834" w14:textId="77777777" w:rsidR="00F9242E" w:rsidRDefault="00F9242E" w:rsidP="003C655B">
            <w:pPr>
              <w:spacing w:line="240" w:lineRule="auto"/>
              <w:rPr>
                <w:sz w:val="18"/>
                <w:szCs w:val="18"/>
              </w:rPr>
            </w:pPr>
            <w:r>
              <w:rPr>
                <w:sz w:val="18"/>
                <w:szCs w:val="18"/>
              </w:rPr>
              <w:t>COM-B categories</w:t>
            </w:r>
          </w:p>
        </w:tc>
        <w:tc>
          <w:tcPr>
            <w:tcW w:w="1890" w:type="dxa"/>
            <w:tcBorders>
              <w:top w:val="single" w:sz="4" w:space="0" w:color="auto"/>
              <w:left w:val="single" w:sz="4" w:space="0" w:color="auto"/>
              <w:bottom w:val="single" w:sz="4" w:space="0" w:color="auto"/>
              <w:right w:val="single" w:sz="4" w:space="0" w:color="auto"/>
            </w:tcBorders>
            <w:noWrap/>
            <w:hideMark/>
          </w:tcPr>
          <w:p w14:paraId="5C4BD29D" w14:textId="77777777" w:rsidR="00F9242E" w:rsidRDefault="00F9242E" w:rsidP="003C655B">
            <w:pPr>
              <w:spacing w:line="240" w:lineRule="auto"/>
              <w:rPr>
                <w:sz w:val="18"/>
                <w:szCs w:val="18"/>
              </w:rPr>
            </w:pPr>
            <w:r>
              <w:rPr>
                <w:sz w:val="18"/>
                <w:szCs w:val="18"/>
              </w:rPr>
              <w:t>PSYCHOLOGICAL</w:t>
            </w:r>
          </w:p>
        </w:tc>
        <w:tc>
          <w:tcPr>
            <w:tcW w:w="2032" w:type="dxa"/>
            <w:tcBorders>
              <w:top w:val="single" w:sz="4" w:space="0" w:color="auto"/>
              <w:left w:val="single" w:sz="4" w:space="0" w:color="auto"/>
              <w:bottom w:val="single" w:sz="4" w:space="0" w:color="auto"/>
              <w:right w:val="single" w:sz="4" w:space="0" w:color="auto"/>
            </w:tcBorders>
            <w:noWrap/>
            <w:hideMark/>
          </w:tcPr>
          <w:p w14:paraId="63DBB510" w14:textId="77777777" w:rsidR="00F9242E" w:rsidRDefault="00F9242E" w:rsidP="003C655B">
            <w:pPr>
              <w:spacing w:line="240" w:lineRule="auto"/>
              <w:rPr>
                <w:sz w:val="18"/>
                <w:szCs w:val="18"/>
              </w:rPr>
            </w:pPr>
            <w:r>
              <w:rPr>
                <w:sz w:val="18"/>
                <w:szCs w:val="18"/>
              </w:rPr>
              <w:t>PHYSICAL</w:t>
            </w:r>
          </w:p>
        </w:tc>
        <w:tc>
          <w:tcPr>
            <w:tcW w:w="2127" w:type="dxa"/>
            <w:tcBorders>
              <w:top w:val="single" w:sz="4" w:space="0" w:color="auto"/>
              <w:left w:val="single" w:sz="4" w:space="0" w:color="auto"/>
              <w:bottom w:val="single" w:sz="4" w:space="0" w:color="auto"/>
              <w:right w:val="single" w:sz="4" w:space="0" w:color="auto"/>
            </w:tcBorders>
            <w:noWrap/>
            <w:hideMark/>
          </w:tcPr>
          <w:p w14:paraId="7EBE1374" w14:textId="77777777" w:rsidR="00F9242E" w:rsidRDefault="00F9242E" w:rsidP="003C655B">
            <w:pPr>
              <w:spacing w:line="240" w:lineRule="auto"/>
              <w:rPr>
                <w:sz w:val="18"/>
                <w:szCs w:val="18"/>
              </w:rPr>
            </w:pPr>
            <w:r>
              <w:rPr>
                <w:sz w:val="18"/>
                <w:szCs w:val="18"/>
              </w:rPr>
              <w:t>SOCIAL</w:t>
            </w:r>
          </w:p>
        </w:tc>
        <w:tc>
          <w:tcPr>
            <w:tcW w:w="1446" w:type="dxa"/>
            <w:tcBorders>
              <w:top w:val="single" w:sz="4" w:space="0" w:color="auto"/>
              <w:left w:val="single" w:sz="4" w:space="0" w:color="auto"/>
              <w:bottom w:val="single" w:sz="4" w:space="0" w:color="auto"/>
              <w:right w:val="single" w:sz="4" w:space="0" w:color="auto"/>
            </w:tcBorders>
            <w:noWrap/>
            <w:hideMark/>
          </w:tcPr>
          <w:p w14:paraId="5CFD57E1" w14:textId="77777777" w:rsidR="00F9242E" w:rsidRDefault="00F9242E" w:rsidP="003C655B">
            <w:pPr>
              <w:spacing w:line="240" w:lineRule="auto"/>
              <w:rPr>
                <w:sz w:val="18"/>
                <w:szCs w:val="18"/>
              </w:rPr>
            </w:pPr>
            <w:r>
              <w:rPr>
                <w:sz w:val="18"/>
                <w:szCs w:val="18"/>
              </w:rPr>
              <w:t>PHYSICAL</w:t>
            </w:r>
          </w:p>
        </w:tc>
        <w:tc>
          <w:tcPr>
            <w:tcW w:w="2097" w:type="dxa"/>
            <w:tcBorders>
              <w:top w:val="single" w:sz="4" w:space="0" w:color="auto"/>
              <w:left w:val="single" w:sz="4" w:space="0" w:color="auto"/>
              <w:bottom w:val="single" w:sz="4" w:space="0" w:color="auto"/>
              <w:right w:val="single" w:sz="4" w:space="0" w:color="auto"/>
            </w:tcBorders>
            <w:noWrap/>
            <w:hideMark/>
          </w:tcPr>
          <w:p w14:paraId="7E212D9F" w14:textId="77777777" w:rsidR="00F9242E" w:rsidRDefault="00F9242E" w:rsidP="003C655B">
            <w:pPr>
              <w:spacing w:line="240" w:lineRule="auto"/>
              <w:rPr>
                <w:sz w:val="18"/>
                <w:szCs w:val="18"/>
              </w:rPr>
            </w:pPr>
            <w:r>
              <w:rPr>
                <w:sz w:val="18"/>
                <w:szCs w:val="18"/>
              </w:rPr>
              <w:t>AUTOMATIC</w:t>
            </w:r>
          </w:p>
        </w:tc>
        <w:tc>
          <w:tcPr>
            <w:tcW w:w="2764" w:type="dxa"/>
            <w:tcBorders>
              <w:top w:val="single" w:sz="4" w:space="0" w:color="auto"/>
              <w:left w:val="single" w:sz="4" w:space="0" w:color="auto"/>
              <w:bottom w:val="single" w:sz="4" w:space="0" w:color="auto"/>
              <w:right w:val="single" w:sz="4" w:space="0" w:color="auto"/>
            </w:tcBorders>
            <w:noWrap/>
            <w:hideMark/>
          </w:tcPr>
          <w:p w14:paraId="59E039A0" w14:textId="77777777" w:rsidR="00F9242E" w:rsidRDefault="00F9242E" w:rsidP="003C655B">
            <w:pPr>
              <w:spacing w:line="240" w:lineRule="auto"/>
              <w:rPr>
                <w:sz w:val="18"/>
                <w:szCs w:val="18"/>
              </w:rPr>
            </w:pPr>
            <w:r>
              <w:rPr>
                <w:sz w:val="18"/>
                <w:szCs w:val="18"/>
              </w:rPr>
              <w:t>REFLECTIVE</w:t>
            </w:r>
          </w:p>
        </w:tc>
      </w:tr>
      <w:tr w:rsidR="00F9242E" w14:paraId="7E3DED9F" w14:textId="77777777" w:rsidTr="00865E93">
        <w:trPr>
          <w:trHeight w:val="2493"/>
        </w:trPr>
        <w:tc>
          <w:tcPr>
            <w:tcW w:w="2310" w:type="dxa"/>
            <w:tcBorders>
              <w:top w:val="single" w:sz="4" w:space="0" w:color="auto"/>
              <w:left w:val="single" w:sz="4" w:space="0" w:color="auto"/>
              <w:bottom w:val="single" w:sz="4" w:space="0" w:color="auto"/>
              <w:right w:val="single" w:sz="4" w:space="0" w:color="auto"/>
            </w:tcBorders>
            <w:hideMark/>
          </w:tcPr>
          <w:p w14:paraId="13CF1D55" w14:textId="77777777" w:rsidR="00F9242E" w:rsidRDefault="00F9242E" w:rsidP="003C655B">
            <w:pPr>
              <w:spacing w:line="240" w:lineRule="auto"/>
              <w:rPr>
                <w:sz w:val="18"/>
                <w:szCs w:val="18"/>
              </w:rPr>
            </w:pPr>
            <w:r>
              <w:rPr>
                <w:sz w:val="18"/>
                <w:szCs w:val="18"/>
              </w:rPr>
              <w:t>Food choice questionnaire</w:t>
            </w:r>
          </w:p>
        </w:tc>
        <w:tc>
          <w:tcPr>
            <w:tcW w:w="1890" w:type="dxa"/>
            <w:tcBorders>
              <w:top w:val="single" w:sz="4" w:space="0" w:color="auto"/>
              <w:left w:val="single" w:sz="4" w:space="0" w:color="auto"/>
              <w:bottom w:val="single" w:sz="4" w:space="0" w:color="auto"/>
              <w:right w:val="single" w:sz="4" w:space="0" w:color="auto"/>
            </w:tcBorders>
            <w:hideMark/>
          </w:tcPr>
          <w:p w14:paraId="0BA506B2" w14:textId="77777777" w:rsidR="00F9242E" w:rsidRDefault="00F9242E" w:rsidP="003C655B">
            <w:pPr>
              <w:spacing w:line="240" w:lineRule="auto"/>
              <w:rPr>
                <w:sz w:val="18"/>
                <w:szCs w:val="18"/>
              </w:rPr>
            </w:pPr>
            <w:r>
              <w:rPr>
                <w:sz w:val="18"/>
                <w:szCs w:val="18"/>
              </w:rPr>
              <w:t>°Familiarity</w:t>
            </w:r>
            <w:r>
              <w:rPr>
                <w:sz w:val="18"/>
                <w:szCs w:val="18"/>
              </w:rPr>
              <w:br/>
              <w:t>C=-0.128; -0.121</w:t>
            </w:r>
          </w:p>
        </w:tc>
        <w:tc>
          <w:tcPr>
            <w:tcW w:w="2032" w:type="dxa"/>
            <w:tcBorders>
              <w:top w:val="single" w:sz="4" w:space="0" w:color="auto"/>
              <w:left w:val="single" w:sz="4" w:space="0" w:color="auto"/>
              <w:bottom w:val="single" w:sz="4" w:space="0" w:color="auto"/>
              <w:right w:val="single" w:sz="4" w:space="0" w:color="auto"/>
            </w:tcBorders>
            <w:noWrap/>
            <w:hideMark/>
          </w:tcPr>
          <w:p w14:paraId="54FE92B6" w14:textId="77777777" w:rsidR="00F9242E" w:rsidRDefault="00F9242E" w:rsidP="003C655B">
            <w:pPr>
              <w:rPr>
                <w:sz w:val="18"/>
                <w:szCs w:val="18"/>
              </w:rPr>
            </w:pPr>
          </w:p>
        </w:tc>
        <w:tc>
          <w:tcPr>
            <w:tcW w:w="2127" w:type="dxa"/>
            <w:tcBorders>
              <w:top w:val="single" w:sz="4" w:space="0" w:color="auto"/>
              <w:left w:val="single" w:sz="4" w:space="0" w:color="auto"/>
              <w:bottom w:val="single" w:sz="4" w:space="0" w:color="auto"/>
              <w:right w:val="single" w:sz="4" w:space="0" w:color="auto"/>
            </w:tcBorders>
            <w:noWrap/>
            <w:hideMark/>
          </w:tcPr>
          <w:p w14:paraId="454F24DC" w14:textId="77777777" w:rsidR="00F9242E" w:rsidRDefault="00F9242E" w:rsidP="003C655B">
            <w:pPr>
              <w:spacing w:line="240" w:lineRule="auto"/>
              <w:rPr>
                <w:kern w:val="0"/>
                <w:sz w:val="20"/>
                <w:szCs w:val="20"/>
                <w:lang w:eastAsia="en-GB"/>
                <w14:ligatures w14:val="none"/>
              </w:rPr>
            </w:pPr>
          </w:p>
        </w:tc>
        <w:tc>
          <w:tcPr>
            <w:tcW w:w="1446" w:type="dxa"/>
            <w:tcBorders>
              <w:top w:val="single" w:sz="4" w:space="0" w:color="auto"/>
              <w:left w:val="single" w:sz="4" w:space="0" w:color="auto"/>
              <w:bottom w:val="single" w:sz="4" w:space="0" w:color="auto"/>
              <w:right w:val="single" w:sz="4" w:space="0" w:color="auto"/>
            </w:tcBorders>
            <w:hideMark/>
          </w:tcPr>
          <w:p w14:paraId="0845F679" w14:textId="77777777" w:rsidR="00F9242E" w:rsidRDefault="00F9242E" w:rsidP="003C655B">
            <w:pPr>
              <w:spacing w:line="240" w:lineRule="auto"/>
              <w:rPr>
                <w:sz w:val="18"/>
                <w:szCs w:val="18"/>
              </w:rPr>
            </w:pPr>
            <w:r>
              <w:rPr>
                <w:sz w:val="18"/>
                <w:szCs w:val="18"/>
              </w:rPr>
              <w:t>°Affordability</w:t>
            </w:r>
            <w:r>
              <w:rPr>
                <w:sz w:val="18"/>
                <w:szCs w:val="18"/>
              </w:rPr>
              <w:br/>
              <w:t>C=-0.044; -0.024</w:t>
            </w:r>
            <w:r>
              <w:rPr>
                <w:sz w:val="18"/>
                <w:szCs w:val="18"/>
              </w:rPr>
              <w:br/>
              <w:t>°Convenience</w:t>
            </w:r>
            <w:r>
              <w:rPr>
                <w:sz w:val="18"/>
                <w:szCs w:val="18"/>
              </w:rPr>
              <w:br/>
              <w:t>C=-0.038; -0.005</w:t>
            </w:r>
          </w:p>
        </w:tc>
        <w:tc>
          <w:tcPr>
            <w:tcW w:w="2097" w:type="dxa"/>
            <w:tcBorders>
              <w:top w:val="single" w:sz="4" w:space="0" w:color="auto"/>
              <w:left w:val="single" w:sz="4" w:space="0" w:color="auto"/>
              <w:bottom w:val="single" w:sz="4" w:space="0" w:color="auto"/>
              <w:right w:val="single" w:sz="4" w:space="0" w:color="auto"/>
            </w:tcBorders>
            <w:hideMark/>
          </w:tcPr>
          <w:p w14:paraId="7F0D3EAB" w14:textId="77777777" w:rsidR="00F9242E" w:rsidRDefault="00F9242E" w:rsidP="003C655B">
            <w:pPr>
              <w:spacing w:line="240" w:lineRule="auto"/>
              <w:rPr>
                <w:sz w:val="18"/>
                <w:szCs w:val="18"/>
              </w:rPr>
            </w:pPr>
            <w:r>
              <w:rPr>
                <w:sz w:val="18"/>
                <w:szCs w:val="18"/>
              </w:rPr>
              <w:t>°Mood</w:t>
            </w:r>
            <w:r>
              <w:rPr>
                <w:sz w:val="18"/>
                <w:szCs w:val="18"/>
              </w:rPr>
              <w:br/>
              <w:t>C=-0.041; -0.04</w:t>
            </w:r>
            <w:r>
              <w:rPr>
                <w:sz w:val="18"/>
                <w:szCs w:val="18"/>
              </w:rPr>
              <w:br/>
              <w:t>°Sensory appeal</w:t>
            </w:r>
            <w:r>
              <w:rPr>
                <w:sz w:val="18"/>
                <w:szCs w:val="18"/>
              </w:rPr>
              <w:br/>
              <w:t>C=0.122; 0.141</w:t>
            </w:r>
          </w:p>
        </w:tc>
        <w:tc>
          <w:tcPr>
            <w:tcW w:w="2764" w:type="dxa"/>
            <w:tcBorders>
              <w:top w:val="single" w:sz="4" w:space="0" w:color="auto"/>
              <w:left w:val="single" w:sz="4" w:space="0" w:color="auto"/>
              <w:bottom w:val="single" w:sz="4" w:space="0" w:color="auto"/>
              <w:right w:val="single" w:sz="4" w:space="0" w:color="auto"/>
            </w:tcBorders>
            <w:hideMark/>
          </w:tcPr>
          <w:p w14:paraId="3A2A2799" w14:textId="77777777" w:rsidR="00F9242E" w:rsidRDefault="00F9242E" w:rsidP="003C655B">
            <w:pPr>
              <w:spacing w:line="240" w:lineRule="auto"/>
              <w:rPr>
                <w:sz w:val="18"/>
                <w:szCs w:val="18"/>
              </w:rPr>
            </w:pPr>
            <w:r>
              <w:rPr>
                <w:sz w:val="18"/>
                <w:szCs w:val="18"/>
              </w:rPr>
              <w:t xml:space="preserve">°Weight control  </w:t>
            </w:r>
            <w:r>
              <w:rPr>
                <w:sz w:val="18"/>
                <w:szCs w:val="18"/>
              </w:rPr>
              <w:br/>
              <w:t>C=0.022; 0.027</w:t>
            </w:r>
            <w:r>
              <w:rPr>
                <w:sz w:val="18"/>
                <w:szCs w:val="18"/>
              </w:rPr>
              <w:br/>
              <w:t>°Natural content</w:t>
            </w:r>
            <w:r>
              <w:rPr>
                <w:sz w:val="18"/>
                <w:szCs w:val="18"/>
              </w:rPr>
              <w:br/>
              <w:t>C=-0.025; -0.005</w:t>
            </w:r>
            <w:r>
              <w:rPr>
                <w:sz w:val="18"/>
                <w:szCs w:val="18"/>
              </w:rPr>
              <w:br/>
              <w:t>°Health</w:t>
            </w:r>
            <w:r>
              <w:rPr>
                <w:sz w:val="18"/>
                <w:szCs w:val="18"/>
              </w:rPr>
              <w:br/>
              <w:t>C=0.21; 0.217</w:t>
            </w:r>
            <w:r>
              <w:rPr>
                <w:sz w:val="18"/>
                <w:szCs w:val="18"/>
              </w:rPr>
              <w:br/>
              <w:t>°Environmental friendliness</w:t>
            </w:r>
            <w:r>
              <w:rPr>
                <w:sz w:val="18"/>
                <w:szCs w:val="18"/>
              </w:rPr>
              <w:br/>
              <w:t>C=-0.086; -0.077</w:t>
            </w:r>
            <w:r>
              <w:rPr>
                <w:sz w:val="18"/>
                <w:szCs w:val="18"/>
              </w:rPr>
              <w:br/>
              <w:t>°Animal friendliness</w:t>
            </w:r>
            <w:r>
              <w:rPr>
                <w:sz w:val="18"/>
                <w:szCs w:val="18"/>
              </w:rPr>
              <w:br/>
              <w:t>C=-0.065; -0.043</w:t>
            </w:r>
            <w:r>
              <w:rPr>
                <w:sz w:val="18"/>
                <w:szCs w:val="18"/>
              </w:rPr>
              <w:br/>
            </w:r>
            <w:r>
              <w:rPr>
                <w:b/>
                <w:bCs/>
                <w:sz w:val="18"/>
                <w:szCs w:val="18"/>
              </w:rPr>
              <w:t>°Fairly traded</w:t>
            </w:r>
            <w:r>
              <w:rPr>
                <w:b/>
                <w:bCs/>
                <w:sz w:val="18"/>
                <w:szCs w:val="18"/>
              </w:rPr>
              <w:br/>
              <w:t>C=-0.237; -0.212</w:t>
            </w:r>
          </w:p>
        </w:tc>
      </w:tr>
      <w:tr w:rsidR="00F9242E" w14:paraId="52076798" w14:textId="77777777" w:rsidTr="00865E93">
        <w:trPr>
          <w:trHeight w:val="1116"/>
        </w:trPr>
        <w:tc>
          <w:tcPr>
            <w:tcW w:w="2310" w:type="dxa"/>
            <w:tcBorders>
              <w:top w:val="single" w:sz="4" w:space="0" w:color="auto"/>
              <w:left w:val="single" w:sz="4" w:space="0" w:color="auto"/>
              <w:bottom w:val="single" w:sz="4" w:space="0" w:color="auto"/>
              <w:right w:val="single" w:sz="4" w:space="0" w:color="auto"/>
            </w:tcBorders>
            <w:hideMark/>
          </w:tcPr>
          <w:p w14:paraId="28D1F32F" w14:textId="77777777" w:rsidR="00F9242E" w:rsidRDefault="00F9242E" w:rsidP="003C655B">
            <w:pPr>
              <w:spacing w:line="240" w:lineRule="auto"/>
              <w:rPr>
                <w:sz w:val="18"/>
                <w:szCs w:val="18"/>
              </w:rPr>
            </w:pPr>
            <w:r>
              <w:rPr>
                <w:sz w:val="18"/>
                <w:szCs w:val="18"/>
              </w:rPr>
              <w:t>Cooking and Food skills Questionnaire</w:t>
            </w:r>
          </w:p>
        </w:tc>
        <w:tc>
          <w:tcPr>
            <w:tcW w:w="1890" w:type="dxa"/>
            <w:tcBorders>
              <w:top w:val="single" w:sz="4" w:space="0" w:color="auto"/>
              <w:left w:val="single" w:sz="4" w:space="0" w:color="auto"/>
              <w:bottom w:val="single" w:sz="4" w:space="0" w:color="auto"/>
              <w:right w:val="single" w:sz="4" w:space="0" w:color="auto"/>
            </w:tcBorders>
            <w:noWrap/>
            <w:hideMark/>
          </w:tcPr>
          <w:p w14:paraId="196B26D2" w14:textId="77777777" w:rsidR="00F9242E" w:rsidRDefault="00F9242E" w:rsidP="003C655B">
            <w:pPr>
              <w:rPr>
                <w:sz w:val="18"/>
                <w:szCs w:val="18"/>
              </w:rPr>
            </w:pPr>
          </w:p>
        </w:tc>
        <w:tc>
          <w:tcPr>
            <w:tcW w:w="2032" w:type="dxa"/>
            <w:tcBorders>
              <w:top w:val="single" w:sz="4" w:space="0" w:color="auto"/>
              <w:left w:val="single" w:sz="4" w:space="0" w:color="auto"/>
              <w:bottom w:val="single" w:sz="4" w:space="0" w:color="auto"/>
              <w:right w:val="single" w:sz="4" w:space="0" w:color="auto"/>
            </w:tcBorders>
            <w:hideMark/>
          </w:tcPr>
          <w:p w14:paraId="3EBD0A79" w14:textId="77777777" w:rsidR="00F9242E" w:rsidRDefault="00F9242E" w:rsidP="003C655B">
            <w:pPr>
              <w:spacing w:line="240" w:lineRule="auto"/>
              <w:rPr>
                <w:sz w:val="18"/>
                <w:szCs w:val="18"/>
              </w:rPr>
            </w:pPr>
            <w:r>
              <w:rPr>
                <w:sz w:val="18"/>
                <w:szCs w:val="18"/>
                <w:lang w:val="en-US"/>
              </w:rPr>
              <w:t>°</w:t>
            </w:r>
            <w:r>
              <w:rPr>
                <w:sz w:val="18"/>
                <w:szCs w:val="18"/>
              </w:rPr>
              <w:t xml:space="preserve">Cooking skills score </w:t>
            </w:r>
            <w:r>
              <w:rPr>
                <w:sz w:val="18"/>
                <w:szCs w:val="18"/>
              </w:rPr>
              <w:br/>
              <w:t>C= 0.016</w:t>
            </w:r>
            <w:r>
              <w:rPr>
                <w:sz w:val="18"/>
                <w:szCs w:val="18"/>
              </w:rPr>
              <w:br/>
              <w:t>°Food skills confidence score</w:t>
            </w:r>
            <w:r>
              <w:rPr>
                <w:sz w:val="18"/>
                <w:szCs w:val="18"/>
              </w:rPr>
              <w:br/>
              <w:t>C=-0.116</w:t>
            </w:r>
          </w:p>
        </w:tc>
        <w:tc>
          <w:tcPr>
            <w:tcW w:w="2127" w:type="dxa"/>
            <w:tcBorders>
              <w:top w:val="single" w:sz="4" w:space="0" w:color="auto"/>
              <w:left w:val="single" w:sz="4" w:space="0" w:color="auto"/>
              <w:bottom w:val="single" w:sz="4" w:space="0" w:color="auto"/>
              <w:right w:val="single" w:sz="4" w:space="0" w:color="auto"/>
            </w:tcBorders>
            <w:noWrap/>
            <w:hideMark/>
          </w:tcPr>
          <w:p w14:paraId="7547A908" w14:textId="77777777" w:rsidR="00F9242E" w:rsidRDefault="00F9242E" w:rsidP="003C655B">
            <w:pPr>
              <w:rPr>
                <w:sz w:val="18"/>
                <w:szCs w:val="18"/>
              </w:rPr>
            </w:pPr>
          </w:p>
        </w:tc>
        <w:tc>
          <w:tcPr>
            <w:tcW w:w="1446" w:type="dxa"/>
            <w:tcBorders>
              <w:top w:val="single" w:sz="4" w:space="0" w:color="auto"/>
              <w:left w:val="single" w:sz="4" w:space="0" w:color="auto"/>
              <w:bottom w:val="single" w:sz="4" w:space="0" w:color="auto"/>
              <w:right w:val="single" w:sz="4" w:space="0" w:color="auto"/>
            </w:tcBorders>
            <w:noWrap/>
            <w:hideMark/>
          </w:tcPr>
          <w:p w14:paraId="592C9962" w14:textId="77777777" w:rsidR="00F9242E" w:rsidRDefault="00F9242E" w:rsidP="003C655B">
            <w:pPr>
              <w:spacing w:line="240" w:lineRule="auto"/>
              <w:rPr>
                <w:kern w:val="0"/>
                <w:sz w:val="20"/>
                <w:szCs w:val="20"/>
                <w:lang w:eastAsia="en-GB"/>
                <w14:ligatures w14:val="none"/>
              </w:rPr>
            </w:pPr>
          </w:p>
        </w:tc>
        <w:tc>
          <w:tcPr>
            <w:tcW w:w="2097" w:type="dxa"/>
            <w:tcBorders>
              <w:top w:val="single" w:sz="4" w:space="0" w:color="auto"/>
              <w:left w:val="single" w:sz="4" w:space="0" w:color="auto"/>
              <w:bottom w:val="single" w:sz="4" w:space="0" w:color="auto"/>
              <w:right w:val="single" w:sz="4" w:space="0" w:color="auto"/>
            </w:tcBorders>
            <w:noWrap/>
            <w:hideMark/>
          </w:tcPr>
          <w:p w14:paraId="1F0519A6" w14:textId="77777777" w:rsidR="00F9242E" w:rsidRDefault="00F9242E" w:rsidP="003C655B">
            <w:pPr>
              <w:spacing w:line="240" w:lineRule="auto"/>
              <w:rPr>
                <w:kern w:val="0"/>
                <w:sz w:val="20"/>
                <w:szCs w:val="20"/>
                <w:lang w:eastAsia="en-GB"/>
                <w14:ligatures w14:val="none"/>
              </w:rPr>
            </w:pPr>
          </w:p>
        </w:tc>
        <w:tc>
          <w:tcPr>
            <w:tcW w:w="2764" w:type="dxa"/>
            <w:tcBorders>
              <w:top w:val="single" w:sz="4" w:space="0" w:color="auto"/>
              <w:left w:val="single" w:sz="4" w:space="0" w:color="auto"/>
              <w:bottom w:val="single" w:sz="4" w:space="0" w:color="auto"/>
              <w:right w:val="single" w:sz="4" w:space="0" w:color="auto"/>
            </w:tcBorders>
            <w:noWrap/>
            <w:hideMark/>
          </w:tcPr>
          <w:p w14:paraId="21B5AF00" w14:textId="77777777" w:rsidR="00F9242E" w:rsidRDefault="00F9242E" w:rsidP="003C655B">
            <w:pPr>
              <w:spacing w:line="240" w:lineRule="auto"/>
              <w:rPr>
                <w:kern w:val="0"/>
                <w:sz w:val="20"/>
                <w:szCs w:val="20"/>
                <w:lang w:eastAsia="en-GB"/>
                <w14:ligatures w14:val="none"/>
              </w:rPr>
            </w:pPr>
          </w:p>
        </w:tc>
      </w:tr>
      <w:tr w:rsidR="00F9242E" w14:paraId="17DE1861" w14:textId="77777777" w:rsidTr="00865E93">
        <w:trPr>
          <w:trHeight w:val="512"/>
        </w:trPr>
        <w:tc>
          <w:tcPr>
            <w:tcW w:w="2310" w:type="dxa"/>
            <w:tcBorders>
              <w:top w:val="single" w:sz="4" w:space="0" w:color="auto"/>
              <w:left w:val="single" w:sz="4" w:space="0" w:color="auto"/>
              <w:bottom w:val="single" w:sz="4" w:space="0" w:color="auto"/>
              <w:right w:val="single" w:sz="4" w:space="0" w:color="auto"/>
            </w:tcBorders>
            <w:hideMark/>
          </w:tcPr>
          <w:p w14:paraId="011E0ED6" w14:textId="77777777" w:rsidR="00F9242E" w:rsidRDefault="00F9242E" w:rsidP="003C655B">
            <w:pPr>
              <w:spacing w:line="240" w:lineRule="auto"/>
              <w:rPr>
                <w:sz w:val="18"/>
                <w:szCs w:val="18"/>
              </w:rPr>
            </w:pPr>
            <w:r>
              <w:rPr>
                <w:sz w:val="18"/>
                <w:szCs w:val="18"/>
              </w:rPr>
              <w:t>Social norms/ Theory of Planned Behaviour</w:t>
            </w:r>
          </w:p>
        </w:tc>
        <w:tc>
          <w:tcPr>
            <w:tcW w:w="1890" w:type="dxa"/>
            <w:tcBorders>
              <w:top w:val="single" w:sz="4" w:space="0" w:color="auto"/>
              <w:left w:val="single" w:sz="4" w:space="0" w:color="auto"/>
              <w:bottom w:val="single" w:sz="4" w:space="0" w:color="auto"/>
              <w:right w:val="single" w:sz="4" w:space="0" w:color="auto"/>
            </w:tcBorders>
            <w:noWrap/>
            <w:hideMark/>
          </w:tcPr>
          <w:p w14:paraId="792BC855" w14:textId="77777777" w:rsidR="00F9242E" w:rsidRDefault="00F9242E" w:rsidP="003C655B">
            <w:pPr>
              <w:rPr>
                <w:sz w:val="18"/>
                <w:szCs w:val="18"/>
              </w:rPr>
            </w:pPr>
          </w:p>
        </w:tc>
        <w:tc>
          <w:tcPr>
            <w:tcW w:w="2032" w:type="dxa"/>
            <w:tcBorders>
              <w:top w:val="single" w:sz="4" w:space="0" w:color="auto"/>
              <w:left w:val="single" w:sz="4" w:space="0" w:color="auto"/>
              <w:bottom w:val="single" w:sz="4" w:space="0" w:color="auto"/>
              <w:right w:val="single" w:sz="4" w:space="0" w:color="auto"/>
            </w:tcBorders>
            <w:hideMark/>
          </w:tcPr>
          <w:p w14:paraId="1FB1659C" w14:textId="77777777" w:rsidR="00F9242E" w:rsidRDefault="00F9242E" w:rsidP="003C655B">
            <w:pPr>
              <w:spacing w:line="240" w:lineRule="auto"/>
              <w:rPr>
                <w:kern w:val="0"/>
                <w:sz w:val="20"/>
                <w:szCs w:val="20"/>
                <w:lang w:eastAsia="en-GB"/>
                <w14:ligatures w14:val="none"/>
              </w:rPr>
            </w:pPr>
          </w:p>
        </w:tc>
        <w:tc>
          <w:tcPr>
            <w:tcW w:w="2127" w:type="dxa"/>
            <w:tcBorders>
              <w:top w:val="single" w:sz="4" w:space="0" w:color="auto"/>
              <w:left w:val="single" w:sz="4" w:space="0" w:color="auto"/>
              <w:bottom w:val="single" w:sz="4" w:space="0" w:color="auto"/>
              <w:right w:val="single" w:sz="4" w:space="0" w:color="auto"/>
            </w:tcBorders>
            <w:hideMark/>
          </w:tcPr>
          <w:p w14:paraId="7393D2EE" w14:textId="77777777" w:rsidR="00F9242E" w:rsidRDefault="00F9242E" w:rsidP="003C655B">
            <w:pPr>
              <w:spacing w:line="240" w:lineRule="auto"/>
              <w:rPr>
                <w:sz w:val="18"/>
                <w:szCs w:val="18"/>
              </w:rPr>
            </w:pPr>
            <w:r>
              <w:rPr>
                <w:sz w:val="18"/>
                <w:szCs w:val="18"/>
              </w:rPr>
              <w:t xml:space="preserve">°Perceived social norms     </w:t>
            </w:r>
          </w:p>
          <w:p w14:paraId="090FFCAF" w14:textId="77777777" w:rsidR="00F9242E" w:rsidRDefault="00F9242E" w:rsidP="003C655B">
            <w:pPr>
              <w:spacing w:line="240" w:lineRule="auto"/>
              <w:rPr>
                <w:sz w:val="18"/>
                <w:szCs w:val="18"/>
              </w:rPr>
            </w:pPr>
            <w:r>
              <w:rPr>
                <w:sz w:val="18"/>
                <w:szCs w:val="18"/>
              </w:rPr>
              <w:t>C= -0.055; -0.038</w:t>
            </w:r>
          </w:p>
        </w:tc>
        <w:tc>
          <w:tcPr>
            <w:tcW w:w="1446" w:type="dxa"/>
            <w:tcBorders>
              <w:top w:val="single" w:sz="4" w:space="0" w:color="auto"/>
              <w:left w:val="single" w:sz="4" w:space="0" w:color="auto"/>
              <w:bottom w:val="single" w:sz="4" w:space="0" w:color="auto"/>
              <w:right w:val="single" w:sz="4" w:space="0" w:color="auto"/>
            </w:tcBorders>
            <w:noWrap/>
            <w:hideMark/>
          </w:tcPr>
          <w:p w14:paraId="455D81BE" w14:textId="77777777" w:rsidR="00F9242E" w:rsidRDefault="00F9242E" w:rsidP="003C655B">
            <w:pPr>
              <w:rPr>
                <w:sz w:val="18"/>
                <w:szCs w:val="18"/>
              </w:rPr>
            </w:pPr>
          </w:p>
        </w:tc>
        <w:tc>
          <w:tcPr>
            <w:tcW w:w="2097" w:type="dxa"/>
            <w:tcBorders>
              <w:top w:val="single" w:sz="4" w:space="0" w:color="auto"/>
              <w:left w:val="single" w:sz="4" w:space="0" w:color="auto"/>
              <w:bottom w:val="single" w:sz="4" w:space="0" w:color="auto"/>
              <w:right w:val="single" w:sz="4" w:space="0" w:color="auto"/>
            </w:tcBorders>
            <w:noWrap/>
            <w:hideMark/>
          </w:tcPr>
          <w:p w14:paraId="2F472A65" w14:textId="77777777" w:rsidR="00F9242E" w:rsidRDefault="00F9242E" w:rsidP="003C655B">
            <w:pPr>
              <w:spacing w:line="240" w:lineRule="auto"/>
              <w:rPr>
                <w:kern w:val="0"/>
                <w:sz w:val="20"/>
                <w:szCs w:val="20"/>
                <w:lang w:eastAsia="en-GB"/>
                <w14:ligatures w14:val="none"/>
              </w:rPr>
            </w:pPr>
          </w:p>
        </w:tc>
        <w:tc>
          <w:tcPr>
            <w:tcW w:w="2764" w:type="dxa"/>
            <w:tcBorders>
              <w:top w:val="single" w:sz="4" w:space="0" w:color="auto"/>
              <w:left w:val="single" w:sz="4" w:space="0" w:color="auto"/>
              <w:bottom w:val="single" w:sz="4" w:space="0" w:color="auto"/>
              <w:right w:val="single" w:sz="4" w:space="0" w:color="auto"/>
            </w:tcBorders>
            <w:noWrap/>
            <w:hideMark/>
          </w:tcPr>
          <w:p w14:paraId="58322C66" w14:textId="77777777" w:rsidR="00F9242E" w:rsidRDefault="00F9242E" w:rsidP="003C655B">
            <w:pPr>
              <w:spacing w:line="240" w:lineRule="auto"/>
              <w:rPr>
                <w:kern w:val="0"/>
                <w:sz w:val="20"/>
                <w:szCs w:val="20"/>
                <w:lang w:eastAsia="en-GB"/>
                <w14:ligatures w14:val="none"/>
              </w:rPr>
            </w:pPr>
          </w:p>
        </w:tc>
      </w:tr>
      <w:tr w:rsidR="00F9242E" w14:paraId="0D918E2F" w14:textId="77777777" w:rsidTr="00865E93">
        <w:trPr>
          <w:trHeight w:val="548"/>
        </w:trPr>
        <w:tc>
          <w:tcPr>
            <w:tcW w:w="2310" w:type="dxa"/>
            <w:tcBorders>
              <w:top w:val="single" w:sz="4" w:space="0" w:color="auto"/>
              <w:left w:val="single" w:sz="4" w:space="0" w:color="auto"/>
              <w:bottom w:val="single" w:sz="4" w:space="0" w:color="auto"/>
              <w:right w:val="single" w:sz="4" w:space="0" w:color="auto"/>
            </w:tcBorders>
            <w:hideMark/>
          </w:tcPr>
          <w:p w14:paraId="3E59F41D" w14:textId="77777777" w:rsidR="00F9242E" w:rsidRDefault="00F9242E" w:rsidP="003C655B">
            <w:pPr>
              <w:spacing w:line="240" w:lineRule="auto"/>
              <w:rPr>
                <w:sz w:val="18"/>
                <w:szCs w:val="18"/>
              </w:rPr>
            </w:pPr>
            <w:r>
              <w:rPr>
                <w:sz w:val="18"/>
                <w:szCs w:val="18"/>
              </w:rPr>
              <w:t>Cues to Action Questionnaire</w:t>
            </w:r>
          </w:p>
        </w:tc>
        <w:tc>
          <w:tcPr>
            <w:tcW w:w="1890" w:type="dxa"/>
            <w:tcBorders>
              <w:top w:val="single" w:sz="4" w:space="0" w:color="auto"/>
              <w:left w:val="single" w:sz="4" w:space="0" w:color="auto"/>
              <w:bottom w:val="single" w:sz="4" w:space="0" w:color="auto"/>
              <w:right w:val="single" w:sz="4" w:space="0" w:color="auto"/>
            </w:tcBorders>
            <w:noWrap/>
            <w:hideMark/>
          </w:tcPr>
          <w:p w14:paraId="1BF6E330" w14:textId="77777777" w:rsidR="00F9242E" w:rsidRDefault="00F9242E" w:rsidP="003C655B">
            <w:pPr>
              <w:rPr>
                <w:sz w:val="18"/>
                <w:szCs w:val="18"/>
              </w:rPr>
            </w:pPr>
          </w:p>
        </w:tc>
        <w:tc>
          <w:tcPr>
            <w:tcW w:w="2032" w:type="dxa"/>
            <w:tcBorders>
              <w:top w:val="single" w:sz="4" w:space="0" w:color="auto"/>
              <w:left w:val="single" w:sz="4" w:space="0" w:color="auto"/>
              <w:bottom w:val="single" w:sz="4" w:space="0" w:color="auto"/>
              <w:right w:val="single" w:sz="4" w:space="0" w:color="auto"/>
            </w:tcBorders>
            <w:noWrap/>
            <w:hideMark/>
          </w:tcPr>
          <w:p w14:paraId="69767C6E" w14:textId="77777777" w:rsidR="00F9242E" w:rsidRDefault="00F9242E" w:rsidP="003C655B">
            <w:pPr>
              <w:spacing w:line="240" w:lineRule="auto"/>
              <w:rPr>
                <w:kern w:val="0"/>
                <w:sz w:val="20"/>
                <w:szCs w:val="20"/>
                <w:lang w:eastAsia="en-GB"/>
                <w14:ligatures w14:val="none"/>
              </w:rPr>
            </w:pPr>
          </w:p>
        </w:tc>
        <w:tc>
          <w:tcPr>
            <w:tcW w:w="2127" w:type="dxa"/>
            <w:tcBorders>
              <w:top w:val="single" w:sz="4" w:space="0" w:color="auto"/>
              <w:left w:val="single" w:sz="4" w:space="0" w:color="auto"/>
              <w:bottom w:val="single" w:sz="4" w:space="0" w:color="auto"/>
              <w:right w:val="single" w:sz="4" w:space="0" w:color="auto"/>
            </w:tcBorders>
            <w:hideMark/>
          </w:tcPr>
          <w:p w14:paraId="0190798E" w14:textId="77777777" w:rsidR="00F9242E" w:rsidRDefault="00F9242E" w:rsidP="003C655B">
            <w:pPr>
              <w:spacing w:line="240" w:lineRule="auto"/>
              <w:rPr>
                <w:kern w:val="0"/>
                <w:sz w:val="20"/>
                <w:szCs w:val="20"/>
                <w:lang w:eastAsia="en-GB"/>
                <w14:ligatures w14:val="none"/>
              </w:rPr>
            </w:pPr>
          </w:p>
        </w:tc>
        <w:tc>
          <w:tcPr>
            <w:tcW w:w="1446" w:type="dxa"/>
            <w:tcBorders>
              <w:top w:val="single" w:sz="4" w:space="0" w:color="auto"/>
              <w:left w:val="single" w:sz="4" w:space="0" w:color="auto"/>
              <w:bottom w:val="single" w:sz="4" w:space="0" w:color="auto"/>
              <w:right w:val="single" w:sz="4" w:space="0" w:color="auto"/>
            </w:tcBorders>
            <w:noWrap/>
            <w:hideMark/>
          </w:tcPr>
          <w:p w14:paraId="1E93FE27" w14:textId="77777777" w:rsidR="00F9242E" w:rsidRDefault="00F9242E" w:rsidP="003C655B">
            <w:pPr>
              <w:spacing w:line="240" w:lineRule="auto"/>
              <w:rPr>
                <w:kern w:val="0"/>
                <w:sz w:val="20"/>
                <w:szCs w:val="20"/>
                <w:lang w:eastAsia="en-GB"/>
                <w14:ligatures w14:val="none"/>
              </w:rPr>
            </w:pPr>
          </w:p>
        </w:tc>
        <w:tc>
          <w:tcPr>
            <w:tcW w:w="2097" w:type="dxa"/>
            <w:tcBorders>
              <w:top w:val="single" w:sz="4" w:space="0" w:color="auto"/>
              <w:left w:val="single" w:sz="4" w:space="0" w:color="auto"/>
              <w:bottom w:val="single" w:sz="4" w:space="0" w:color="auto"/>
              <w:right w:val="single" w:sz="4" w:space="0" w:color="auto"/>
            </w:tcBorders>
            <w:noWrap/>
            <w:hideMark/>
          </w:tcPr>
          <w:p w14:paraId="2E89CF2C" w14:textId="77777777" w:rsidR="00F9242E" w:rsidRDefault="00F9242E" w:rsidP="003C655B">
            <w:pPr>
              <w:spacing w:line="240" w:lineRule="auto"/>
              <w:rPr>
                <w:kern w:val="0"/>
                <w:sz w:val="20"/>
                <w:szCs w:val="20"/>
                <w:lang w:eastAsia="en-GB"/>
                <w14:ligatures w14:val="none"/>
              </w:rPr>
            </w:pPr>
          </w:p>
        </w:tc>
        <w:tc>
          <w:tcPr>
            <w:tcW w:w="2764" w:type="dxa"/>
            <w:tcBorders>
              <w:top w:val="single" w:sz="4" w:space="0" w:color="auto"/>
              <w:left w:val="single" w:sz="4" w:space="0" w:color="auto"/>
              <w:bottom w:val="single" w:sz="4" w:space="0" w:color="auto"/>
              <w:right w:val="single" w:sz="4" w:space="0" w:color="auto"/>
            </w:tcBorders>
            <w:hideMark/>
          </w:tcPr>
          <w:p w14:paraId="77DDA861" w14:textId="77777777" w:rsidR="00F9242E" w:rsidRDefault="00F9242E" w:rsidP="003C655B">
            <w:pPr>
              <w:spacing w:line="240" w:lineRule="auto"/>
              <w:rPr>
                <w:sz w:val="18"/>
                <w:szCs w:val="18"/>
              </w:rPr>
            </w:pPr>
            <w:r>
              <w:rPr>
                <w:sz w:val="18"/>
                <w:szCs w:val="18"/>
              </w:rPr>
              <w:t>°Cues to action</w:t>
            </w:r>
            <w:r>
              <w:rPr>
                <w:sz w:val="18"/>
                <w:szCs w:val="18"/>
              </w:rPr>
              <w:br/>
              <w:t>C=-0.041; -0.04</w:t>
            </w:r>
          </w:p>
        </w:tc>
      </w:tr>
      <w:tr w:rsidR="00F9242E" w14:paraId="50F7361D" w14:textId="77777777" w:rsidTr="00865E93">
        <w:trPr>
          <w:trHeight w:val="1344"/>
        </w:trPr>
        <w:tc>
          <w:tcPr>
            <w:tcW w:w="2310" w:type="dxa"/>
            <w:tcBorders>
              <w:top w:val="single" w:sz="4" w:space="0" w:color="auto"/>
              <w:left w:val="single" w:sz="4" w:space="0" w:color="auto"/>
              <w:bottom w:val="single" w:sz="4" w:space="0" w:color="auto"/>
              <w:right w:val="single" w:sz="4" w:space="0" w:color="auto"/>
            </w:tcBorders>
            <w:hideMark/>
          </w:tcPr>
          <w:p w14:paraId="24086363" w14:textId="77777777" w:rsidR="00F9242E" w:rsidRDefault="00F9242E" w:rsidP="003C655B">
            <w:pPr>
              <w:spacing w:line="240" w:lineRule="auto"/>
              <w:rPr>
                <w:sz w:val="18"/>
                <w:szCs w:val="18"/>
              </w:rPr>
            </w:pPr>
            <w:r>
              <w:rPr>
                <w:sz w:val="18"/>
                <w:szCs w:val="18"/>
              </w:rPr>
              <w:t>Knowledge Questionnaire</w:t>
            </w:r>
          </w:p>
        </w:tc>
        <w:tc>
          <w:tcPr>
            <w:tcW w:w="1890" w:type="dxa"/>
            <w:tcBorders>
              <w:top w:val="single" w:sz="4" w:space="0" w:color="auto"/>
              <w:left w:val="single" w:sz="4" w:space="0" w:color="auto"/>
              <w:bottom w:val="single" w:sz="4" w:space="0" w:color="auto"/>
              <w:right w:val="single" w:sz="4" w:space="0" w:color="auto"/>
            </w:tcBorders>
            <w:hideMark/>
          </w:tcPr>
          <w:p w14:paraId="70D99D49" w14:textId="77777777" w:rsidR="00F9242E" w:rsidRDefault="00F9242E" w:rsidP="003C655B">
            <w:pPr>
              <w:spacing w:line="240" w:lineRule="auto"/>
              <w:rPr>
                <w:sz w:val="18"/>
                <w:szCs w:val="18"/>
              </w:rPr>
            </w:pPr>
            <w:r>
              <w:rPr>
                <w:sz w:val="18"/>
                <w:szCs w:val="18"/>
              </w:rPr>
              <w:t>°Knowledge score diet</w:t>
            </w:r>
            <w:r>
              <w:rPr>
                <w:sz w:val="18"/>
                <w:szCs w:val="18"/>
              </w:rPr>
              <w:br/>
              <w:t>C=0.007</w:t>
            </w:r>
            <w:r>
              <w:rPr>
                <w:sz w:val="18"/>
                <w:szCs w:val="18"/>
              </w:rPr>
              <w:br/>
              <w:t>°Knowledge score individual/lifestyle</w:t>
            </w:r>
            <w:r>
              <w:rPr>
                <w:sz w:val="18"/>
                <w:szCs w:val="18"/>
              </w:rPr>
              <w:br/>
              <w:t>C=0.211</w:t>
            </w:r>
          </w:p>
        </w:tc>
        <w:tc>
          <w:tcPr>
            <w:tcW w:w="2032" w:type="dxa"/>
            <w:tcBorders>
              <w:top w:val="single" w:sz="4" w:space="0" w:color="auto"/>
              <w:left w:val="single" w:sz="4" w:space="0" w:color="auto"/>
              <w:bottom w:val="single" w:sz="4" w:space="0" w:color="auto"/>
              <w:right w:val="single" w:sz="4" w:space="0" w:color="auto"/>
            </w:tcBorders>
            <w:noWrap/>
            <w:hideMark/>
          </w:tcPr>
          <w:p w14:paraId="6773EEEE" w14:textId="77777777" w:rsidR="00F9242E" w:rsidRDefault="00F9242E" w:rsidP="003C655B">
            <w:pPr>
              <w:rPr>
                <w:sz w:val="18"/>
                <w:szCs w:val="18"/>
              </w:rPr>
            </w:pPr>
          </w:p>
        </w:tc>
        <w:tc>
          <w:tcPr>
            <w:tcW w:w="2127" w:type="dxa"/>
            <w:tcBorders>
              <w:top w:val="single" w:sz="4" w:space="0" w:color="auto"/>
              <w:left w:val="single" w:sz="4" w:space="0" w:color="auto"/>
              <w:bottom w:val="single" w:sz="4" w:space="0" w:color="auto"/>
              <w:right w:val="single" w:sz="4" w:space="0" w:color="auto"/>
            </w:tcBorders>
            <w:noWrap/>
            <w:hideMark/>
          </w:tcPr>
          <w:p w14:paraId="65A21293" w14:textId="77777777" w:rsidR="00F9242E" w:rsidRDefault="00F9242E" w:rsidP="003C655B">
            <w:pPr>
              <w:spacing w:line="240" w:lineRule="auto"/>
              <w:rPr>
                <w:kern w:val="0"/>
                <w:sz w:val="20"/>
                <w:szCs w:val="20"/>
                <w:lang w:eastAsia="en-GB"/>
                <w14:ligatures w14:val="none"/>
              </w:rPr>
            </w:pPr>
          </w:p>
        </w:tc>
        <w:tc>
          <w:tcPr>
            <w:tcW w:w="1446" w:type="dxa"/>
            <w:tcBorders>
              <w:top w:val="single" w:sz="4" w:space="0" w:color="auto"/>
              <w:left w:val="single" w:sz="4" w:space="0" w:color="auto"/>
              <w:bottom w:val="single" w:sz="4" w:space="0" w:color="auto"/>
              <w:right w:val="single" w:sz="4" w:space="0" w:color="auto"/>
            </w:tcBorders>
            <w:noWrap/>
            <w:hideMark/>
          </w:tcPr>
          <w:p w14:paraId="15AF83BF" w14:textId="77777777" w:rsidR="00F9242E" w:rsidRDefault="00F9242E" w:rsidP="003C655B">
            <w:pPr>
              <w:spacing w:line="240" w:lineRule="auto"/>
              <w:rPr>
                <w:kern w:val="0"/>
                <w:sz w:val="20"/>
                <w:szCs w:val="20"/>
                <w:lang w:eastAsia="en-GB"/>
                <w14:ligatures w14:val="none"/>
              </w:rPr>
            </w:pPr>
          </w:p>
        </w:tc>
        <w:tc>
          <w:tcPr>
            <w:tcW w:w="2097" w:type="dxa"/>
            <w:tcBorders>
              <w:top w:val="single" w:sz="4" w:space="0" w:color="auto"/>
              <w:left w:val="single" w:sz="4" w:space="0" w:color="auto"/>
              <w:bottom w:val="single" w:sz="4" w:space="0" w:color="auto"/>
              <w:right w:val="single" w:sz="4" w:space="0" w:color="auto"/>
            </w:tcBorders>
            <w:noWrap/>
            <w:hideMark/>
          </w:tcPr>
          <w:p w14:paraId="095DF0E9" w14:textId="77777777" w:rsidR="00F9242E" w:rsidRDefault="00F9242E" w:rsidP="003C655B">
            <w:pPr>
              <w:spacing w:line="240" w:lineRule="auto"/>
              <w:rPr>
                <w:kern w:val="0"/>
                <w:sz w:val="20"/>
                <w:szCs w:val="20"/>
                <w:lang w:eastAsia="en-GB"/>
                <w14:ligatures w14:val="none"/>
              </w:rPr>
            </w:pPr>
          </w:p>
        </w:tc>
        <w:tc>
          <w:tcPr>
            <w:tcW w:w="2764" w:type="dxa"/>
            <w:tcBorders>
              <w:top w:val="single" w:sz="4" w:space="0" w:color="auto"/>
              <w:left w:val="single" w:sz="4" w:space="0" w:color="auto"/>
              <w:bottom w:val="single" w:sz="4" w:space="0" w:color="auto"/>
              <w:right w:val="single" w:sz="4" w:space="0" w:color="auto"/>
            </w:tcBorders>
            <w:noWrap/>
            <w:hideMark/>
          </w:tcPr>
          <w:p w14:paraId="73EFC8CC" w14:textId="77777777" w:rsidR="00F9242E" w:rsidRDefault="00F9242E" w:rsidP="003C655B">
            <w:pPr>
              <w:spacing w:line="240" w:lineRule="auto"/>
              <w:rPr>
                <w:kern w:val="0"/>
                <w:sz w:val="20"/>
                <w:szCs w:val="20"/>
                <w:lang w:eastAsia="en-GB"/>
                <w14:ligatures w14:val="none"/>
              </w:rPr>
            </w:pPr>
          </w:p>
        </w:tc>
      </w:tr>
      <w:tr w:rsidR="00F9242E" w14:paraId="5F4758FB" w14:textId="77777777" w:rsidTr="00865E93">
        <w:trPr>
          <w:trHeight w:val="259"/>
        </w:trPr>
        <w:tc>
          <w:tcPr>
            <w:tcW w:w="2310" w:type="dxa"/>
            <w:tcBorders>
              <w:top w:val="single" w:sz="4" w:space="0" w:color="auto"/>
              <w:left w:val="single" w:sz="4" w:space="0" w:color="auto"/>
              <w:bottom w:val="single" w:sz="4" w:space="0" w:color="auto"/>
              <w:right w:val="single" w:sz="4" w:space="0" w:color="auto"/>
            </w:tcBorders>
            <w:hideMark/>
          </w:tcPr>
          <w:p w14:paraId="36E3E80D" w14:textId="77777777" w:rsidR="00F9242E" w:rsidRDefault="00F9242E" w:rsidP="003C655B">
            <w:pPr>
              <w:spacing w:line="240" w:lineRule="auto"/>
              <w:rPr>
                <w:sz w:val="18"/>
                <w:szCs w:val="18"/>
              </w:rPr>
            </w:pPr>
            <w:r>
              <w:rPr>
                <w:sz w:val="18"/>
                <w:szCs w:val="18"/>
              </w:rPr>
              <w:t>Intervention types</w:t>
            </w:r>
          </w:p>
        </w:tc>
        <w:tc>
          <w:tcPr>
            <w:tcW w:w="1890" w:type="dxa"/>
            <w:tcBorders>
              <w:top w:val="single" w:sz="4" w:space="0" w:color="auto"/>
              <w:left w:val="single" w:sz="4" w:space="0" w:color="auto"/>
              <w:bottom w:val="single" w:sz="4" w:space="0" w:color="auto"/>
              <w:right w:val="single" w:sz="4" w:space="0" w:color="auto"/>
            </w:tcBorders>
            <w:noWrap/>
            <w:hideMark/>
          </w:tcPr>
          <w:p w14:paraId="604A1BAE" w14:textId="77777777" w:rsidR="00F9242E" w:rsidRDefault="00F9242E" w:rsidP="003C655B">
            <w:pPr>
              <w:spacing w:line="240" w:lineRule="auto"/>
              <w:rPr>
                <w:sz w:val="18"/>
                <w:szCs w:val="18"/>
              </w:rPr>
            </w:pPr>
            <w:r>
              <w:rPr>
                <w:sz w:val="18"/>
                <w:szCs w:val="18"/>
              </w:rPr>
              <w:t>Ed, En, Tr</w:t>
            </w:r>
          </w:p>
        </w:tc>
        <w:tc>
          <w:tcPr>
            <w:tcW w:w="2032" w:type="dxa"/>
            <w:tcBorders>
              <w:top w:val="single" w:sz="4" w:space="0" w:color="auto"/>
              <w:left w:val="single" w:sz="4" w:space="0" w:color="auto"/>
              <w:bottom w:val="single" w:sz="4" w:space="0" w:color="auto"/>
              <w:right w:val="single" w:sz="4" w:space="0" w:color="auto"/>
            </w:tcBorders>
            <w:noWrap/>
            <w:hideMark/>
          </w:tcPr>
          <w:p w14:paraId="1614BDB4" w14:textId="77777777" w:rsidR="00F9242E" w:rsidRDefault="00F9242E" w:rsidP="003C655B">
            <w:pPr>
              <w:spacing w:line="240" w:lineRule="auto"/>
              <w:rPr>
                <w:sz w:val="18"/>
                <w:szCs w:val="18"/>
              </w:rPr>
            </w:pPr>
            <w:r>
              <w:rPr>
                <w:sz w:val="18"/>
                <w:szCs w:val="18"/>
              </w:rPr>
              <w:t>En, Tr</w:t>
            </w:r>
          </w:p>
        </w:tc>
        <w:tc>
          <w:tcPr>
            <w:tcW w:w="2127" w:type="dxa"/>
            <w:tcBorders>
              <w:top w:val="single" w:sz="4" w:space="0" w:color="auto"/>
              <w:left w:val="single" w:sz="4" w:space="0" w:color="auto"/>
              <w:bottom w:val="single" w:sz="4" w:space="0" w:color="auto"/>
              <w:right w:val="single" w:sz="4" w:space="0" w:color="auto"/>
            </w:tcBorders>
            <w:noWrap/>
            <w:hideMark/>
          </w:tcPr>
          <w:p w14:paraId="34BE4D8D" w14:textId="77777777" w:rsidR="00F9242E" w:rsidRDefault="00F9242E" w:rsidP="003C655B">
            <w:pPr>
              <w:spacing w:line="240" w:lineRule="auto"/>
              <w:rPr>
                <w:sz w:val="18"/>
                <w:szCs w:val="18"/>
              </w:rPr>
            </w:pPr>
            <w:r>
              <w:rPr>
                <w:sz w:val="18"/>
                <w:szCs w:val="18"/>
              </w:rPr>
              <w:t>En, Er, Mo, Re</w:t>
            </w:r>
          </w:p>
        </w:tc>
        <w:tc>
          <w:tcPr>
            <w:tcW w:w="1446" w:type="dxa"/>
            <w:tcBorders>
              <w:top w:val="single" w:sz="4" w:space="0" w:color="auto"/>
              <w:left w:val="single" w:sz="4" w:space="0" w:color="auto"/>
              <w:bottom w:val="single" w:sz="4" w:space="0" w:color="auto"/>
              <w:right w:val="single" w:sz="4" w:space="0" w:color="auto"/>
            </w:tcBorders>
            <w:noWrap/>
            <w:hideMark/>
          </w:tcPr>
          <w:p w14:paraId="03B1E5AE" w14:textId="77777777" w:rsidR="00F9242E" w:rsidRDefault="00F9242E" w:rsidP="003C655B">
            <w:pPr>
              <w:spacing w:line="240" w:lineRule="auto"/>
              <w:rPr>
                <w:sz w:val="18"/>
                <w:szCs w:val="18"/>
              </w:rPr>
            </w:pPr>
            <w:r>
              <w:rPr>
                <w:sz w:val="18"/>
                <w:szCs w:val="18"/>
              </w:rPr>
              <w:t>En, Er, Re, Tr</w:t>
            </w:r>
          </w:p>
        </w:tc>
        <w:tc>
          <w:tcPr>
            <w:tcW w:w="2097" w:type="dxa"/>
            <w:tcBorders>
              <w:top w:val="single" w:sz="4" w:space="0" w:color="auto"/>
              <w:left w:val="single" w:sz="4" w:space="0" w:color="auto"/>
              <w:bottom w:val="single" w:sz="4" w:space="0" w:color="auto"/>
              <w:right w:val="single" w:sz="4" w:space="0" w:color="auto"/>
            </w:tcBorders>
            <w:noWrap/>
            <w:hideMark/>
          </w:tcPr>
          <w:p w14:paraId="5AC4F450" w14:textId="77777777" w:rsidR="00F9242E" w:rsidRDefault="00F9242E" w:rsidP="003C655B">
            <w:pPr>
              <w:spacing w:line="240" w:lineRule="auto"/>
              <w:rPr>
                <w:sz w:val="18"/>
                <w:szCs w:val="18"/>
              </w:rPr>
            </w:pPr>
            <w:r>
              <w:rPr>
                <w:sz w:val="18"/>
                <w:szCs w:val="18"/>
              </w:rPr>
              <w:t>Co, En, Er, In, Mo, Pe, Tr</w:t>
            </w:r>
          </w:p>
        </w:tc>
        <w:tc>
          <w:tcPr>
            <w:tcW w:w="2764" w:type="dxa"/>
            <w:tcBorders>
              <w:top w:val="single" w:sz="4" w:space="0" w:color="auto"/>
              <w:left w:val="single" w:sz="4" w:space="0" w:color="auto"/>
              <w:bottom w:val="single" w:sz="4" w:space="0" w:color="auto"/>
              <w:right w:val="single" w:sz="4" w:space="0" w:color="auto"/>
            </w:tcBorders>
            <w:noWrap/>
            <w:hideMark/>
          </w:tcPr>
          <w:p w14:paraId="50DD926E" w14:textId="77777777" w:rsidR="00F9242E" w:rsidRDefault="00F9242E" w:rsidP="003C655B">
            <w:pPr>
              <w:spacing w:line="240" w:lineRule="auto"/>
              <w:rPr>
                <w:i/>
                <w:iCs/>
                <w:sz w:val="18"/>
                <w:szCs w:val="18"/>
                <w:u w:val="single"/>
              </w:rPr>
            </w:pPr>
            <w:r>
              <w:rPr>
                <w:i/>
                <w:iCs/>
                <w:sz w:val="18"/>
                <w:szCs w:val="18"/>
                <w:u w:val="single"/>
              </w:rPr>
              <w:t>Co, Ed, In, Mo, Pe</w:t>
            </w:r>
          </w:p>
        </w:tc>
      </w:tr>
    </w:tbl>
    <w:p w14:paraId="2CED6AAB" w14:textId="13DF3F0C" w:rsidR="00A74B97" w:rsidRDefault="00D86B4A" w:rsidP="00F9242E">
      <w:r w:rsidRPr="00D86B4A">
        <w:t xml:space="preserve">Emboldened are significantly correlated with </w:t>
      </w:r>
      <w:r w:rsidR="00865E93">
        <w:t>fish intake.</w:t>
      </w:r>
      <w:r w:rsidRPr="00D86B4A">
        <w:t xml:space="preserve"> </w:t>
      </w:r>
      <w:r w:rsidR="00F9242E">
        <w:t xml:space="preserve">C=Correlation. Underlined and italicised indicate relevant behaviour change intervention types. Ed= Education; En= Enablement; Er= Environmental restructuring; Co= Coercion; In= Incentivisation; Mo= </w:t>
      </w:r>
      <w:r w:rsidR="006625D9">
        <w:t>Modelling; Pe</w:t>
      </w:r>
      <w:r w:rsidR="00F9242E">
        <w:t>= Persuasion; Re= Restriction; Tr= Training.</w:t>
      </w:r>
    </w:p>
    <w:p w14:paraId="672C2B02" w14:textId="1E21E2C6" w:rsidR="00010E83" w:rsidRDefault="00010E83" w:rsidP="005948DF">
      <w:pPr>
        <w:pStyle w:val="Heading2"/>
      </w:pPr>
      <w:r>
        <w:lastRenderedPageBreak/>
        <w:t>References</w:t>
      </w:r>
    </w:p>
    <w:p w14:paraId="35747BF4" w14:textId="09B354E9" w:rsidR="005948DF" w:rsidRPr="005948DF" w:rsidRDefault="005948DF" w:rsidP="005948DF">
      <w:pPr>
        <w:pStyle w:val="EndNoteBibliography"/>
        <w:spacing w:after="0"/>
      </w:pPr>
      <w:r w:rsidRPr="005948DF">
        <w:t>1.</w:t>
      </w:r>
      <w:r w:rsidRPr="005948DF">
        <w:tab/>
        <w:t>Zhang CX, Zhang GM, Ma N, Xia S, Yang JY, Chen YX. Awareness of Age-related Macular Degeneration and Its Risk Factors among Beijing Residents in China. Chin Med J (Engl). 2017;130(2):155-9.</w:t>
      </w:r>
    </w:p>
    <w:p w14:paraId="765443DA" w14:textId="77777777" w:rsidR="005948DF" w:rsidRPr="005948DF" w:rsidRDefault="005948DF" w:rsidP="005948DF">
      <w:pPr>
        <w:pStyle w:val="EndNoteBibliography"/>
        <w:spacing w:after="0"/>
      </w:pPr>
      <w:r w:rsidRPr="005948DF">
        <w:t>2.</w:t>
      </w:r>
      <w:r w:rsidRPr="005948DF">
        <w:tab/>
        <w:t>Thapa R, Bajimaya S, Paudyal G, Khanal S, Tan S, Thapa SS, et al. Population awareness of diabetic eye disease and age related macular degeneration in Nepal: the Bhaktapur Retina Study. BMC Ophthalmology. 2015;15(1):188.</w:t>
      </w:r>
    </w:p>
    <w:p w14:paraId="7973DFAC" w14:textId="77777777" w:rsidR="005948DF" w:rsidRPr="005948DF" w:rsidRDefault="005948DF" w:rsidP="005948DF">
      <w:pPr>
        <w:pStyle w:val="EndNoteBibliography"/>
        <w:spacing w:after="0"/>
      </w:pPr>
      <w:r w:rsidRPr="005948DF">
        <w:t>3.</w:t>
      </w:r>
      <w:r w:rsidRPr="005948DF">
        <w:tab/>
        <w:t>Zhang C-X, Zhang G-M, Ma N, Xia S, Yang J-Y, Chen Y-X. Awareness of Age-related Macular Degeneration and Its Risk Factors among Beijing Residents in China. Chinese medical journal. 2017;130(2):155-9.</w:t>
      </w:r>
    </w:p>
    <w:p w14:paraId="64EA61E9" w14:textId="6E838BF9" w:rsidR="005948DF" w:rsidRPr="005948DF" w:rsidRDefault="005948DF" w:rsidP="005948DF">
      <w:pPr>
        <w:pStyle w:val="EndNoteBibliography"/>
        <w:spacing w:after="0"/>
      </w:pPr>
      <w:r w:rsidRPr="005948DF">
        <w:t>4.</w:t>
      </w:r>
      <w:r w:rsidRPr="005948DF">
        <w:tab/>
        <w:t xml:space="preserve">Royal College of Ophthalmologists. Commissioning Guidance - Age Related Macular Degeneration Services 2021 [Available from: </w:t>
      </w:r>
      <w:r w:rsidRPr="00B91AB7">
        <w:t>https://www.rcophth.ac.uk/resources-listing/commissioning-guidance-age-related-macular-degeneration-services/</w:t>
      </w:r>
      <w:r w:rsidRPr="005948DF">
        <w:t>.</w:t>
      </w:r>
    </w:p>
    <w:p w14:paraId="585EC3C7" w14:textId="7EEB06F2" w:rsidR="005948DF" w:rsidRPr="005948DF" w:rsidRDefault="005948DF" w:rsidP="005948DF">
      <w:pPr>
        <w:pStyle w:val="EndNoteBibliography"/>
        <w:spacing w:after="0"/>
      </w:pPr>
      <w:r w:rsidRPr="005948DF">
        <w:t>5.</w:t>
      </w:r>
      <w:r w:rsidRPr="005948DF">
        <w:tab/>
        <w:t xml:space="preserve">National Institute of Health and Care Excellence. Age-related macular degeneration 2018 [Available from: </w:t>
      </w:r>
      <w:r w:rsidRPr="00B91AB7">
        <w:t>https://www.nice.org.uk/guidance/ng82/evidence/full-guideline-pdf-170036251098</w:t>
      </w:r>
      <w:r w:rsidRPr="005948DF">
        <w:t>.</w:t>
      </w:r>
    </w:p>
    <w:p w14:paraId="273E8115" w14:textId="4F41D1AE" w:rsidR="005948DF" w:rsidRPr="005948DF" w:rsidRDefault="005948DF" w:rsidP="005948DF">
      <w:pPr>
        <w:pStyle w:val="EndNoteBibliography"/>
        <w:spacing w:after="0"/>
      </w:pPr>
      <w:r w:rsidRPr="005948DF">
        <w:t>6.</w:t>
      </w:r>
      <w:r w:rsidRPr="005948DF">
        <w:tab/>
        <w:t xml:space="preserve">Mahmood S. Age-related macular degeneration 2021 [updated 2021. Available from: </w:t>
      </w:r>
      <w:r w:rsidRPr="00B91AB7">
        <w:t>https://bestpractice.bmj.com/info/</w:t>
      </w:r>
      <w:r w:rsidRPr="005948DF">
        <w:t>.</w:t>
      </w:r>
    </w:p>
    <w:p w14:paraId="14CAD79A" w14:textId="77777777" w:rsidR="005948DF" w:rsidRPr="005948DF" w:rsidRDefault="005948DF" w:rsidP="005948DF">
      <w:pPr>
        <w:pStyle w:val="EndNoteBibliography"/>
        <w:spacing w:after="0"/>
      </w:pPr>
      <w:r w:rsidRPr="005948DF">
        <w:t>7.</w:t>
      </w:r>
      <w:r w:rsidRPr="005948DF">
        <w:tab/>
        <w:t>Flaxel CJ, Adelman RA, Bailey ST, Fawzi A, Lim JI, Vemulakonda GA, et al. Age-Related Macular Degeneration Preferred Practice Pattern®. Ophthalmology. 2020;127(1):P1-p65.</w:t>
      </w:r>
    </w:p>
    <w:p w14:paraId="437BE838" w14:textId="77777777" w:rsidR="005948DF" w:rsidRPr="005948DF" w:rsidRDefault="005948DF" w:rsidP="005948DF">
      <w:pPr>
        <w:pStyle w:val="EndNoteBibliography"/>
        <w:spacing w:after="0"/>
      </w:pPr>
      <w:r w:rsidRPr="005948DF">
        <w:t>8.</w:t>
      </w:r>
      <w:r w:rsidRPr="005948DF">
        <w:tab/>
        <w:t>Stevens R, Bartlett H, Walsh R, Cooke R. Age-related macular degeneration patients’ awareness of nutritional factors. British Journal of Visual Impairment. 2014;32(2):77-93.</w:t>
      </w:r>
    </w:p>
    <w:p w14:paraId="6F46B7E1" w14:textId="77777777" w:rsidR="005948DF" w:rsidRPr="005948DF" w:rsidRDefault="005948DF" w:rsidP="005948DF">
      <w:pPr>
        <w:pStyle w:val="EndNoteBibliography"/>
        <w:spacing w:after="0"/>
      </w:pPr>
      <w:r w:rsidRPr="005948DF">
        <w:t>9.</w:t>
      </w:r>
      <w:r w:rsidRPr="005948DF">
        <w:tab/>
        <w:t>Andrade C, Menon V, Ameen S, Kumar Praharaj S. Designing and Conducting Knowledge, Attitude, and Practice Surveys in Psychiatry: Practical Guidance. Indian Journal of Psychological Medicine. 2020;42(5):478-81.</w:t>
      </w:r>
    </w:p>
    <w:p w14:paraId="26489578" w14:textId="77777777" w:rsidR="005948DF" w:rsidRPr="005948DF" w:rsidRDefault="005948DF" w:rsidP="005948DF">
      <w:pPr>
        <w:pStyle w:val="EndNoteBibliography"/>
        <w:spacing w:after="0"/>
      </w:pPr>
      <w:r w:rsidRPr="005948DF">
        <w:t>10.</w:t>
      </w:r>
      <w:r w:rsidRPr="005948DF">
        <w:tab/>
        <w:t>Zamanzadeh V, Ghahramanian A, Rassouli M, Abbaszadeh A, Alavi-Majd H, Nikanfar AR. Design and Implementation Content Validity Study: Development of an instrument for measuring Patient-Centered Communication. J Caring Sci. 2015;4(2):165-78.</w:t>
      </w:r>
    </w:p>
    <w:p w14:paraId="06804E7F" w14:textId="77777777" w:rsidR="005948DF" w:rsidRPr="005948DF" w:rsidRDefault="005948DF" w:rsidP="005948DF">
      <w:pPr>
        <w:pStyle w:val="EndNoteBibliography"/>
        <w:spacing w:after="0"/>
      </w:pPr>
      <w:r w:rsidRPr="005948DF">
        <w:t>11.</w:t>
      </w:r>
      <w:r w:rsidRPr="005948DF">
        <w:tab/>
        <w:t>Gilbert G, Prion S. Making Sense of Methods and Measurement: Lawshe's Content Validity Index. Clinical Simulation in Nursing. 2016;12:530-1.</w:t>
      </w:r>
    </w:p>
    <w:p w14:paraId="59448C72" w14:textId="77777777" w:rsidR="005948DF" w:rsidRPr="005948DF" w:rsidRDefault="005948DF" w:rsidP="005948DF">
      <w:pPr>
        <w:pStyle w:val="EndNoteBibliography"/>
        <w:spacing w:after="0"/>
      </w:pPr>
      <w:r w:rsidRPr="005948DF">
        <w:t>12.</w:t>
      </w:r>
      <w:r w:rsidRPr="005948DF">
        <w:tab/>
        <w:t>Su X, Wong TY. Revisiting the Alcohol Consumption Association With Age-Related Macular Degeneration: What Should We Tell Patients in 2021? JAMA Ophthalmology. 2021;139(12):1307-8.</w:t>
      </w:r>
    </w:p>
    <w:p w14:paraId="0E9557A8" w14:textId="77777777" w:rsidR="005948DF" w:rsidRPr="005948DF" w:rsidRDefault="005948DF" w:rsidP="005948DF">
      <w:pPr>
        <w:pStyle w:val="EndNoteBibliography"/>
        <w:spacing w:after="0"/>
      </w:pPr>
      <w:r w:rsidRPr="005948DF">
        <w:t>13.</w:t>
      </w:r>
      <w:r w:rsidRPr="005948DF">
        <w:tab/>
        <w:t>Nassiri V, Lovik A, Molenberghs G, Verbeke G, Busch T, Busch MT. Package ‘mifa’. 2022.</w:t>
      </w:r>
    </w:p>
    <w:p w14:paraId="35B5CF5B" w14:textId="77777777" w:rsidR="005948DF" w:rsidRPr="005948DF" w:rsidRDefault="005948DF" w:rsidP="005948DF">
      <w:pPr>
        <w:pStyle w:val="EndNoteBibliography"/>
        <w:spacing w:after="0"/>
      </w:pPr>
      <w:r w:rsidRPr="005948DF">
        <w:t>14.</w:t>
      </w:r>
      <w:r w:rsidRPr="005948DF">
        <w:tab/>
        <w:t>Fontaine JRJ. Equivalence. In: Kempf-Leonard K, editor. Encyclopedia of Social Measurement. New York: Elsevier; 2005. p. 803-13.</w:t>
      </w:r>
    </w:p>
    <w:p w14:paraId="59EC0C9F" w14:textId="77777777" w:rsidR="005948DF" w:rsidRPr="005948DF" w:rsidRDefault="005948DF" w:rsidP="005948DF">
      <w:pPr>
        <w:pStyle w:val="EndNoteBibliography"/>
        <w:spacing w:after="0"/>
      </w:pPr>
      <w:r w:rsidRPr="005948DF">
        <w:t>15.</w:t>
      </w:r>
      <w:r w:rsidRPr="005948DF">
        <w:tab/>
        <w:t>de Winter JCF, Dodou D, Wieringa PA. Exploratory Factor Analysis With Small Sample Sizes. Multivariate Behavioral Research. 2009;44(2):147-81.</w:t>
      </w:r>
    </w:p>
    <w:p w14:paraId="3497F29D" w14:textId="77777777" w:rsidR="005948DF" w:rsidRPr="005948DF" w:rsidRDefault="005948DF" w:rsidP="005948DF">
      <w:pPr>
        <w:pStyle w:val="EndNoteBibliography"/>
        <w:spacing w:after="0"/>
      </w:pPr>
      <w:r w:rsidRPr="005948DF">
        <w:t>16.</w:t>
      </w:r>
      <w:r w:rsidRPr="005948DF">
        <w:tab/>
        <w:t>Wrigley C, Saunders DR, Neuhaus JO. Application of the Quartimax Method of Rotation to Thurstone's Primary Mental Abilities Study. Psychometrika. 1958;23(2):151-70.</w:t>
      </w:r>
    </w:p>
    <w:p w14:paraId="611E4D44" w14:textId="77777777" w:rsidR="005948DF" w:rsidRPr="005948DF" w:rsidRDefault="005948DF" w:rsidP="005948DF">
      <w:pPr>
        <w:pStyle w:val="EndNoteBibliography"/>
        <w:spacing w:after="0"/>
      </w:pPr>
      <w:r w:rsidRPr="005948DF">
        <w:t>17.</w:t>
      </w:r>
      <w:r w:rsidRPr="005948DF">
        <w:tab/>
        <w:t>Hirose K, Terada Y. Sparse and Simple Structure Estimation via Prenet Penalization. Psychometrika. 2023;88(4):1381-406.</w:t>
      </w:r>
    </w:p>
    <w:p w14:paraId="2CFEEBD1" w14:textId="77777777" w:rsidR="005948DF" w:rsidRPr="005948DF" w:rsidRDefault="005948DF" w:rsidP="005948DF">
      <w:pPr>
        <w:pStyle w:val="EndNoteBibliography"/>
        <w:spacing w:after="0"/>
      </w:pPr>
      <w:r w:rsidRPr="005948DF">
        <w:t>18.</w:t>
      </w:r>
      <w:r w:rsidRPr="005948DF">
        <w:tab/>
        <w:t>Moore SE. Peer support to encourage adoption and maintenance of a Mediterranean diet: Queen's University Belfast; 2016.</w:t>
      </w:r>
    </w:p>
    <w:p w14:paraId="57855EB2" w14:textId="77777777" w:rsidR="005948DF" w:rsidRPr="005948DF" w:rsidRDefault="005948DF" w:rsidP="005948DF">
      <w:pPr>
        <w:pStyle w:val="EndNoteBibliography"/>
      </w:pPr>
      <w:r w:rsidRPr="005948DF">
        <w:lastRenderedPageBreak/>
        <w:t>19.</w:t>
      </w:r>
      <w:r w:rsidRPr="005948DF">
        <w:tab/>
        <w:t>McEvoy CT, Moore S, Erwin C, Kontogianni M, Wallace SM, Appleton KM, et al. Trial to Encourage Adoption and Maintenance of a MEditerranean Diet (TEAM-MED): a randomised pilot trial of a peer support intervention for dietary behaviour change in adults from a Northern European population at high CVD risk. British Journal of Nutrition. 2021:1-13.</w:t>
      </w:r>
    </w:p>
    <w:p w14:paraId="39751878" w14:textId="479DBEF3" w:rsidR="00010E83" w:rsidRPr="00F9242E" w:rsidRDefault="00010E83" w:rsidP="00F9242E"/>
    <w:sectPr w:rsidR="00010E83" w:rsidRPr="00F9242E" w:rsidSect="00E040EA">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DS2MDQ0MjI0MLcwNjdU0lEKTi0uzszPAykwrwUAYwkQ3SwAAAA="/>
    <w:docVar w:name="EN.InstantFormat" w:val="&lt;ENInstantFormat&gt;&lt;Enabled&gt;1&lt;/Enabled&gt;&lt;ScanUnformatted&gt;1&lt;/ScanUnformatted&gt;&lt;ScanChanges&gt;1&lt;/ScanChanges&gt;&lt;Suspended&gt;1&lt;/Suspended&gt;&lt;/ENInstantFormat&gt;"/>
    <w:docVar w:name="EN.Layout" w:val="&lt;ENLayout&gt;&lt;Style&gt;Vancouver superscript&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pf29eazsr5zxoet00m5vz5u5pvztatp9rpx&quot;&gt;My EndNote Library 2022&lt;record-ids&gt;&lt;item&gt;43&lt;/item&gt;&lt;item&gt;51&lt;/item&gt;&lt;item&gt;55&lt;/item&gt;&lt;item&gt;60&lt;/item&gt;&lt;item&gt;62&lt;/item&gt;&lt;item&gt;63&lt;/item&gt;&lt;item&gt;250&lt;/item&gt;&lt;item&gt;327&lt;/item&gt;&lt;item&gt;328&lt;/item&gt;&lt;item&gt;331&lt;/item&gt;&lt;item&gt;333&lt;/item&gt;&lt;item&gt;335&lt;/item&gt;&lt;item&gt;338&lt;/item&gt;&lt;item&gt;490&lt;/item&gt;&lt;item&gt;593&lt;/item&gt;&lt;item&gt;595&lt;/item&gt;&lt;item&gt;619&lt;/item&gt;&lt;/record-ids&gt;&lt;/item&gt;&lt;/Libraries&gt;"/>
  </w:docVars>
  <w:rsids>
    <w:rsidRoot w:val="002151A5"/>
    <w:rsid w:val="0000020B"/>
    <w:rsid w:val="00010E83"/>
    <w:rsid w:val="00084286"/>
    <w:rsid w:val="001A5943"/>
    <w:rsid w:val="001A60C3"/>
    <w:rsid w:val="001B1C32"/>
    <w:rsid w:val="002151A5"/>
    <w:rsid w:val="002664EB"/>
    <w:rsid w:val="00300497"/>
    <w:rsid w:val="00364B52"/>
    <w:rsid w:val="003E1896"/>
    <w:rsid w:val="00452609"/>
    <w:rsid w:val="0054675A"/>
    <w:rsid w:val="005948DF"/>
    <w:rsid w:val="005A3D99"/>
    <w:rsid w:val="006625D9"/>
    <w:rsid w:val="006A5D14"/>
    <w:rsid w:val="007B1729"/>
    <w:rsid w:val="007D4390"/>
    <w:rsid w:val="0085680D"/>
    <w:rsid w:val="00865E93"/>
    <w:rsid w:val="008857B5"/>
    <w:rsid w:val="00934023"/>
    <w:rsid w:val="00941FCE"/>
    <w:rsid w:val="009D583E"/>
    <w:rsid w:val="009D67F0"/>
    <w:rsid w:val="00A53503"/>
    <w:rsid w:val="00A74B97"/>
    <w:rsid w:val="00B91AB7"/>
    <w:rsid w:val="00BD7841"/>
    <w:rsid w:val="00C644E6"/>
    <w:rsid w:val="00C6782E"/>
    <w:rsid w:val="00CB444B"/>
    <w:rsid w:val="00D86B4A"/>
    <w:rsid w:val="00DD5FE5"/>
    <w:rsid w:val="00DE5DF8"/>
    <w:rsid w:val="00E040EA"/>
    <w:rsid w:val="00E33D36"/>
    <w:rsid w:val="00EA1E6D"/>
    <w:rsid w:val="00F817B7"/>
    <w:rsid w:val="00F924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80CD0"/>
  <w15:chartTrackingRefBased/>
  <w15:docId w15:val="{A56ED54C-DCAE-4A4B-837E-485B8DF69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75A"/>
    <w:pPr>
      <w:spacing w:line="256" w:lineRule="auto"/>
    </w:pPr>
  </w:style>
  <w:style w:type="paragraph" w:styleId="Heading1">
    <w:name w:val="heading 1"/>
    <w:basedOn w:val="Normal"/>
    <w:next w:val="Normal"/>
    <w:link w:val="Heading1Char"/>
    <w:uiPriority w:val="9"/>
    <w:qFormat/>
    <w:rsid w:val="002151A5"/>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151A5"/>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51A5"/>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51A5"/>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51A5"/>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51A5"/>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51A5"/>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51A5"/>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51A5"/>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1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151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51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51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51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51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51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51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51A5"/>
    <w:rPr>
      <w:rFonts w:eastAsiaTheme="majorEastAsia" w:cstheme="majorBidi"/>
      <w:color w:val="272727" w:themeColor="text1" w:themeTint="D8"/>
    </w:rPr>
  </w:style>
  <w:style w:type="paragraph" w:styleId="Title">
    <w:name w:val="Title"/>
    <w:basedOn w:val="Normal"/>
    <w:next w:val="Normal"/>
    <w:link w:val="TitleChar"/>
    <w:uiPriority w:val="10"/>
    <w:qFormat/>
    <w:rsid w:val="002151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51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51A5"/>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51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51A5"/>
    <w:pPr>
      <w:spacing w:before="160" w:line="259" w:lineRule="auto"/>
      <w:jc w:val="center"/>
    </w:pPr>
    <w:rPr>
      <w:i/>
      <w:iCs/>
      <w:color w:val="404040" w:themeColor="text1" w:themeTint="BF"/>
    </w:rPr>
  </w:style>
  <w:style w:type="character" w:customStyle="1" w:styleId="QuoteChar">
    <w:name w:val="Quote Char"/>
    <w:basedOn w:val="DefaultParagraphFont"/>
    <w:link w:val="Quote"/>
    <w:uiPriority w:val="29"/>
    <w:rsid w:val="002151A5"/>
    <w:rPr>
      <w:i/>
      <w:iCs/>
      <w:color w:val="404040" w:themeColor="text1" w:themeTint="BF"/>
    </w:rPr>
  </w:style>
  <w:style w:type="paragraph" w:styleId="ListParagraph">
    <w:name w:val="List Paragraph"/>
    <w:basedOn w:val="Normal"/>
    <w:uiPriority w:val="34"/>
    <w:qFormat/>
    <w:rsid w:val="002151A5"/>
    <w:pPr>
      <w:spacing w:line="259" w:lineRule="auto"/>
      <w:ind w:left="720"/>
      <w:contextualSpacing/>
    </w:pPr>
  </w:style>
  <w:style w:type="character" w:styleId="IntenseEmphasis">
    <w:name w:val="Intense Emphasis"/>
    <w:basedOn w:val="DefaultParagraphFont"/>
    <w:uiPriority w:val="21"/>
    <w:qFormat/>
    <w:rsid w:val="002151A5"/>
    <w:rPr>
      <w:i/>
      <w:iCs/>
      <w:color w:val="0F4761" w:themeColor="accent1" w:themeShade="BF"/>
    </w:rPr>
  </w:style>
  <w:style w:type="paragraph" w:styleId="IntenseQuote">
    <w:name w:val="Intense Quote"/>
    <w:basedOn w:val="Normal"/>
    <w:next w:val="Normal"/>
    <w:link w:val="IntenseQuoteChar"/>
    <w:uiPriority w:val="30"/>
    <w:qFormat/>
    <w:rsid w:val="002151A5"/>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51A5"/>
    <w:rPr>
      <w:i/>
      <w:iCs/>
      <w:color w:val="0F4761" w:themeColor="accent1" w:themeShade="BF"/>
    </w:rPr>
  </w:style>
  <w:style w:type="character" w:styleId="IntenseReference">
    <w:name w:val="Intense Reference"/>
    <w:basedOn w:val="DefaultParagraphFont"/>
    <w:uiPriority w:val="32"/>
    <w:qFormat/>
    <w:rsid w:val="002151A5"/>
    <w:rPr>
      <w:b/>
      <w:bCs/>
      <w:smallCaps/>
      <w:color w:val="0F4761" w:themeColor="accent1" w:themeShade="BF"/>
      <w:spacing w:val="5"/>
    </w:rPr>
  </w:style>
  <w:style w:type="table" w:styleId="TableGrid">
    <w:name w:val="Table Grid"/>
    <w:basedOn w:val="TableNormal"/>
    <w:uiPriority w:val="39"/>
    <w:rsid w:val="007D4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7D4390"/>
  </w:style>
  <w:style w:type="paragraph" w:customStyle="1" w:styleId="EndNoteBibliographyTitle">
    <w:name w:val="EndNote Bibliography Title"/>
    <w:basedOn w:val="Normal"/>
    <w:link w:val="EndNoteBibliographyTitleChar"/>
    <w:rsid w:val="005948DF"/>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5948DF"/>
    <w:rPr>
      <w:rFonts w:ascii="Aptos" w:hAnsi="Aptos"/>
      <w:noProof/>
      <w:lang w:val="en-US"/>
    </w:rPr>
  </w:style>
  <w:style w:type="paragraph" w:customStyle="1" w:styleId="EndNoteBibliography">
    <w:name w:val="EndNote Bibliography"/>
    <w:basedOn w:val="Normal"/>
    <w:link w:val="EndNoteBibliographyChar"/>
    <w:rsid w:val="005948DF"/>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5948DF"/>
    <w:rPr>
      <w:rFonts w:ascii="Aptos" w:hAnsi="Aptos"/>
      <w:noProof/>
      <w:lang w:val="en-US"/>
    </w:rPr>
  </w:style>
  <w:style w:type="character" w:styleId="Hyperlink">
    <w:name w:val="Hyperlink"/>
    <w:basedOn w:val="DefaultParagraphFont"/>
    <w:uiPriority w:val="99"/>
    <w:unhideWhenUsed/>
    <w:rsid w:val="005948DF"/>
    <w:rPr>
      <w:color w:val="467886" w:themeColor="hyperlink"/>
      <w:u w:val="single"/>
    </w:rPr>
  </w:style>
  <w:style w:type="character" w:styleId="UnresolvedMention">
    <w:name w:val="Unresolved Mention"/>
    <w:basedOn w:val="DefaultParagraphFont"/>
    <w:uiPriority w:val="99"/>
    <w:semiHidden/>
    <w:unhideWhenUsed/>
    <w:rsid w:val="005948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30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CBBDE-13E1-47C3-B94A-86BD480A5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2277</Words>
  <Characters>12982</Characters>
  <Application>Microsoft Office Word</Application>
  <DocSecurity>0</DocSecurity>
  <Lines>108</Lines>
  <Paragraphs>30</Paragraphs>
  <ScaleCrop>false</ScaleCrop>
  <Company/>
  <LinksUpToDate>false</LinksUpToDate>
  <CharactersWithSpaces>15229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Gedtal</dc:creator>
  <cp:keywords/>
  <dc:description/>
  <cp:lastModifiedBy>Miguel Gedtal</cp:lastModifiedBy>
  <cp:revision>7</cp:revision>
  <dcterms:created xsi:type="dcterms:W3CDTF">2025-05-21T14:20:00Z</dcterms:created>
  <dcterms:modified xsi:type="dcterms:W3CDTF">2025-05-30T13:14:00Z</dcterms:modified>
</cp:coreProperties>
</file>