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153CB" w14:textId="340704A9" w:rsidR="00604EC6" w:rsidRDefault="00604EC6" w:rsidP="00604EC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: Kaplan-Meier survival analysis of three groups of patients</w:t>
      </w:r>
    </w:p>
    <w:p w14:paraId="37185655" w14:textId="77777777" w:rsidR="00604EC6" w:rsidRDefault="00604EC6" w:rsidP="00604EC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2265B31F" wp14:editId="32957E4F">
            <wp:extent cx="4983480" cy="2712720"/>
            <wp:effectExtent l="0" t="0" r="0" b="0"/>
            <wp:docPr id="2" name="图片 2" descr="follow 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ollow u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4CE93" w14:textId="77777777" w:rsidR="00604EC6" w:rsidRDefault="00604EC6" w:rsidP="00604EC6">
      <w:pPr>
        <w:ind w:firstLineChars="200" w:firstLine="30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The overall probability of survival and the corresponding survival curves were analyzed using the Kaplan-Meier method. A： Group A (radical surgery within 1-7 days of </w:t>
      </w:r>
      <w:proofErr w:type="gramStart"/>
      <w:r>
        <w:rPr>
          <w:rFonts w:ascii="Times New Roman" w:hAnsi="Times New Roman" w:cs="Times New Roman"/>
          <w:sz w:val="15"/>
          <w:szCs w:val="15"/>
        </w:rPr>
        <w:t>admission)、</w:t>
      </w:r>
      <w:proofErr w:type="gramEnd"/>
      <w:r>
        <w:rPr>
          <w:rFonts w:ascii="Times New Roman" w:hAnsi="Times New Roman" w:cs="Times New Roman"/>
          <w:sz w:val="15"/>
          <w:szCs w:val="15"/>
        </w:rPr>
        <w:t xml:space="preserve">B： Group B (surgical treatment 8-13 days after </w:t>
      </w:r>
      <w:proofErr w:type="gramStart"/>
      <w:r>
        <w:rPr>
          <w:rFonts w:ascii="Times New Roman" w:hAnsi="Times New Roman" w:cs="Times New Roman"/>
          <w:sz w:val="15"/>
          <w:szCs w:val="15"/>
        </w:rPr>
        <w:t>admission)、</w:t>
      </w:r>
      <w:proofErr w:type="gramEnd"/>
      <w:r>
        <w:rPr>
          <w:rFonts w:ascii="Times New Roman" w:hAnsi="Times New Roman" w:cs="Times New Roman"/>
          <w:sz w:val="15"/>
          <w:szCs w:val="15"/>
        </w:rPr>
        <w:t xml:space="preserve">C: Group C (surgery 14-28 days after admission).x-axis unit </w:t>
      </w:r>
      <w:proofErr w:type="gramStart"/>
      <w:r>
        <w:rPr>
          <w:rFonts w:ascii="Times New Roman" w:hAnsi="Times New Roman" w:cs="Times New Roman"/>
          <w:sz w:val="15"/>
          <w:szCs w:val="15"/>
        </w:rPr>
        <w:t>( d</w:t>
      </w:r>
      <w:proofErr w:type="gramEnd"/>
      <w:r>
        <w:rPr>
          <w:rFonts w:ascii="Times New Roman" w:hAnsi="Times New Roman" w:cs="Times New Roman"/>
          <w:sz w:val="15"/>
          <w:szCs w:val="15"/>
        </w:rPr>
        <w:t xml:space="preserve"> ), y-axis unit </w:t>
      </w:r>
      <w:proofErr w:type="gramStart"/>
      <w:r>
        <w:rPr>
          <w:rFonts w:ascii="Times New Roman" w:hAnsi="Times New Roman" w:cs="Times New Roman"/>
          <w:sz w:val="15"/>
          <w:szCs w:val="15"/>
        </w:rPr>
        <w:t>( %</w:t>
      </w:r>
      <w:proofErr w:type="gramEnd"/>
      <w:r>
        <w:rPr>
          <w:rFonts w:ascii="Times New Roman" w:hAnsi="Times New Roman" w:cs="Times New Roman"/>
          <w:sz w:val="15"/>
          <w:szCs w:val="15"/>
        </w:rPr>
        <w:t xml:space="preserve"> ).</w:t>
      </w:r>
    </w:p>
    <w:p w14:paraId="55226BF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EC6"/>
    <w:rsid w:val="002978F5"/>
    <w:rsid w:val="00383363"/>
    <w:rsid w:val="003852CF"/>
    <w:rsid w:val="004E780C"/>
    <w:rsid w:val="00604EC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53868"/>
  <w15:chartTrackingRefBased/>
  <w15:docId w15:val="{64357740-278C-4DA0-9F0D-22BE0B9B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604EC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4EC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EC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EC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EC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EC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EC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EC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EC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EC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E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E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E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E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E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E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E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E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E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EC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4E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EC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4E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EC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4E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EC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4E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EC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E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E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2025-07-17T16:03:00Z</dcterms:created>
  <dcterms:modified xsi:type="dcterms:W3CDTF">2025-07-17T16:04:00Z</dcterms:modified>
</cp:coreProperties>
</file>