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867" w:rsidRPr="0017116A" w:rsidRDefault="003A5867" w:rsidP="00EF60C6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2"/>
        </w:rPr>
      </w:pPr>
      <w:r w:rsidRPr="0017116A">
        <w:rPr>
          <w:rFonts w:ascii="Times New Roman" w:hAnsi="Times New Roman" w:cs="Times New Roman"/>
          <w:b/>
          <w:sz w:val="24"/>
          <w:szCs w:val="24"/>
        </w:rPr>
        <w:t>Supplementary materials for</w:t>
      </w:r>
    </w:p>
    <w:p w:rsidR="003A5867" w:rsidRPr="0017116A" w:rsidRDefault="003A5867" w:rsidP="00EF60C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116A">
        <w:rPr>
          <w:rFonts w:ascii="Times New Roman" w:hAnsi="Times New Roman" w:cs="Times New Roman"/>
          <w:b/>
          <w:bCs/>
          <w:sz w:val="24"/>
          <w:szCs w:val="24"/>
        </w:rPr>
        <w:t xml:space="preserve">Generative T2/FLAIR mismatch sign in glioma: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Optimizing phenotypic augmentation</w:t>
      </w:r>
      <w:r w:rsidRPr="0017116A">
        <w:rPr>
          <w:rFonts w:ascii="Times New Roman" w:hAnsi="Times New Roman" w:cs="Times New Roman"/>
          <w:b/>
          <w:bCs/>
          <w:sz w:val="24"/>
          <w:szCs w:val="24"/>
        </w:rPr>
        <w:t xml:space="preserve"> for isocitrate dehydrogenase mutation prediction</w:t>
      </w:r>
    </w:p>
    <w:p w:rsidR="003A5867" w:rsidRPr="0017116A" w:rsidRDefault="003A5867" w:rsidP="00EF60C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5867" w:rsidRPr="0017116A" w:rsidRDefault="003A5867" w:rsidP="00EF60C6">
      <w:pPr>
        <w:pStyle w:val="a6"/>
        <w:widowControl/>
        <w:numPr>
          <w:ilvl w:val="0"/>
          <w:numId w:val="1"/>
        </w:numPr>
        <w:wordWrap/>
        <w:autoSpaceDE/>
        <w:autoSpaceDN/>
        <w:spacing w:after="200" w:line="36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7116A">
        <w:rPr>
          <w:rFonts w:ascii="Times New Roman" w:hAnsi="Times New Roman" w:cs="Times New Roman"/>
          <w:b/>
          <w:sz w:val="24"/>
          <w:szCs w:val="24"/>
        </w:rPr>
        <w:t xml:space="preserve">Supplementary Materials: </w:t>
      </w:r>
      <w:r w:rsidRPr="0017116A">
        <w:rPr>
          <w:rFonts w:ascii="Times New Roman" w:eastAsia="굴림" w:hAnsi="Times New Roman" w:cs="Times New Roman"/>
          <w:b/>
          <w:kern w:val="0"/>
          <w:sz w:val="24"/>
          <w:szCs w:val="24"/>
        </w:rPr>
        <w:t>D</w:t>
      </w:r>
      <w:r w:rsidRPr="0017116A" w:rsidDel="00526C35">
        <w:rPr>
          <w:rFonts w:ascii="Times New Roman" w:eastAsia="굴림" w:hAnsi="Times New Roman" w:cs="Times New Roman"/>
          <w:b/>
          <w:kern w:val="0"/>
          <w:sz w:val="24"/>
          <w:szCs w:val="24"/>
        </w:rPr>
        <w:t xml:space="preserve">eep generative </w:t>
      </w:r>
      <w:r w:rsidRPr="0017116A">
        <w:rPr>
          <w:rFonts w:ascii="Times New Roman" w:eastAsia="굴림" w:hAnsi="Times New Roman" w:cs="Times New Roman"/>
          <w:b/>
          <w:kern w:val="0"/>
          <w:sz w:val="24"/>
          <w:szCs w:val="24"/>
        </w:rPr>
        <w:t>artificial intelligence (AI)</w:t>
      </w:r>
      <w:r w:rsidRPr="0017116A" w:rsidDel="00526C35">
        <w:rPr>
          <w:rFonts w:ascii="Times New Roman" w:eastAsia="굴림" w:hAnsi="Times New Roman" w:cs="Times New Roman"/>
          <w:b/>
          <w:kern w:val="0"/>
          <w:sz w:val="24"/>
          <w:szCs w:val="24"/>
        </w:rPr>
        <w:t xml:space="preserve"> using score-based diffusion model</w:t>
      </w:r>
      <w:r w:rsidRPr="0017116A">
        <w:rPr>
          <w:rFonts w:ascii="Times New Roman" w:eastAsia="굴림" w:hAnsi="Times New Roman" w:cs="Times New Roman"/>
          <w:b/>
          <w:kern w:val="0"/>
          <w:sz w:val="24"/>
          <w:szCs w:val="24"/>
        </w:rPr>
        <w:t>s</w:t>
      </w:r>
    </w:p>
    <w:p w:rsidR="003A5867" w:rsidRPr="0017116A" w:rsidRDefault="003A5867" w:rsidP="00EF60C6">
      <w:pPr>
        <w:pStyle w:val="a6"/>
        <w:widowControl/>
        <w:numPr>
          <w:ilvl w:val="0"/>
          <w:numId w:val="1"/>
        </w:numPr>
        <w:wordWrap/>
        <w:autoSpaceDE/>
        <w:autoSpaceDN/>
        <w:spacing w:after="200" w:line="276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7116A">
        <w:rPr>
          <w:rFonts w:ascii="Times New Roman" w:hAnsi="Times New Roman" w:cs="Times New Roman"/>
          <w:b/>
          <w:sz w:val="24"/>
          <w:szCs w:val="24"/>
        </w:rPr>
        <w:t>Supplementary Table 1: Details of the most commonly used parameters for image acquisition in our institution and the Cancer Genome Atlas (TCGA) sets</w:t>
      </w:r>
    </w:p>
    <w:p w:rsidR="003A5867" w:rsidRPr="0017116A" w:rsidRDefault="003A5867" w:rsidP="00EF60C6">
      <w:pPr>
        <w:pStyle w:val="a6"/>
        <w:widowControl/>
        <w:numPr>
          <w:ilvl w:val="0"/>
          <w:numId w:val="1"/>
        </w:numPr>
        <w:wordWrap/>
        <w:autoSpaceDE/>
        <w:autoSpaceDN/>
        <w:spacing w:after="200" w:line="276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7116A">
        <w:rPr>
          <w:rFonts w:ascii="Times New Roman" w:hAnsi="Times New Roman" w:cs="Times New Roman"/>
          <w:b/>
          <w:sz w:val="24"/>
          <w:szCs w:val="24"/>
        </w:rPr>
        <w:t xml:space="preserve">Supplementary Table 2: Diagnostic performance for prediction of isocitrate dehydrogenase (IDH) mutation using generative images </w:t>
      </w:r>
    </w:p>
    <w:p w:rsidR="003A5867" w:rsidRPr="0017116A" w:rsidRDefault="003A5867" w:rsidP="0002087B">
      <w:pPr>
        <w:pStyle w:val="a6"/>
        <w:widowControl/>
        <w:numPr>
          <w:ilvl w:val="0"/>
          <w:numId w:val="1"/>
        </w:numPr>
        <w:wordWrap/>
        <w:autoSpaceDE/>
        <w:autoSpaceDN/>
        <w:spacing w:after="200" w:line="276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7116A">
        <w:rPr>
          <w:rFonts w:ascii="Times New Roman" w:hAnsi="Times New Roman" w:cs="Times New Roman"/>
          <w:b/>
          <w:sz w:val="24"/>
          <w:szCs w:val="24"/>
        </w:rPr>
        <w:t>Supplementary Figure 1: Architecture of the score-based diffusion model through the stochastic differential equation (SDE)</w:t>
      </w:r>
    </w:p>
    <w:p w:rsidR="003A5867" w:rsidRPr="0017116A" w:rsidRDefault="003A5867" w:rsidP="00EF60C6">
      <w:pPr>
        <w:pStyle w:val="a6"/>
        <w:widowControl/>
        <w:numPr>
          <w:ilvl w:val="0"/>
          <w:numId w:val="1"/>
        </w:numPr>
        <w:wordWrap/>
        <w:autoSpaceDE/>
        <w:autoSpaceDN/>
        <w:spacing w:after="200" w:line="276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17116A">
        <w:rPr>
          <w:rFonts w:ascii="Times New Roman" w:hAnsi="Times New Roman" w:cs="Times New Roman"/>
          <w:b/>
          <w:sz w:val="24"/>
          <w:szCs w:val="24"/>
        </w:rPr>
        <w:t xml:space="preserve">Supplementary Figure 2: The only image set of a generative IDH-wildtype glioma exhibiting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17116A">
        <w:rPr>
          <w:rFonts w:ascii="Times New Roman" w:hAnsi="Times New Roman" w:cs="Times New Roman"/>
          <w:b/>
          <w:sz w:val="24"/>
          <w:szCs w:val="24"/>
        </w:rPr>
        <w:t>T2-FLAIR mismatch sign</w:t>
      </w:r>
    </w:p>
    <w:p w:rsidR="003A5867" w:rsidRPr="0017116A" w:rsidRDefault="003A5867" w:rsidP="00EF60C6">
      <w:pPr>
        <w:pStyle w:val="a6"/>
        <w:widowControl/>
        <w:wordWrap/>
        <w:autoSpaceDE/>
        <w:autoSpaceDN/>
        <w:spacing w:after="200" w:line="276" w:lineRule="auto"/>
        <w:ind w:left="11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3A5867" w:rsidRPr="0017116A" w:rsidRDefault="003A5867" w:rsidP="00EF60C6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sz w:val="24"/>
          <w:szCs w:val="24"/>
        </w:rPr>
      </w:pPr>
      <w:r w:rsidRPr="0017116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A5867" w:rsidRPr="0017116A" w:rsidRDefault="003A5867" w:rsidP="00EF60C6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굴림" w:hAnsi="Times New Roman" w:cs="Times New Roman"/>
          <w:b/>
          <w:kern w:val="0"/>
          <w:sz w:val="24"/>
          <w:szCs w:val="24"/>
        </w:rPr>
      </w:pPr>
      <w:r w:rsidRPr="001711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materials: </w:t>
      </w:r>
      <w:r w:rsidRPr="0017116A">
        <w:rPr>
          <w:rFonts w:ascii="Times New Roman" w:eastAsia="굴림" w:hAnsi="Times New Roman" w:cs="Times New Roman"/>
          <w:b/>
          <w:kern w:val="0"/>
          <w:sz w:val="24"/>
          <w:szCs w:val="24"/>
        </w:rPr>
        <w:t>D</w:t>
      </w:r>
      <w:r w:rsidRPr="0017116A" w:rsidDel="00526C35">
        <w:rPr>
          <w:rFonts w:ascii="Times New Roman" w:eastAsia="굴림" w:hAnsi="Times New Roman" w:cs="Times New Roman"/>
          <w:b/>
          <w:kern w:val="0"/>
          <w:sz w:val="24"/>
          <w:szCs w:val="24"/>
        </w:rPr>
        <w:t xml:space="preserve">eep generative </w:t>
      </w:r>
      <w:r w:rsidRPr="0017116A">
        <w:rPr>
          <w:rFonts w:ascii="Times New Roman" w:eastAsia="굴림" w:hAnsi="Times New Roman" w:cs="Times New Roman"/>
          <w:b/>
          <w:kern w:val="0"/>
          <w:sz w:val="24"/>
          <w:szCs w:val="24"/>
        </w:rPr>
        <w:t>artificial intelligence (AI)</w:t>
      </w:r>
      <w:r w:rsidRPr="0017116A" w:rsidDel="00526C35">
        <w:rPr>
          <w:rFonts w:ascii="Times New Roman" w:eastAsia="굴림" w:hAnsi="Times New Roman" w:cs="Times New Roman"/>
          <w:b/>
          <w:kern w:val="0"/>
          <w:sz w:val="24"/>
          <w:szCs w:val="24"/>
        </w:rPr>
        <w:t xml:space="preserve"> using score-based diffusion model</w:t>
      </w:r>
      <w:r w:rsidRPr="0017116A">
        <w:rPr>
          <w:rFonts w:ascii="Times New Roman" w:eastAsia="굴림" w:hAnsi="Times New Roman" w:cs="Times New Roman"/>
          <w:b/>
          <w:kern w:val="0"/>
          <w:sz w:val="24"/>
          <w:szCs w:val="24"/>
        </w:rPr>
        <w:t>s</w:t>
      </w:r>
    </w:p>
    <w:p w:rsidR="003A5867" w:rsidRPr="0017116A" w:rsidRDefault="003A5867" w:rsidP="00EF60C6">
      <w:pPr>
        <w:widowControl/>
        <w:wordWrap/>
        <w:autoSpaceDE/>
        <w:autoSpaceDN/>
        <w:spacing w:line="480" w:lineRule="auto"/>
        <w:ind w:firstLine="800"/>
        <w:rPr>
          <w:rFonts w:ascii="Times New Roman" w:hAnsi="Times New Roman" w:cs="Times New Roman"/>
          <w:b/>
          <w:sz w:val="22"/>
        </w:rPr>
      </w:pPr>
      <w:r w:rsidRPr="0017116A">
        <w:rPr>
          <w:rFonts w:ascii="Times New Roman" w:eastAsia="굴림" w:hAnsi="Times New Roman" w:cs="Times New Roman"/>
          <w:iCs/>
          <w:kern w:val="0"/>
          <w:sz w:val="22"/>
        </w:rPr>
        <w:t>Score-based generative models</w:t>
      </w:r>
      <w:r w:rsidRPr="00E81DB8">
        <w:rPr>
          <w:rFonts w:ascii="Times New Roman" w:eastAsia="굴림" w:hAnsi="Times New Roman" w:cs="Times New Roman"/>
          <w:iCs/>
          <w:noProof/>
          <w:kern w:val="0"/>
          <w:sz w:val="22"/>
          <w:vertAlign w:val="superscript"/>
        </w:rPr>
        <w:t>1-3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 and denoising diffusion probabilistic models</w:t>
      </w:r>
      <w:r w:rsidRPr="00FA7A45">
        <w:rPr>
          <w:rFonts w:ascii="Times New Roman" w:eastAsia="굴림" w:hAnsi="Times New Roman" w:cs="Times New Roman"/>
          <w:iCs/>
          <w:noProof/>
          <w:kern w:val="0"/>
          <w:sz w:val="22"/>
          <w:vertAlign w:val="superscript"/>
        </w:rPr>
        <w:t>4-7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 are capable of </w:t>
      </w:r>
      <w:r w:rsidRPr="0017116A">
        <w:rPr>
          <w:rFonts w:ascii="Times New Roman" w:hAnsi="Times New Roman" w:cs="Times New Roman"/>
          <w:sz w:val="22"/>
        </w:rPr>
        <w:t xml:space="preserve">generating high-fidelity data without relying on </w:t>
      </w:r>
      <w:r>
        <w:rPr>
          <w:rFonts w:ascii="Times New Roman" w:hAnsi="Times New Roman" w:cs="Times New Roman"/>
          <w:sz w:val="22"/>
        </w:rPr>
        <w:t xml:space="preserve">an </w:t>
      </w:r>
      <w:r w:rsidRPr="0017116A">
        <w:rPr>
          <w:rFonts w:ascii="Times New Roman" w:hAnsi="Times New Roman" w:cs="Times New Roman"/>
          <w:sz w:val="22"/>
        </w:rPr>
        <w:t>auxiliary network. In contrast, generative adversarial networks</w:t>
      </w:r>
      <w:r w:rsidRPr="00FA7A45">
        <w:rPr>
          <w:rFonts w:ascii="Times New Roman" w:hAnsi="Times New Roman" w:cs="Times New Roman"/>
          <w:noProof/>
          <w:sz w:val="22"/>
          <w:vertAlign w:val="superscript"/>
        </w:rPr>
        <w:t>8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t>need a discriminator, while variational autoencoders</w:t>
      </w:r>
      <w:r w:rsidRPr="00FA7A45">
        <w:rPr>
          <w:rFonts w:ascii="Times New Roman" w:eastAsia="굴림" w:hAnsi="Times New Roman" w:cs="Times New Roman"/>
          <w:iCs/>
          <w:noProof/>
          <w:kern w:val="0"/>
          <w:sz w:val="22"/>
          <w:vertAlign w:val="superscript"/>
        </w:rPr>
        <w:t>9</w:t>
      </w:r>
      <w:r w:rsidRPr="0017116A">
        <w:rPr>
          <w:rFonts w:ascii="Times New Roman" w:hAnsi="Times New Roman" w:cs="Times New Roman"/>
          <w:sz w:val="22"/>
        </w:rPr>
        <w:t xml:space="preserve"> require a Gaussian encoder. Both score-based generative models and denoising diffusion probabilistic models operate through two key processes: a forward process, which generates perturbed data by introducing random noise from a predefined noise distribution at each step, and a backward process, which employs a score network to denoise the perturbed data. The primary distinction between these models lies in their approach to data perturbation. The score-based generative model can expand the initial noise distribution, whereas the diffusion model limits the variance of each noise distribution. Collectively, these two models are referred to as score-based diffusion models.</w:t>
      </w:r>
    </w:p>
    <w:p w:rsidR="003A5867" w:rsidRPr="0017116A" w:rsidRDefault="003A5867" w:rsidP="00EF60C6">
      <w:pPr>
        <w:widowControl/>
        <w:shd w:val="clear" w:color="auto" w:fill="FFFFFF"/>
        <w:wordWrap/>
        <w:autoSpaceDE/>
        <w:spacing w:after="225" w:line="480" w:lineRule="auto"/>
        <w:ind w:firstLine="800"/>
        <w:outlineLvl w:val="2"/>
        <w:rPr>
          <w:rFonts w:ascii="Times New Roman" w:eastAsia="굴림" w:hAnsi="Times New Roman" w:cs="Times New Roman"/>
          <w:iCs/>
          <w:kern w:val="0"/>
          <w:sz w:val="22"/>
        </w:rPr>
      </w:pPr>
      <w:r w:rsidRPr="0017116A">
        <w:rPr>
          <w:rFonts w:ascii="Times New Roman" w:eastAsia="굴림" w:hAnsi="Times New Roman" w:cs="Times New Roman"/>
          <w:iCs/>
          <w:kern w:val="0"/>
          <w:sz w:val="22"/>
        </w:rPr>
        <w:t>The perturbation method is defined as a stochastic differential equation (SDE)</w:t>
      </w:r>
      <w:r w:rsidRPr="00FA7A45">
        <w:rPr>
          <w:rFonts w:ascii="Times New Roman" w:eastAsia="굴림" w:hAnsi="Times New Roman" w:cs="Times New Roman"/>
          <w:iCs/>
          <w:noProof/>
          <w:kern w:val="0"/>
          <w:sz w:val="22"/>
          <w:vertAlign w:val="superscript"/>
        </w:rPr>
        <w:t>3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. A continuous process is represented as </w:t>
      </w:r>
      <m:oMath>
        <m:sSubSup>
          <m:sSubSupPr>
            <m:ctrlPr>
              <w:rPr>
                <w:rFonts w:ascii="Cambria Math" w:hAnsi="Cambria Math" w:cs="Times New Roman"/>
                <w:i/>
                <w:sz w:val="22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2"/>
                  </w:rPr>
                  <m:t>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</w:rPr>
                      <m:t>t</m:t>
                    </m:r>
                  </m:e>
                </m:d>
              </m:e>
            </m:d>
          </m:e>
          <m:sub>
            <m:r>
              <w:rPr>
                <w:rFonts w:ascii="Cambria Math" w:hAnsi="Cambria Math" w:cs="Times New Roman"/>
                <w:sz w:val="22"/>
              </w:rPr>
              <m:t>t=0</m:t>
            </m:r>
          </m:sub>
          <m:sup>
            <m:r>
              <w:rPr>
                <w:rFonts w:ascii="Cambria Math" w:hAnsi="Cambria Math" w:cs="Times New Roman"/>
                <w:sz w:val="22"/>
              </w:rPr>
              <m:t>T</m:t>
            </m:r>
          </m:sup>
        </m:sSubSup>
      </m:oMath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with </w:t>
      </w:r>
      <m:oMath>
        <m:r>
          <w:rPr>
            <w:rFonts w:ascii="Cambria Math" w:hAnsi="Cambria Math" w:cs="Times New Roman"/>
            <w:sz w:val="22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</w:rPr>
              <m:t>0</m:t>
            </m:r>
          </m:e>
        </m:d>
        <m:r>
          <w:rPr>
            <w:rFonts w:ascii="Cambria Math" w:hAnsi="Cambria Math" w:cs="Times New Roman"/>
            <w:sz w:val="22"/>
          </w:rPr>
          <m:t xml:space="preserve"> ~ </m:t>
        </m:r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p</m:t>
            </m:r>
          </m:e>
          <m:sub>
            <m:r>
              <w:rPr>
                <w:rFonts w:ascii="Cambria Math" w:hAnsi="Cambria Math" w:cs="Times New Roman"/>
                <w:sz w:val="22"/>
              </w:rPr>
              <m:t>data</m:t>
            </m:r>
          </m:sub>
        </m:sSub>
      </m:oMath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 and </w:t>
      </w:r>
      <m:oMath>
        <m:r>
          <w:rPr>
            <w:rFonts w:ascii="Cambria Math" w:hAnsi="Cambria Math" w:cs="Times New Roman"/>
            <w:sz w:val="22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</w:rPr>
              <m:t>T</m:t>
            </m:r>
          </m:e>
        </m:d>
        <m:r>
          <w:rPr>
            <w:rFonts w:ascii="Cambria Math" w:hAnsi="Cambria Math" w:cs="Times New Roman"/>
            <w:sz w:val="22"/>
          </w:rPr>
          <m:t xml:space="preserve"> ~ </m:t>
        </m:r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p</m:t>
            </m:r>
          </m:e>
          <m:sub>
            <m:r>
              <w:rPr>
                <w:rFonts w:ascii="Cambria Math" w:hAnsi="Cambria Math" w:cs="Times New Roman"/>
                <w:sz w:val="22"/>
              </w:rPr>
              <m:t>T</m:t>
            </m:r>
          </m:sub>
        </m:sSub>
      </m:oMath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, where </w:t>
      </w:r>
      <m:oMath>
        <m:r>
          <w:rPr>
            <w:rFonts w:ascii="Cambria Math" w:hAnsi="Cambria Math" w:cs="Times New Roman"/>
            <w:sz w:val="22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2"/>
          </w:rPr>
          <m:t>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</w:rPr>
              <m:t>0, T</m:t>
            </m:r>
          </m:e>
        </m:d>
      </m:oMath>
      <w:r w:rsidRPr="0017116A">
        <w:rPr>
          <w:rFonts w:ascii="Times New Roman" w:eastAsia="굴림" w:hAnsi="Times New Roman" w:cs="Times New Roman"/>
          <w:sz w:val="22"/>
        </w:rPr>
        <w:t xml:space="preserve"> 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p</m:t>
            </m:r>
          </m:e>
          <m:sub>
            <m:r>
              <w:rPr>
                <w:rFonts w:ascii="Cambria Math" w:hAnsi="Cambria Math" w:cs="Times New Roman"/>
                <w:sz w:val="22"/>
              </w:rPr>
              <m:t>data</m:t>
            </m:r>
          </m:sub>
        </m:sSub>
        <m:r>
          <w:rPr>
            <w:rFonts w:ascii="Cambria Math" w:hAnsi="Cambria Math" w:cs="Times New Roman"/>
            <w:sz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p</m:t>
            </m:r>
          </m:e>
          <m:sub>
            <m:r>
              <w:rPr>
                <w:rFonts w:ascii="Cambria Math" w:hAnsi="Cambria Math" w:cs="Times New Roman"/>
                <w:sz w:val="22"/>
              </w:rPr>
              <m:t>T</m:t>
            </m:r>
          </m:sub>
        </m:sSub>
      </m:oMath>
      <w:r w:rsidRPr="0017116A">
        <w:rPr>
          <w:rFonts w:ascii="Times New Roman" w:eastAsia="굴림" w:hAnsi="Times New Roman" w:cs="Times New Roman"/>
          <w:sz w:val="22"/>
        </w:rPr>
        <w:t xml:space="preserve"> 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t>denote the data distribution and prior noise distribution, respectively. The forward process is defined as the following SDE:</w:t>
      </w:r>
    </w:p>
    <w:p w:rsidR="003A5867" w:rsidRPr="0017116A" w:rsidRDefault="003A5867" w:rsidP="00EF60C6">
      <w:pPr>
        <w:pStyle w:val="equation"/>
        <w:jc w:val="center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dx=</m:t>
        </m:r>
        <m:r>
          <w:rPr>
            <w:rFonts w:ascii="Cambria Math" w:hAnsi="Cambria Math"/>
            <w:sz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x, t</m:t>
            </m:r>
          </m:e>
        </m:d>
        <m:box>
          <m:boxPr>
            <m:diff m:val="1"/>
            <m:ctrlPr>
              <w:rPr>
                <w:rFonts w:ascii="Cambria Math" w:hAnsi="Cambria Math"/>
                <w:i/>
                <w:sz w:val="22"/>
              </w:rPr>
            </m:ctrlPr>
          </m:boxPr>
          <m:e>
            <m:r>
              <w:rPr>
                <w:rFonts w:ascii="Cambria Math" w:hAnsi="Cambria Math"/>
                <w:sz w:val="22"/>
              </w:rPr>
              <m:t>dt</m:t>
            </m:r>
          </m:e>
        </m:box>
        <m:r>
          <w:rPr>
            <w:rFonts w:ascii="Cambria Math" w:hAnsi="Cambria Math"/>
            <w:sz w:val="22"/>
          </w:rPr>
          <m:t>+ g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t</m:t>
            </m:r>
          </m:e>
        </m:d>
        <m:r>
          <w:rPr>
            <w:rFonts w:ascii="Cambria Math" w:hAnsi="Cambria Math"/>
            <w:sz w:val="22"/>
          </w:rPr>
          <m:t>dw</m:t>
        </m:r>
      </m:oMath>
      <w:r w:rsidRPr="0017116A">
        <w:rPr>
          <w:sz w:val="22"/>
          <w:szCs w:val="22"/>
        </w:rPr>
        <w:t xml:space="preserve"> </w:t>
      </w:r>
      <w:r w:rsidRPr="0017116A">
        <w:rPr>
          <w:sz w:val="22"/>
          <w:szCs w:val="22"/>
        </w:rPr>
        <w:tab/>
        <w:t>(</w:t>
      </w:r>
      <w:r w:rsidRPr="0017116A">
        <w:rPr>
          <w:sz w:val="22"/>
          <w:szCs w:val="22"/>
        </w:rPr>
        <w:fldChar w:fldCharType="begin"/>
      </w:r>
      <w:r w:rsidRPr="0017116A">
        <w:rPr>
          <w:sz w:val="22"/>
          <w:szCs w:val="22"/>
        </w:rPr>
        <w:instrText xml:space="preserve"> SEQ "equation" \n \* MERGEFORMAT </w:instrText>
      </w:r>
      <w:r w:rsidRPr="0017116A">
        <w:rPr>
          <w:sz w:val="22"/>
          <w:szCs w:val="22"/>
        </w:rPr>
        <w:fldChar w:fldCharType="separate"/>
      </w:r>
      <w:r w:rsidRPr="0017116A">
        <w:rPr>
          <w:sz w:val="22"/>
          <w:szCs w:val="22"/>
        </w:rPr>
        <w:t>1</w:t>
      </w:r>
      <w:r w:rsidRPr="0017116A">
        <w:rPr>
          <w:sz w:val="22"/>
          <w:szCs w:val="22"/>
        </w:rPr>
        <w:fldChar w:fldCharType="end"/>
      </w:r>
      <w:r w:rsidRPr="0017116A">
        <w:rPr>
          <w:sz w:val="22"/>
          <w:szCs w:val="22"/>
        </w:rPr>
        <w:t>)</w:t>
      </w:r>
    </w:p>
    <w:p w:rsidR="003A5867" w:rsidRPr="0017116A" w:rsidRDefault="003A5867" w:rsidP="00EF60C6">
      <w:pPr>
        <w:widowControl/>
        <w:shd w:val="clear" w:color="auto" w:fill="FFFFFF"/>
        <w:wordWrap/>
        <w:autoSpaceDE/>
        <w:spacing w:after="225" w:line="480" w:lineRule="auto"/>
        <w:outlineLvl w:val="2"/>
        <w:rPr>
          <w:rFonts w:ascii="Times New Roman" w:eastAsia="굴림" w:hAnsi="Times New Roman" w:cs="Times New Roman"/>
          <w:iCs/>
          <w:kern w:val="0"/>
          <w:sz w:val="22"/>
        </w:rPr>
      </w:pPr>
      <w:r w:rsidRPr="0017116A">
        <w:rPr>
          <w:rFonts w:ascii="Times New Roman" w:eastAsia="굴림" w:hAnsi="Times New Roman" w:cs="Times New Roman"/>
          <w:iCs/>
          <w:kern w:val="0"/>
          <w:sz w:val="22"/>
        </w:rPr>
        <w:t>where f and g are the coefficients of the drift and diffusion terms in the SDE, respectively, and w represents the Wiener process (i.e., Brownian motion). The backward process is defined by the following reverse-SDE:</w:t>
      </w:r>
    </w:p>
    <w:p w:rsidR="003A5867" w:rsidRPr="0017116A" w:rsidRDefault="003A5867" w:rsidP="00EF60C6">
      <w:pPr>
        <w:pStyle w:val="equation"/>
        <w:jc w:val="center"/>
        <w:rPr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dx=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x,t</m:t>
                </m:r>
              </m:e>
            </m:d>
            <m:r>
              <w:rPr>
                <w:rFonts w:ascii="Cambria Math" w:hAnsi="Cambria Math"/>
                <w:sz w:val="22"/>
                <w:szCs w:val="22"/>
              </w:rPr>
              <m:t>-g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∇</m:t>
            </m:r>
            <m:r>
              <m:rPr>
                <m:sty m:val="p"/>
              </m:rPr>
              <w:rPr>
                <w:rFonts w:ascii="Cambria Math" w:hAnsi="Cambria Math"/>
                <w:position w:val="-2"/>
                <w:sz w:val="22"/>
                <w:szCs w:val="22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log</m:t>
                </m:r>
              </m:fNam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sub>
                </m:sSub>
              </m:e>
            </m:func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</m:d>
          </m:e>
        </m:d>
        <m:r>
          <w:rPr>
            <w:rFonts w:ascii="Cambria Math" w:hAnsi="Cambria Math"/>
            <w:sz w:val="22"/>
            <w:szCs w:val="22"/>
          </w:rPr>
          <m:t>dt+g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>dw</m:t>
        </m:r>
      </m:oMath>
      <w:r w:rsidRPr="0017116A">
        <w:rPr>
          <w:sz w:val="22"/>
          <w:szCs w:val="22"/>
        </w:rPr>
        <w:t xml:space="preserve">           (</w:t>
      </w:r>
      <w:r w:rsidRPr="0017116A">
        <w:rPr>
          <w:sz w:val="22"/>
          <w:szCs w:val="22"/>
        </w:rPr>
        <w:fldChar w:fldCharType="begin"/>
      </w:r>
      <w:r w:rsidRPr="0017116A">
        <w:rPr>
          <w:sz w:val="22"/>
          <w:szCs w:val="22"/>
        </w:rPr>
        <w:instrText xml:space="preserve"> SEQ "equation" \n \* MERGEFORMAT </w:instrText>
      </w:r>
      <w:r w:rsidRPr="0017116A">
        <w:rPr>
          <w:sz w:val="22"/>
          <w:szCs w:val="22"/>
        </w:rPr>
        <w:fldChar w:fldCharType="separate"/>
      </w:r>
      <w:r w:rsidRPr="0017116A">
        <w:rPr>
          <w:sz w:val="22"/>
          <w:szCs w:val="22"/>
        </w:rPr>
        <w:t>2</w:t>
      </w:r>
      <w:r w:rsidRPr="0017116A">
        <w:rPr>
          <w:sz w:val="22"/>
          <w:szCs w:val="22"/>
        </w:rPr>
        <w:fldChar w:fldCharType="end"/>
      </w:r>
      <w:r w:rsidRPr="0017116A">
        <w:rPr>
          <w:sz w:val="22"/>
          <w:szCs w:val="22"/>
        </w:rPr>
        <w:t>)</w:t>
      </w:r>
    </w:p>
    <w:p w:rsidR="003A5867" w:rsidRPr="0017116A" w:rsidRDefault="003A5867" w:rsidP="00EF60C6">
      <w:pPr>
        <w:widowControl/>
        <w:shd w:val="clear" w:color="auto" w:fill="FFFFFF"/>
        <w:wordWrap/>
        <w:autoSpaceDE/>
        <w:spacing w:after="225" w:line="480" w:lineRule="auto"/>
        <w:outlineLvl w:val="2"/>
        <w:rPr>
          <w:rFonts w:ascii="Times New Roman" w:eastAsia="굴림" w:hAnsi="Times New Roman" w:cs="Times New Roman"/>
          <w:iCs/>
          <w:kern w:val="0"/>
          <w:sz w:val="22"/>
        </w:rPr>
      </w:pPr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where w is the backward Wiener process. </w:t>
      </w:r>
      <w:r w:rsidRPr="0017116A">
        <w:rPr>
          <w:rFonts w:ascii="Times New Roman" w:hAnsi="Times New Roman" w:cs="Times New Roman"/>
          <w:sz w:val="22"/>
        </w:rPr>
        <w:t xml:space="preserve">Each variance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σ</m:t>
            </m:r>
          </m:e>
          <m:sub>
            <m:r>
              <w:rPr>
                <w:rFonts w:ascii="Cambria Math" w:hAnsi="Cambria Math" w:cs="Times New Roman"/>
                <w:sz w:val="22"/>
              </w:rPr>
              <m:t>t</m:t>
            </m:r>
          </m:sub>
        </m:sSub>
      </m:oMath>
      <w:r w:rsidRPr="0017116A">
        <w:rPr>
          <w:rFonts w:ascii="Times New Roman" w:hAnsi="Times New Roman" w:cs="Times New Roman"/>
          <w:sz w:val="22"/>
        </w:rPr>
        <w:t xml:space="preserve"> is defined as a monotonically increasing function. A perturbation kernel </w:t>
      </w:r>
      <m:oMath>
        <m:r>
          <w:rPr>
            <w:rFonts w:ascii="Cambria Math" w:hAnsi="Cambria Math" w:cs="Times New Roman"/>
            <w:sz w:val="22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2"/>
                  </w:rPr>
                  <m:t>t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2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2"/>
          </w:rPr>
          <m:t>=N</m:t>
        </m:r>
        <m:d>
          <m:dPr>
            <m:ctrlPr>
              <w:rPr>
                <w:rFonts w:ascii="Cambria Math" w:hAnsi="Cambria Math" w:cs="Times New Roman"/>
                <w:i/>
                <w:sz w:val="2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2"/>
                  </w:rPr>
                  <m:t>t</m:t>
                </m:r>
              </m:sub>
            </m:sSub>
            <m:r>
              <w:rPr>
                <w:rFonts w:ascii="Cambria Math" w:hAnsi="Cambria Math" w:cs="Times New Roman"/>
                <w:sz w:val="22"/>
              </w:rPr>
              <m:t>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2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2"/>
              </w:rPr>
              <m:t>,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2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2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sz w:val="22"/>
                  </w:rPr>
                  <m:t>t</m:t>
                </m:r>
              </m:sub>
              <m:sup>
                <m:r>
                  <w:rPr>
                    <w:rFonts w:ascii="Cambria Math" w:hAnsi="Cambria Math" w:cs="Times New Roman"/>
                    <w:sz w:val="22"/>
                  </w:rPr>
                  <m:t>2</m:t>
                </m:r>
              </m:sup>
            </m:sSubSup>
          </m:e>
        </m:d>
        <m:r>
          <w:rPr>
            <w:rFonts w:ascii="Cambria Math" w:hAnsi="Cambria Math" w:cs="Times New Roman"/>
            <w:sz w:val="22"/>
          </w:rPr>
          <m:t xml:space="preserve"> </m:t>
        </m:r>
      </m:oMath>
      <w:r w:rsidRPr="0017116A">
        <w:rPr>
          <w:rFonts w:ascii="Times New Roman" w:hAnsi="Times New Roman" w:cs="Times New Roman"/>
          <w:sz w:val="22"/>
        </w:rPr>
        <w:t xml:space="preserve">is applied, 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and the drift and diffusion 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lastRenderedPageBreak/>
        <w:t xml:space="preserve">coefficients of the SDE are set to </w:t>
      </w:r>
      <m:oMath>
        <m:r>
          <w:rPr>
            <w:rFonts w:ascii="Cambria Math" w:hAnsi="Cambria Math" w:cs="Times New Roman"/>
            <w:sz w:val="22"/>
          </w:rPr>
          <m:t>f=0</m:t>
        </m:r>
      </m:oMath>
      <w:r w:rsidRPr="0017116A">
        <w:rPr>
          <w:rFonts w:ascii="Times New Roman" w:hAnsi="Times New Roman" w:cs="Times New Roman"/>
          <w:sz w:val="22"/>
        </w:rPr>
        <w:t xml:space="preserve"> 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and </w:t>
      </w:r>
      <m:oMath>
        <m:r>
          <w:rPr>
            <w:rFonts w:ascii="Cambria Math" w:hAnsi="Cambria Math" w:cs="Times New Roman"/>
            <w:sz w:val="22"/>
          </w:rPr>
          <m:t>g=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2"/>
              </w:rPr>
            </m:ctrlPr>
          </m:radPr>
          <m:deg/>
          <m:e>
            <m:r>
              <w:rPr>
                <w:rFonts w:ascii="Cambria Math" w:hAnsi="Cambria Math" w:cs="Times New Roman"/>
                <w:sz w:val="22"/>
              </w:rPr>
              <m:t>d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sz w:val="22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2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2"/>
                      </w:rPr>
                      <m:t>2</m:t>
                    </m:r>
                  </m:sup>
                </m:sSubSup>
              </m:e>
            </m:d>
            <m:r>
              <w:rPr>
                <w:rFonts w:ascii="Cambria Math" w:hAnsi="Cambria Math" w:cs="Times New Roman"/>
                <w:sz w:val="22"/>
              </w:rPr>
              <m:t>/dt</m:t>
            </m:r>
          </m:e>
        </m:rad>
        <m:r>
          <w:rPr>
            <w:rFonts w:ascii="Cambria Math" w:hAnsi="Cambria Math" w:cs="Times New Roman"/>
            <w:sz w:val="22"/>
          </w:rPr>
          <m:t>dw,</m:t>
        </m:r>
      </m:oMath>
      <w:r w:rsidRPr="0017116A">
        <w:rPr>
          <w:rFonts w:ascii="Times New Roman" w:hAnsi="Times New Roman" w:cs="Times New Roman"/>
          <w:sz w:val="22"/>
        </w:rPr>
        <w:t xml:space="preserve"> 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respectively. This formulation is referred to as the variance exploding SDE (VESDE). </w:t>
      </w:r>
    </w:p>
    <w:p w:rsidR="003A5867" w:rsidRPr="0017116A" w:rsidRDefault="003A5867" w:rsidP="00DD4CBB">
      <w:pPr>
        <w:widowControl/>
        <w:shd w:val="clear" w:color="auto" w:fill="FFFFFF"/>
        <w:wordWrap/>
        <w:autoSpaceDE/>
        <w:spacing w:after="225" w:line="480" w:lineRule="auto"/>
        <w:ind w:firstLine="800"/>
        <w:outlineLvl w:val="2"/>
        <w:rPr>
          <w:rFonts w:ascii="Times New Roman" w:eastAsia="굴림" w:hAnsi="Times New Roman" w:cs="Times New Roman"/>
          <w:iCs/>
          <w:kern w:val="0"/>
          <w:sz w:val="22"/>
        </w:rPr>
      </w:pPr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To solve the reverse-SDE as described by Eq. (2), we trained a score network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S</m:t>
            </m:r>
          </m:e>
          <m:sub>
            <m:r>
              <w:rPr>
                <w:rFonts w:ascii="Cambria Math" w:hAnsi="Cambria Math" w:cs="Times New Roman"/>
                <w:sz w:val="22"/>
              </w:rPr>
              <m:t>θ</m:t>
            </m:r>
          </m:sub>
        </m:sSub>
        <m:r>
          <w:rPr>
            <w:rFonts w:ascii="Cambria Math" w:hAnsi="Cambria Math" w:cs="Times New Roman"/>
            <w:sz w:val="22"/>
          </w:rPr>
          <m:t>(x, t)</m:t>
        </m:r>
      </m:oMath>
      <w:r w:rsidRPr="0017116A">
        <w:rPr>
          <w:rFonts w:ascii="Times New Roman" w:eastAsia="굴림" w:hAnsi="Times New Roman" w:cs="Times New Roman"/>
          <w:sz w:val="22"/>
        </w:rPr>
        <w:t xml:space="preserve"> 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to estimate the score function of the perturbation kernel </w:t>
      </w:r>
      <m:oMath>
        <m:r>
          <m:rPr>
            <m:sty m:val="p"/>
          </m:rPr>
          <w:rPr>
            <w:rFonts w:ascii="Cambria Math" w:hAnsi="Cambria Math" w:cs="Times New Roman"/>
            <w:sz w:val="22"/>
          </w:rPr>
          <m:t>∇</m:t>
        </m:r>
        <m:r>
          <m:rPr>
            <m:sty m:val="p"/>
          </m:rPr>
          <w:rPr>
            <w:rFonts w:ascii="Cambria Math" w:hAnsi="Cambria Math" w:cs="Times New Roman"/>
            <w:position w:val="-2"/>
            <w:sz w:val="22"/>
          </w:rPr>
          <m:t>x</m:t>
        </m:r>
        <m:func>
          <m:funcPr>
            <m:ctrlPr>
              <w:rPr>
                <w:rFonts w:ascii="Cambria Math" w:hAnsi="Cambria Math" w:cs="Times New Roman"/>
                <w:i/>
                <w:sz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2"/>
              </w:rPr>
              <m:t>log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2"/>
                  </w:rPr>
                  <m:t>t</m:t>
                </m:r>
              </m:sub>
            </m:sSub>
          </m:e>
        </m:func>
        <m:d>
          <m:dPr>
            <m:ctrlPr>
              <w:rPr>
                <w:rFonts w:ascii="Cambria Math" w:hAnsi="Cambria Math" w:cs="Times New Roman"/>
                <w:i/>
                <w:sz w:val="2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2"/>
                  </w:rPr>
                  <m:t>t</m:t>
                </m:r>
              </m:sub>
            </m:sSub>
            <m:r>
              <w:rPr>
                <w:rFonts w:ascii="Cambria Math" w:hAnsi="Cambria Math" w:cs="Times New Roman"/>
                <w:sz w:val="22"/>
              </w:rPr>
              <m:t>|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2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2"/>
          </w:rPr>
          <m:t>.</m:t>
        </m:r>
      </m:oMath>
      <w:r w:rsidRPr="0017116A">
        <w:rPr>
          <w:rFonts w:ascii="Times New Roman" w:eastAsia="굴림" w:hAnsi="Times New Roman" w:cs="Times New Roman"/>
          <w:sz w:val="22"/>
        </w:rPr>
        <w:t xml:space="preserve"> 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t>Consequently, the objective of the score network was formulated as the following loss function:</w:t>
      </w:r>
    </w:p>
    <w:p w:rsidR="003A5867" w:rsidRPr="0017116A" w:rsidRDefault="003A5867" w:rsidP="00EF60C6">
      <w:pPr>
        <w:pStyle w:val="equation"/>
        <w:jc w:val="center"/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  <w:lang w:eastAsia="ko-KR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  <w:lang w:eastAsia="ko-KR"/>
                </w:rPr>
                <m:t>θ</m:t>
              </m:r>
            </m:e>
            <m:sup>
              <m:r>
                <w:rPr>
                  <w:rFonts w:ascii="Cambria Math" w:hAnsi="Cambria Math"/>
                  <w:sz w:val="22"/>
                  <w:szCs w:val="22"/>
                  <w:lang w:eastAsia="ko-KR"/>
                </w:rPr>
                <m:t>*</m:t>
              </m:r>
            </m:sup>
          </m:sSup>
          <m:r>
            <w:rPr>
              <w:rFonts w:ascii="Cambria Math" w:hAnsi="Cambria Math"/>
              <w:sz w:val="22"/>
              <w:szCs w:val="22"/>
              <w:lang w:eastAsia="ko-KR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  <w:lang w:eastAsia="ko-K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ko-KR"/>
                </w:rPr>
                <m:t>arg</m:t>
              </m:r>
            </m:fName>
            <m:e>
              <m:func>
                <m:func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ko-K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eastAsia="ko-KR"/>
                    </w:rPr>
                    <m:t>min</m:t>
                  </m:r>
                </m:fName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ko-KR"/>
                    </w:rPr>
                    <m:t>θ</m:t>
                  </m:r>
                </m:e>
              </m:func>
            </m:e>
          </m:func>
          <m:r>
            <w:rPr>
              <w:rFonts w:ascii="Cambria Math" w:hAnsi="Cambria Math"/>
              <w:sz w:val="22"/>
              <w:szCs w:val="22"/>
              <w:lang w:eastAsia="ko-KR"/>
            </w:rPr>
            <m:t>∫λ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eastAsia="ko-KR"/>
                </w:rPr>
              </m:ctrlPr>
            </m:dPr>
            <m:e>
              <m:r>
                <w:rPr>
                  <w:rFonts w:ascii="Cambria Math" w:hAnsi="Cambria Math"/>
                  <w:sz w:val="22"/>
                  <w:szCs w:val="22"/>
                  <w:lang w:eastAsia="ko-KR"/>
                </w:rPr>
                <m:t>t</m:t>
              </m:r>
            </m:e>
          </m:d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ko-KR"/>
                </w:rPr>
              </m:ctrlPr>
            </m:sSubPr>
            <m:e>
              <m:r>
                <m:rPr>
                  <m:scr m:val="double-struck"/>
                </m:rPr>
                <w:rPr>
                  <w:rFonts w:ascii="Cambria Math" w:hAnsi="Cambria Math"/>
                  <w:sz w:val="22"/>
                  <w:szCs w:val="22"/>
                  <w:lang w:eastAsia="ko-KR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  <w:lang w:eastAsia="ko-KR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ko-KR"/>
                    </w:rPr>
                    <m:t>0</m:t>
                  </m:r>
                </m:e>
              </m:d>
            </m:sub>
          </m:sSub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ko-KR"/>
                </w:rPr>
              </m:ctrlPr>
            </m:sSubPr>
            <m:e>
              <m:r>
                <m:rPr>
                  <m:scr m:val="double-struck"/>
                </m:rPr>
                <w:rPr>
                  <w:rFonts w:ascii="Cambria Math" w:hAnsi="Cambria Math"/>
                  <w:sz w:val="22"/>
                  <w:szCs w:val="22"/>
                  <w:lang w:eastAsia="ko-KR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  <w:lang w:eastAsia="ko-KR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ko-KR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2"/>
                  <w:szCs w:val="22"/>
                  <w:lang w:eastAsia="ko-KR"/>
                </w:rPr>
                <m:t>|x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ko-KR"/>
                    </w:rPr>
                    <m:t>0</m:t>
                  </m:r>
                </m:e>
              </m:d>
            </m:sub>
          </m:sSub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ko-K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ko-KR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ko-KR"/>
                        </w:rPr>
                        <m:t>θ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ko-KR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eastAsia="ko-KR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2"/>
                          <w:szCs w:val="22"/>
                          <w:lang w:eastAsia="ko-KR"/>
                        </w:rPr>
                        <m:t>, t</m:t>
                      </m:r>
                    </m:e>
                  </m:d>
                  <m:r>
                    <w:rPr>
                      <w:rFonts w:ascii="Cambria Math" w:hAnsi="Cambria Math"/>
                      <w:sz w:val="22"/>
                      <w:szCs w:val="22"/>
                      <w:lang w:eastAsia="ko-KR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position w:val="-2"/>
                      <w:sz w:val="22"/>
                      <w:szCs w:val="22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log</m:t>
                      </m: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eastAsia="ko-KR"/>
                        </w:rPr>
                      </m:ctrlPr>
                    </m:fNam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eastAsia="ko-K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eastAsia="ko-K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eastAsia="ko-KR"/>
                            </w:rPr>
                            <m:t>t</m:t>
                          </m:r>
                        </m:sub>
                      </m:sSub>
                    </m:e>
                  </m:func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t</m:t>
                          </m:r>
                        </m:e>
                      </m:d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0</m:t>
                          </m:r>
                        </m:e>
                      </m:d>
                    </m:e>
                  </m:d>
                </m:e>
              </m:d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2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 xml:space="preserve">dt, 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dPr>
            <m:e>
              <m:r>
                <w:rPr>
                  <w:rFonts w:ascii="Cambria Math" w:hAnsi="Cambria Math"/>
                  <w:i/>
                  <w:sz w:val="22"/>
                  <w:szCs w:val="22"/>
                </w:rPr>
                <w:fldChar w:fldCharType="begin"/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 SEQ "equation" \n \* MERGEFORMAT </m:t>
              </m:r>
              <m:r>
                <w:rPr>
                  <w:rFonts w:ascii="Cambria Math" w:hAnsi="Cambria Math"/>
                  <w:i/>
                  <w:sz w:val="22"/>
                  <w:szCs w:val="22"/>
                </w:rPr>
                <w:fldChar w:fldCharType="separate"/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3</m:t>
              </m:r>
              <m:r>
                <w:rPr>
                  <w:rFonts w:ascii="Cambria Math" w:hAnsi="Cambria Math"/>
                  <w:i/>
                  <w:sz w:val="22"/>
                  <w:szCs w:val="22"/>
                </w:rPr>
                <w:fldChar w:fldCharType="end"/>
              </m:r>
            </m:e>
          </m:d>
        </m:oMath>
      </m:oMathPara>
    </w:p>
    <w:p w:rsidR="003A5867" w:rsidRPr="0017116A" w:rsidRDefault="003A5867" w:rsidP="004D23DA">
      <w:pPr>
        <w:widowControl/>
        <w:shd w:val="clear" w:color="auto" w:fill="FFFFFF"/>
        <w:wordWrap/>
        <w:autoSpaceDE/>
        <w:spacing w:after="225" w:line="480" w:lineRule="auto"/>
        <w:outlineLvl w:val="2"/>
        <w:rPr>
          <w:rFonts w:ascii="Times New Roman" w:hAnsi="Times New Roman" w:cs="Times New Roman"/>
          <w:bCs/>
          <w:sz w:val="22"/>
        </w:rPr>
      </w:pPr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where </w:t>
      </w:r>
      <m:oMath>
        <m:r>
          <w:rPr>
            <w:rFonts w:ascii="Cambria Math" w:hAnsi="Cambria Math" w:cs="Times New Roman"/>
            <w:sz w:val="22"/>
          </w:rPr>
          <m:t>λ</m:t>
        </m:r>
        <m:d>
          <m:dPr>
            <m:ctrlPr>
              <w:rPr>
                <w:rFonts w:ascii="Cambria Math" w:hAnsi="Cambria Math" w:cs="Times New Roman"/>
                <w:i/>
                <w:sz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</w:rPr>
              <m:t>t</m:t>
            </m:r>
          </m:e>
        </m:d>
      </m:oMath>
      <w:r w:rsidRPr="0017116A">
        <w:rPr>
          <w:rFonts w:ascii="Times New Roman" w:hAnsi="Times New Roman" w:cs="Times New Roman"/>
          <w:sz w:val="22"/>
        </w:rPr>
        <w:t xml:space="preserve"> 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equals </w:t>
      </w:r>
      <m:oMath>
        <m:r>
          <w:rPr>
            <w:rFonts w:ascii="Cambria Math" w:hAnsi="Cambria Math" w:cs="Times New Roman"/>
            <w:sz w:val="22"/>
          </w:rPr>
          <m:t>σ</m:t>
        </m:r>
        <m:sSup>
          <m:sSupPr>
            <m:ctrlPr>
              <w:rPr>
                <w:rFonts w:ascii="Cambria Math" w:hAnsi="Cambria Math" w:cs="Times New Roman"/>
                <w:i/>
                <w:sz w:val="22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2"/>
                  </w:rPr>
                  <m:t>t</m:t>
                </m:r>
              </m:e>
            </m:d>
          </m:e>
          <m:sup>
            <m:r>
              <w:rPr>
                <w:rFonts w:ascii="Cambria Math" w:hAnsi="Cambria Math" w:cs="Times New Roman"/>
                <w:sz w:val="22"/>
              </w:rPr>
              <m:t>2</m:t>
            </m:r>
          </m:sup>
        </m:sSup>
      </m:oMath>
      <w:r w:rsidRPr="0017116A">
        <w:rPr>
          <w:rFonts w:ascii="Times New Roman" w:hAnsi="Times New Roman" w:cs="Times New Roman"/>
          <w:sz w:val="22"/>
        </w:rPr>
        <w:t xml:space="preserve"> 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if the perturbed SDE is a VESDE. By training the score network using Eq. (3), we approximate the score network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</w:rPr>
              <m:t>S</m:t>
            </m:r>
          </m:e>
          <m:sub>
            <m:r>
              <w:rPr>
                <w:rFonts w:ascii="Cambria Math" w:hAnsi="Cambria Math" w:cs="Times New Roman"/>
                <w:sz w:val="22"/>
              </w:rPr>
              <m:t>θ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</w:rPr>
              <m:t>x, t</m:t>
            </m:r>
          </m:e>
        </m:d>
      </m:oMath>
      <w:r w:rsidRPr="0017116A">
        <w:rPr>
          <w:rFonts w:ascii="Times New Roman" w:hAnsi="Times New Roman" w:cs="Times New Roman"/>
          <w:sz w:val="22"/>
        </w:rPr>
        <w:t xml:space="preserve"> 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as </w:t>
      </w:r>
      <m:oMath>
        <m:r>
          <m:rPr>
            <m:sty m:val="p"/>
          </m:rPr>
          <w:rPr>
            <w:rFonts w:ascii="Cambria Math" w:hAnsi="Cambria Math" w:cs="Times New Roman"/>
            <w:sz w:val="22"/>
          </w:rPr>
          <m:t>∇</m:t>
        </m:r>
        <m:r>
          <m:rPr>
            <m:sty m:val="p"/>
          </m:rPr>
          <w:rPr>
            <w:rFonts w:ascii="Cambria Math" w:hAnsi="Cambria Math" w:cs="Times New Roman"/>
            <w:position w:val="-2"/>
            <w:sz w:val="22"/>
          </w:rPr>
          <m:t>x</m:t>
        </m:r>
        <m:func>
          <m:funcPr>
            <m:ctrlPr>
              <w:rPr>
                <w:rFonts w:ascii="Cambria Math" w:hAnsi="Cambria Math" w:cs="Times New Roman"/>
                <w:sz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2"/>
              </w:rPr>
              <m:t>log</m:t>
            </m:r>
            <m:ctrlPr>
              <w:rPr>
                <w:rFonts w:ascii="Cambria Math" w:hAnsi="Cambria Math" w:cs="Times New Roman"/>
                <w:i/>
                <w:sz w:val="22"/>
              </w:rPr>
            </m:ctrlPr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2"/>
                  </w:rPr>
                  <m:t>t</m:t>
                </m:r>
              </m:sub>
            </m:sSub>
          </m:e>
        </m:func>
        <m:d>
          <m:dPr>
            <m:ctrlPr>
              <w:rPr>
                <w:rFonts w:ascii="Cambria Math" w:hAnsi="Cambria Math" w:cs="Times New Roman"/>
                <w:i/>
                <w:sz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</w:rPr>
              <m:t>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2"/>
                  </w:rPr>
                  <m:t>t</m:t>
                </m:r>
              </m:e>
            </m:d>
          </m:e>
          <m:e>
            <m:r>
              <w:rPr>
                <w:rFonts w:ascii="Cambria Math" w:hAnsi="Cambria Math" w:cs="Times New Roman"/>
                <w:sz w:val="22"/>
              </w:rPr>
              <m:t>x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2"/>
                  </w:rPr>
                  <m:t>0</m:t>
                </m:r>
              </m:e>
            </m:d>
          </m:e>
        </m:d>
      </m:oMath>
      <w:r w:rsidRPr="0017116A">
        <w:rPr>
          <w:rFonts w:ascii="Times New Roman" w:hAnsi="Times New Roman" w:cs="Times New Roman"/>
          <w:sz w:val="22"/>
        </w:rPr>
        <w:t xml:space="preserve">. </w:t>
      </w:r>
      <w:bookmarkStart w:id="0" w:name="_Hlk187267818"/>
      <w:r w:rsidRPr="0017116A">
        <w:rPr>
          <w:rFonts w:ascii="Times New Roman" w:hAnsi="Times New Roman" w:cs="Times New Roman"/>
          <w:bCs/>
          <w:sz w:val="22"/>
        </w:rPr>
        <w:t>We trained the score network using single NVIDIA RTX3090 24GB GPU with Adam optimizer for 380,000 iterations. Batch size was 32 and learning rate was 2e-4. We resized the resolution of images by 256 × 256.</w:t>
      </w:r>
      <w:r w:rsidRPr="0017116A">
        <w:rPr>
          <w:rFonts w:ascii="Times New Roman" w:hAnsi="Times New Roman" w:cs="Times New Roman"/>
          <w:sz w:val="22"/>
        </w:rPr>
        <w:t xml:space="preserve"> </w:t>
      </w:r>
      <w:bookmarkStart w:id="1" w:name="_Hlk187267550"/>
      <w:bookmarkEnd w:id="0"/>
      <w:r w:rsidRPr="0017116A">
        <w:rPr>
          <w:rFonts w:ascii="Times New Roman" w:hAnsi="Times New Roman" w:cs="Times New Roman"/>
          <w:sz w:val="22"/>
        </w:rPr>
        <w:t>For quantitative analysis of generative AI, we calculated the Fréchet Inception Distance (FID) score in a prior study</w:t>
      </w:r>
      <w:r w:rsidRPr="00FA7A45">
        <w:rPr>
          <w:rFonts w:ascii="Times New Roman" w:hAnsi="Times New Roman" w:cs="Times New Roman"/>
          <w:noProof/>
          <w:sz w:val="22"/>
          <w:vertAlign w:val="superscript"/>
        </w:rPr>
        <w:t>10</w:t>
      </w:r>
      <w:r w:rsidRPr="0017116A">
        <w:rPr>
          <w:rFonts w:ascii="Times New Roman" w:hAnsi="Times New Roman" w:cs="Times New Roman"/>
          <w:b/>
          <w:sz w:val="22"/>
        </w:rPr>
        <w:t>.</w:t>
      </w:r>
      <w:r w:rsidRPr="0017116A">
        <w:rPr>
          <w:rFonts w:ascii="Times New Roman" w:hAnsi="Times New Roman" w:cs="Times New Roman"/>
          <w:sz w:val="22"/>
        </w:rPr>
        <w:t xml:space="preserve"> The FID scores for IDH-mutant type and IDH-wild type gliomas were 23.53 and 34.96, respectively. The calculated FID score was sufficiently low, indicating diversity of the generated images. </w:t>
      </w:r>
      <w:bookmarkEnd w:id="1"/>
      <w:r w:rsidRPr="0017116A">
        <w:rPr>
          <w:rFonts w:ascii="Times New Roman" w:hAnsi="Times New Roman" w:cs="Times New Roman"/>
          <w:sz w:val="22"/>
        </w:rPr>
        <w:t xml:space="preserve">Based on these findings, we selected representative images that reflect realistic and varied morphologic feature for our study. The SDE is then solved using a numerical solver with a score-based Markov chain Monte Carlo (MCMC) approach. A numerical solver, such as a reverse diffusion SDE solver, computes the reverse-time SDE using a fixed discretization strategy and is referred to as the </w:t>
      </w:r>
      <w:r w:rsidRPr="0017116A">
        <w:rPr>
          <w:rFonts w:ascii="Times New Roman" w:hAnsi="Times New Roman" w:cs="Times New Roman"/>
          <w:i/>
          <w:iCs/>
          <w:sz w:val="22"/>
        </w:rPr>
        <w:t>Predictor</w:t>
      </w:r>
      <w:r w:rsidRPr="0017116A">
        <w:rPr>
          <w:rFonts w:ascii="Times New Roman" w:hAnsi="Times New Roman" w:cs="Times New Roman"/>
          <w:sz w:val="22"/>
        </w:rPr>
        <w:t>.</w:t>
      </w:r>
      <w:r w:rsidRPr="0017116A">
        <w:rPr>
          <w:rFonts w:ascii="Times New Roman" w:hAnsi="Times New Roman" w:cs="Times New Roman"/>
          <w:i/>
          <w:iCs/>
          <w:sz w:val="22"/>
        </w:rPr>
        <w:t xml:space="preserve"> </w:t>
      </w:r>
      <w:r w:rsidRPr="0017116A">
        <w:rPr>
          <w:rFonts w:ascii="Times New Roman" w:hAnsi="Times New Roman" w:cs="Times New Roman"/>
          <w:sz w:val="22"/>
        </w:rPr>
        <w:t xml:space="preserve">Additionally, a score-based MCMC approach, such as annealed Langevin dynamics, adjusts the gradient ascent direction and is referred to as the </w:t>
      </w:r>
      <w:r w:rsidRPr="0017116A">
        <w:rPr>
          <w:rFonts w:ascii="Times New Roman" w:hAnsi="Times New Roman" w:cs="Times New Roman"/>
          <w:i/>
          <w:iCs/>
          <w:sz w:val="22"/>
        </w:rPr>
        <w:t>Corrector</w:t>
      </w:r>
      <w:r w:rsidRPr="0017116A">
        <w:rPr>
          <w:rFonts w:ascii="Times New Roman" w:hAnsi="Times New Roman" w:cs="Times New Roman"/>
          <w:sz w:val="22"/>
        </w:rPr>
        <w:t xml:space="preserve">. </w:t>
      </w:r>
      <w:bookmarkStart w:id="2" w:name="_Hlk187267910"/>
      <w:r w:rsidRPr="0017116A">
        <w:rPr>
          <w:rFonts w:ascii="Times New Roman" w:hAnsi="Times New Roman" w:cs="Times New Roman"/>
          <w:sz w:val="22"/>
        </w:rPr>
        <w:t>We adopted a predictor-corrector sampler that alternately applies the predictor and corrector proposed in a previous study</w:t>
      </w:r>
      <w:r w:rsidRPr="00FA7A45">
        <w:rPr>
          <w:rFonts w:ascii="Times New Roman" w:hAnsi="Times New Roman" w:cs="Times New Roman"/>
          <w:noProof/>
          <w:sz w:val="22"/>
          <w:vertAlign w:val="superscript"/>
        </w:rPr>
        <w:t>3</w:t>
      </w:r>
      <w:r w:rsidRPr="0017116A">
        <w:rPr>
          <w:rFonts w:ascii="Times New Roman" w:hAnsi="Times New Roman" w:cs="Times New Roman"/>
          <w:sz w:val="22"/>
        </w:rPr>
        <w:t xml:space="preserve">. </w:t>
      </w:r>
      <w:bookmarkStart w:id="3" w:name="_Hlk187267842"/>
      <w:bookmarkEnd w:id="2"/>
      <w:r w:rsidRPr="0017116A">
        <w:rPr>
          <w:rFonts w:ascii="Times New Roman" w:hAnsi="Times New Roman" w:cs="Times New Roman"/>
          <w:sz w:val="22"/>
        </w:rPr>
        <w:t>We used vanilla NCSN++ model</w:t>
      </w:r>
      <w:r w:rsidRPr="00FA7A45">
        <w:rPr>
          <w:rFonts w:ascii="Times New Roman" w:hAnsi="Times New Roman" w:cs="Times New Roman"/>
          <w:noProof/>
          <w:sz w:val="22"/>
          <w:vertAlign w:val="superscript"/>
        </w:rPr>
        <w:t>3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 with U-Net architecture</w:t>
      </w:r>
      <w:r>
        <w:rPr>
          <w:rFonts w:ascii="Times New Roman" w:eastAsia="굴림" w:hAnsi="Times New Roman" w:cs="Times New Roman"/>
          <w:iCs/>
          <w:kern w:val="0"/>
          <w:sz w:val="22"/>
        </w:rPr>
        <w:t>,</w:t>
      </w:r>
      <w:r w:rsidRPr="0017116A">
        <w:rPr>
          <w:rFonts w:ascii="Times New Roman" w:eastAsia="굴림" w:hAnsi="Times New Roman" w:cs="Times New Roman"/>
          <w:iCs/>
          <w:kern w:val="0"/>
          <w:sz w:val="22"/>
        </w:rPr>
        <w:t xml:space="preserve"> which consists of residual and attention blocks</w:t>
      </w:r>
      <w:r w:rsidRPr="0017116A">
        <w:rPr>
          <w:rFonts w:ascii="Times New Roman" w:hAnsi="Times New Roman" w:cs="Times New Roman"/>
          <w:sz w:val="22"/>
        </w:rPr>
        <w:t xml:space="preserve">. </w:t>
      </w:r>
      <w:bookmarkEnd w:id="3"/>
      <w:r w:rsidRPr="0017116A">
        <w:rPr>
          <w:rFonts w:ascii="Times New Roman" w:hAnsi="Times New Roman" w:cs="Times New Roman"/>
          <w:sz w:val="22"/>
        </w:rPr>
        <w:t xml:space="preserve">More details about the architecture of the model are illustrated in </w:t>
      </w:r>
      <w:r w:rsidRPr="0017116A">
        <w:rPr>
          <w:rFonts w:ascii="Times New Roman" w:hAnsi="Times New Roman" w:cs="Times New Roman"/>
          <w:b/>
          <w:sz w:val="22"/>
        </w:rPr>
        <w:t>Supplementary Figure 1</w:t>
      </w:r>
      <w:r w:rsidRPr="0017116A">
        <w:rPr>
          <w:rFonts w:ascii="Times New Roman" w:hAnsi="Times New Roman" w:cs="Times New Roman"/>
          <w:sz w:val="22"/>
        </w:rPr>
        <w:t>.</w:t>
      </w:r>
    </w:p>
    <w:p w:rsidR="003A5867" w:rsidRPr="0017116A" w:rsidRDefault="003A5867" w:rsidP="004D23DA">
      <w:pPr>
        <w:widowControl/>
        <w:shd w:val="clear" w:color="auto" w:fill="FFFFFF"/>
        <w:wordWrap/>
        <w:autoSpaceDE/>
        <w:spacing w:after="225" w:line="480" w:lineRule="auto"/>
        <w:outlineLvl w:val="2"/>
        <w:rPr>
          <w:rFonts w:ascii="Times New Roman" w:eastAsia="굴림" w:hAnsi="Times New Roman" w:cs="Times New Roman"/>
          <w:kern w:val="0"/>
          <w:sz w:val="22"/>
        </w:rPr>
      </w:pPr>
    </w:p>
    <w:p w:rsidR="003A5867" w:rsidRPr="0017116A" w:rsidRDefault="003A5867" w:rsidP="002D5147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sz w:val="22"/>
        </w:rPr>
      </w:pPr>
      <w:r w:rsidRPr="0017116A">
        <w:rPr>
          <w:rFonts w:ascii="Times New Roman" w:hAnsi="Times New Roman" w:cs="Times New Roman"/>
          <w:b/>
          <w:sz w:val="22"/>
        </w:rPr>
        <w:lastRenderedPageBreak/>
        <w:t>References</w:t>
      </w:r>
    </w:p>
    <w:p w:rsidR="003A5867" w:rsidRPr="003A5867" w:rsidRDefault="003A5867" w:rsidP="003A5867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sz w:val="22"/>
        </w:rPr>
      </w:pPr>
      <w:r w:rsidRPr="003A5867">
        <w:rPr>
          <w:rFonts w:ascii="Times New Roman" w:eastAsia="맑은 고딕" w:hAnsi="Times New Roman" w:cs="Times New Roman"/>
          <w:sz w:val="22"/>
        </w:rPr>
        <w:t>1</w:t>
      </w:r>
      <w:r w:rsidRPr="003A5867">
        <w:rPr>
          <w:rFonts w:ascii="Times New Roman" w:eastAsia="맑은 고딕" w:hAnsi="Times New Roman" w:cs="Times New Roman"/>
          <w:sz w:val="22"/>
        </w:rPr>
        <w:tab/>
        <w:t>Song, Y. &amp; Ermon, S. Generative modeling by estimating gradients of the data distribution. Advances in neural information processing systems 32 (2019).</w:t>
      </w:r>
    </w:p>
    <w:p w:rsidR="003A5867" w:rsidRPr="003A5867" w:rsidRDefault="003A5867" w:rsidP="003A5867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sz w:val="22"/>
        </w:rPr>
      </w:pPr>
      <w:r w:rsidRPr="003A5867">
        <w:rPr>
          <w:rFonts w:ascii="Times New Roman" w:eastAsia="맑은 고딕" w:hAnsi="Times New Roman" w:cs="Times New Roman"/>
          <w:sz w:val="22"/>
        </w:rPr>
        <w:t>2</w:t>
      </w:r>
      <w:r w:rsidRPr="003A5867">
        <w:rPr>
          <w:rFonts w:ascii="Times New Roman" w:eastAsia="맑은 고딕" w:hAnsi="Times New Roman" w:cs="Times New Roman"/>
          <w:sz w:val="22"/>
        </w:rPr>
        <w:tab/>
        <w:t>Song, Y. &amp; Ermon, S. Improved techniques for training score-based generative models. Advances in neural information processing systems 33, 12438-12448 (2020).</w:t>
      </w:r>
    </w:p>
    <w:p w:rsidR="003A5867" w:rsidRPr="003A5867" w:rsidRDefault="003A5867" w:rsidP="003A5867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sz w:val="22"/>
        </w:rPr>
      </w:pPr>
      <w:r w:rsidRPr="003A5867">
        <w:rPr>
          <w:rFonts w:ascii="Times New Roman" w:eastAsia="맑은 고딕" w:hAnsi="Times New Roman" w:cs="Times New Roman"/>
          <w:sz w:val="22"/>
        </w:rPr>
        <w:t>3</w:t>
      </w:r>
      <w:r w:rsidRPr="003A5867">
        <w:rPr>
          <w:rFonts w:ascii="Times New Roman" w:eastAsia="맑은 고딕" w:hAnsi="Times New Roman" w:cs="Times New Roman"/>
          <w:sz w:val="22"/>
        </w:rPr>
        <w:tab/>
        <w:t xml:space="preserve">Song, Y. et al. Score-based generative modeling through stochastic differential equations. </w:t>
      </w:r>
      <w:proofErr w:type="spellStart"/>
      <w:r w:rsidRPr="003A5867">
        <w:rPr>
          <w:rFonts w:ascii="Times New Roman" w:eastAsia="맑은 고딕" w:hAnsi="Times New Roman" w:cs="Times New Roman"/>
          <w:sz w:val="22"/>
        </w:rPr>
        <w:t>arXiv</w:t>
      </w:r>
      <w:proofErr w:type="spellEnd"/>
      <w:r w:rsidRPr="003A5867">
        <w:rPr>
          <w:rFonts w:ascii="Times New Roman" w:eastAsia="맑은 고딕" w:hAnsi="Times New Roman" w:cs="Times New Roman"/>
          <w:sz w:val="22"/>
        </w:rPr>
        <w:t xml:space="preserve"> preprint arXiv:2011.13456 (2020).</w:t>
      </w:r>
    </w:p>
    <w:p w:rsidR="003A5867" w:rsidRPr="003A5867" w:rsidRDefault="003A5867" w:rsidP="003A5867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sz w:val="22"/>
        </w:rPr>
      </w:pPr>
      <w:r w:rsidRPr="003A5867">
        <w:rPr>
          <w:rFonts w:ascii="Times New Roman" w:eastAsia="맑은 고딕" w:hAnsi="Times New Roman" w:cs="Times New Roman"/>
          <w:sz w:val="22"/>
        </w:rPr>
        <w:t>4</w:t>
      </w:r>
      <w:r w:rsidRPr="003A5867">
        <w:rPr>
          <w:rFonts w:ascii="Times New Roman" w:eastAsia="맑은 고딕" w:hAnsi="Times New Roman" w:cs="Times New Roman"/>
          <w:sz w:val="22"/>
        </w:rPr>
        <w:tab/>
        <w:t xml:space="preserve">Dhariwal, P. &amp; Nichol, A. Diffusion models beat </w:t>
      </w:r>
      <w:proofErr w:type="spellStart"/>
      <w:r w:rsidRPr="003A5867">
        <w:rPr>
          <w:rFonts w:ascii="Times New Roman" w:eastAsia="맑은 고딕" w:hAnsi="Times New Roman" w:cs="Times New Roman"/>
          <w:sz w:val="22"/>
        </w:rPr>
        <w:t>gans</w:t>
      </w:r>
      <w:proofErr w:type="spellEnd"/>
      <w:r w:rsidRPr="003A5867">
        <w:rPr>
          <w:rFonts w:ascii="Times New Roman" w:eastAsia="맑은 고딕" w:hAnsi="Times New Roman" w:cs="Times New Roman"/>
          <w:sz w:val="22"/>
        </w:rPr>
        <w:t xml:space="preserve"> on image synthesis. Advances in neural information processing systems 34, 8780-8794 (2021).</w:t>
      </w:r>
    </w:p>
    <w:p w:rsidR="003A5867" w:rsidRPr="003A5867" w:rsidRDefault="003A5867" w:rsidP="003A5867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sz w:val="22"/>
        </w:rPr>
      </w:pPr>
      <w:r w:rsidRPr="003A5867">
        <w:rPr>
          <w:rFonts w:ascii="Times New Roman" w:eastAsia="맑은 고딕" w:hAnsi="Times New Roman" w:cs="Times New Roman"/>
          <w:sz w:val="22"/>
        </w:rPr>
        <w:t>5</w:t>
      </w:r>
      <w:r w:rsidRPr="003A5867">
        <w:rPr>
          <w:rFonts w:ascii="Times New Roman" w:eastAsia="맑은 고딕" w:hAnsi="Times New Roman" w:cs="Times New Roman"/>
          <w:sz w:val="22"/>
        </w:rPr>
        <w:tab/>
        <w:t xml:space="preserve">Ho, J., Jain, A. &amp; </w:t>
      </w:r>
      <w:proofErr w:type="spellStart"/>
      <w:r w:rsidRPr="003A5867">
        <w:rPr>
          <w:rFonts w:ascii="Times New Roman" w:eastAsia="맑은 고딕" w:hAnsi="Times New Roman" w:cs="Times New Roman"/>
          <w:sz w:val="22"/>
        </w:rPr>
        <w:t>Abbeel</w:t>
      </w:r>
      <w:proofErr w:type="spellEnd"/>
      <w:r w:rsidRPr="003A5867">
        <w:rPr>
          <w:rFonts w:ascii="Times New Roman" w:eastAsia="맑은 고딕" w:hAnsi="Times New Roman" w:cs="Times New Roman"/>
          <w:sz w:val="22"/>
        </w:rPr>
        <w:t>, P. Denoising diffusion probabilistic models. Advances in neural information processing systems 33, 6840-6851 (2020).</w:t>
      </w:r>
    </w:p>
    <w:p w:rsidR="003A5867" w:rsidRPr="003A5867" w:rsidRDefault="003A5867" w:rsidP="003A5867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sz w:val="22"/>
        </w:rPr>
      </w:pPr>
      <w:r w:rsidRPr="003A5867">
        <w:rPr>
          <w:rFonts w:ascii="Times New Roman" w:eastAsia="맑은 고딕" w:hAnsi="Times New Roman" w:cs="Times New Roman"/>
          <w:sz w:val="22"/>
        </w:rPr>
        <w:t>6</w:t>
      </w:r>
      <w:r w:rsidRPr="003A5867">
        <w:rPr>
          <w:rFonts w:ascii="Times New Roman" w:eastAsia="맑은 고딕" w:hAnsi="Times New Roman" w:cs="Times New Roman"/>
          <w:sz w:val="22"/>
        </w:rPr>
        <w:tab/>
        <w:t>Nichol, A. Q. &amp; Dhariwal, P. in International conference on machine learning.  8162-8171 (PMLR).</w:t>
      </w:r>
    </w:p>
    <w:p w:rsidR="003A5867" w:rsidRPr="003A5867" w:rsidRDefault="003A5867" w:rsidP="003A5867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sz w:val="22"/>
        </w:rPr>
      </w:pPr>
      <w:r w:rsidRPr="003A5867">
        <w:rPr>
          <w:rFonts w:ascii="Times New Roman" w:eastAsia="맑은 고딕" w:hAnsi="Times New Roman" w:cs="Times New Roman"/>
          <w:sz w:val="22"/>
        </w:rPr>
        <w:t>7</w:t>
      </w:r>
      <w:r w:rsidRPr="003A5867">
        <w:rPr>
          <w:rFonts w:ascii="Times New Roman" w:eastAsia="맑은 고딕" w:hAnsi="Times New Roman" w:cs="Times New Roman"/>
          <w:sz w:val="22"/>
        </w:rPr>
        <w:tab/>
        <w:t xml:space="preserve">Song, J., Meng, C. &amp; Ermon, S. Denoising diffusion implicit models. </w:t>
      </w:r>
      <w:proofErr w:type="spellStart"/>
      <w:r w:rsidRPr="003A5867">
        <w:rPr>
          <w:rFonts w:ascii="Times New Roman" w:eastAsia="맑은 고딕" w:hAnsi="Times New Roman" w:cs="Times New Roman"/>
          <w:sz w:val="22"/>
        </w:rPr>
        <w:t>arXiv</w:t>
      </w:r>
      <w:proofErr w:type="spellEnd"/>
      <w:r w:rsidRPr="003A5867">
        <w:rPr>
          <w:rFonts w:ascii="Times New Roman" w:eastAsia="맑은 고딕" w:hAnsi="Times New Roman" w:cs="Times New Roman"/>
          <w:sz w:val="22"/>
        </w:rPr>
        <w:t xml:space="preserve"> preprint arXiv:2010.02502 (2020).</w:t>
      </w:r>
    </w:p>
    <w:p w:rsidR="003A5867" w:rsidRPr="003A5867" w:rsidRDefault="003A5867" w:rsidP="003A5867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sz w:val="22"/>
        </w:rPr>
      </w:pPr>
      <w:r w:rsidRPr="003A5867">
        <w:rPr>
          <w:rFonts w:ascii="Times New Roman" w:eastAsia="맑은 고딕" w:hAnsi="Times New Roman" w:cs="Times New Roman"/>
          <w:sz w:val="22"/>
        </w:rPr>
        <w:t>8</w:t>
      </w:r>
      <w:r w:rsidRPr="003A5867">
        <w:rPr>
          <w:rFonts w:ascii="Times New Roman" w:eastAsia="맑은 고딕" w:hAnsi="Times New Roman" w:cs="Times New Roman"/>
          <w:sz w:val="22"/>
        </w:rPr>
        <w:tab/>
        <w:t>Goodfellow, I. et al. Generative adversarial nets. Advances in neural information processing systems 27 (2014).</w:t>
      </w:r>
    </w:p>
    <w:p w:rsidR="003A5867" w:rsidRPr="003A5867" w:rsidRDefault="003A5867" w:rsidP="003A5867">
      <w:pPr>
        <w:widowControl/>
        <w:wordWrap/>
        <w:autoSpaceDE/>
        <w:autoSpaceDN/>
        <w:spacing w:after="0"/>
        <w:rPr>
          <w:rFonts w:ascii="Times New Roman" w:eastAsia="맑은 고딕" w:hAnsi="Times New Roman" w:cs="Times New Roman"/>
          <w:sz w:val="22"/>
        </w:rPr>
      </w:pPr>
      <w:r w:rsidRPr="003A5867">
        <w:rPr>
          <w:rFonts w:ascii="Times New Roman" w:eastAsia="맑은 고딕" w:hAnsi="Times New Roman" w:cs="Times New Roman"/>
          <w:sz w:val="22"/>
        </w:rPr>
        <w:t>9</w:t>
      </w:r>
      <w:r w:rsidRPr="003A5867">
        <w:rPr>
          <w:rFonts w:ascii="Times New Roman" w:eastAsia="맑은 고딕" w:hAnsi="Times New Roman" w:cs="Times New Roman"/>
          <w:sz w:val="22"/>
        </w:rPr>
        <w:tab/>
        <w:t xml:space="preserve">Kingma, D. P. &amp; Welling, M. Auto-encoding variational bayes. </w:t>
      </w:r>
      <w:proofErr w:type="spellStart"/>
      <w:r w:rsidRPr="003A5867">
        <w:rPr>
          <w:rFonts w:ascii="Times New Roman" w:eastAsia="맑은 고딕" w:hAnsi="Times New Roman" w:cs="Times New Roman"/>
          <w:sz w:val="22"/>
        </w:rPr>
        <w:t>arXiv</w:t>
      </w:r>
      <w:proofErr w:type="spellEnd"/>
      <w:r w:rsidRPr="003A5867">
        <w:rPr>
          <w:rFonts w:ascii="Times New Roman" w:eastAsia="맑은 고딕" w:hAnsi="Times New Roman" w:cs="Times New Roman"/>
          <w:sz w:val="22"/>
        </w:rPr>
        <w:t xml:space="preserve"> preprint arXiv:1312.6114 (2013).</w:t>
      </w:r>
    </w:p>
    <w:p w:rsidR="003A5867" w:rsidRPr="0017116A" w:rsidRDefault="003A5867" w:rsidP="003A5867">
      <w:pPr>
        <w:widowControl/>
        <w:wordWrap/>
        <w:autoSpaceDE/>
        <w:autoSpaceDN/>
        <w:spacing w:after="0"/>
        <w:rPr>
          <w:rFonts w:ascii="Times New Roman" w:eastAsia="굴림" w:hAnsi="Times New Roman" w:cs="Times New Roman"/>
          <w:kern w:val="0"/>
          <w:sz w:val="22"/>
        </w:rPr>
      </w:pPr>
      <w:r w:rsidRPr="003A5867">
        <w:rPr>
          <w:rFonts w:ascii="Times New Roman" w:eastAsia="맑은 고딕" w:hAnsi="Times New Roman" w:cs="Times New Roman"/>
          <w:sz w:val="22"/>
        </w:rPr>
        <w:t>10</w:t>
      </w:r>
      <w:r w:rsidRPr="003A5867">
        <w:rPr>
          <w:rFonts w:ascii="Times New Roman" w:eastAsia="맑은 고딕" w:hAnsi="Times New Roman" w:cs="Times New Roman"/>
          <w:sz w:val="22"/>
        </w:rPr>
        <w:tab/>
        <w:t>Moon, H. H. et al. Generative AI in glioma: ensuring diversity in training image phenotypes to improve diagnostic performance for IDH mutation prediction. Neuro-oncology 26, 1124-1135 (2024).</w:t>
      </w:r>
    </w:p>
    <w:p w:rsidR="003A5867" w:rsidRPr="0017116A" w:rsidRDefault="003A5867">
      <w:pPr>
        <w:widowControl/>
        <w:wordWrap/>
        <w:autoSpaceDE/>
        <w:autoSpaceDN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116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A5867" w:rsidRPr="0017116A" w:rsidRDefault="003A5867" w:rsidP="00EF60C6">
      <w:pPr>
        <w:shd w:val="clear" w:color="auto" w:fill="FFFFFF"/>
        <w:spacing w:before="100" w:beforeAutospacing="1" w:after="100" w:afterAutospacing="1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711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1. Details of the most commonly used parameters for image acquisition in our institution and </w:t>
      </w:r>
      <w:r w:rsidRPr="001711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the Cancer Genome Atlas (</w:t>
      </w:r>
      <w:r w:rsidRPr="0017116A">
        <w:rPr>
          <w:rFonts w:ascii="Times New Roman" w:hAnsi="Times New Roman" w:cs="Times New Roman"/>
          <w:b/>
          <w:sz w:val="24"/>
          <w:szCs w:val="24"/>
        </w:rPr>
        <w:t>TCGA) sets</w:t>
      </w:r>
    </w:p>
    <w:tbl>
      <w:tblPr>
        <w:tblW w:w="84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819"/>
        <w:gridCol w:w="2679"/>
      </w:tblGrid>
      <w:tr w:rsidR="003A5867" w:rsidRPr="0017116A" w:rsidTr="00A7320C">
        <w:trPr>
          <w:trHeight w:val="304"/>
        </w:trPr>
        <w:tc>
          <w:tcPr>
            <w:tcW w:w="29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A5867" w:rsidRPr="0017116A" w:rsidRDefault="003A5867" w:rsidP="00A7320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Acquisition parameters</w:t>
            </w:r>
          </w:p>
        </w:tc>
        <w:tc>
          <w:tcPr>
            <w:tcW w:w="5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A5867" w:rsidRPr="0017116A" w:rsidRDefault="003A5867" w:rsidP="00A7320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Values</w:t>
            </w: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3A5867" w:rsidRPr="0017116A" w:rsidRDefault="003A5867" w:rsidP="00A7320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81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A5867" w:rsidRPr="0017116A" w:rsidRDefault="003A5867" w:rsidP="00A7320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Our institution</w:t>
            </w:r>
          </w:p>
        </w:tc>
        <w:tc>
          <w:tcPr>
            <w:tcW w:w="267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A5867" w:rsidRPr="0017116A" w:rsidRDefault="003A5867" w:rsidP="00A7320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TCGA</w:t>
            </w:r>
          </w:p>
        </w:tc>
      </w:tr>
      <w:tr w:rsidR="003A5867" w:rsidRPr="0017116A" w:rsidTr="00A7320C">
        <w:trPr>
          <w:trHeight w:val="380"/>
        </w:trPr>
        <w:tc>
          <w:tcPr>
            <w:tcW w:w="296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A5867" w:rsidRPr="0017116A" w:rsidRDefault="003A5867" w:rsidP="00A7320C">
            <w:pPr>
              <w:spacing w:line="240" w:lineRule="auto"/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Magnetic field strength</w:t>
            </w:r>
          </w:p>
        </w:tc>
        <w:tc>
          <w:tcPr>
            <w:tcW w:w="2819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3 T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1.5–3.0 T</w:t>
            </w: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  <w:hideMark/>
          </w:tcPr>
          <w:p w:rsidR="003A5867" w:rsidRPr="0017116A" w:rsidRDefault="003A5867" w:rsidP="00A7320C">
            <w:pPr>
              <w:spacing w:line="240" w:lineRule="auto"/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Manufacturer</w:t>
            </w:r>
          </w:p>
        </w:tc>
        <w:tc>
          <w:tcPr>
            <w:tcW w:w="2819" w:type="dxa"/>
            <w:shd w:val="clear" w:color="000000" w:fill="FFFFFF"/>
            <w:vAlign w:val="center"/>
            <w:hideMark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Philips</w:t>
            </w:r>
          </w:p>
        </w:tc>
        <w:tc>
          <w:tcPr>
            <w:tcW w:w="2678" w:type="dxa"/>
            <w:shd w:val="clear" w:color="000000" w:fill="FFFFFF"/>
            <w:vAlign w:val="center"/>
            <w:hideMark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General Electric</w:t>
            </w:r>
          </w:p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SIEMENS</w:t>
            </w: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  <w:hideMark/>
          </w:tcPr>
          <w:p w:rsidR="003A5867" w:rsidRPr="0017116A" w:rsidRDefault="003A5867" w:rsidP="00A7320C">
            <w:pPr>
              <w:spacing w:line="240" w:lineRule="auto"/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Spatial resolution</w:t>
            </w:r>
          </w:p>
        </w:tc>
        <w:tc>
          <w:tcPr>
            <w:tcW w:w="2819" w:type="dxa"/>
            <w:shd w:val="clear" w:color="000000" w:fill="FFFFFF"/>
            <w:vAlign w:val="center"/>
            <w:hideMark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78" w:type="dxa"/>
            <w:shd w:val="clear" w:color="000000" w:fill="FFFFFF"/>
            <w:vAlign w:val="center"/>
            <w:hideMark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T2WI </w:t>
            </w:r>
          </w:p>
        </w:tc>
        <w:tc>
          <w:tcPr>
            <w:tcW w:w="2819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78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yellow"/>
              </w:rPr>
            </w:pP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ind w:leftChars="100" w:left="200"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FOV (mm)/matrix</w:t>
            </w:r>
          </w:p>
        </w:tc>
        <w:tc>
          <w:tcPr>
            <w:tcW w:w="2819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0.47 × 0.47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0.43 × 0.43–1.10 × 1.10</w:t>
            </w: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ind w:leftChars="100" w:left="200"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Slice thickness (mm)</w:t>
            </w:r>
          </w:p>
        </w:tc>
        <w:tc>
          <w:tcPr>
            <w:tcW w:w="2819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4.0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0.9–5.0</w:t>
            </w: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FLAIR </w:t>
            </w:r>
          </w:p>
        </w:tc>
        <w:tc>
          <w:tcPr>
            <w:tcW w:w="2819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yellow"/>
              </w:rPr>
            </w:pPr>
          </w:p>
        </w:tc>
        <w:tc>
          <w:tcPr>
            <w:tcW w:w="2678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  <w:highlight w:val="yellow"/>
              </w:rPr>
            </w:pP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ind w:leftChars="100" w:left="200"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FOV (mm)/matrix</w:t>
            </w:r>
          </w:p>
        </w:tc>
        <w:tc>
          <w:tcPr>
            <w:tcW w:w="2819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0.5 × 0.5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0.38 × 0.38–1.10 × 1.10</w:t>
            </w: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ind w:leftChars="200" w:left="4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Slice thickness (mm)</w:t>
            </w:r>
          </w:p>
        </w:tc>
        <w:tc>
          <w:tcPr>
            <w:tcW w:w="2819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3.0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3.0–5.0</w:t>
            </w: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ind w:leftChars="100" w:left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CE-T1WI</w:t>
            </w:r>
          </w:p>
        </w:tc>
        <w:tc>
          <w:tcPr>
            <w:tcW w:w="2819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78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ind w:leftChars="200" w:left="4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FOV (mm)/matrix</w:t>
            </w:r>
          </w:p>
        </w:tc>
        <w:tc>
          <w:tcPr>
            <w:tcW w:w="2819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 0.25 × 0.25 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0.43 × 0.43–1.10 × 1.10</w:t>
            </w: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ind w:leftChars="200" w:left="4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Slice thickness (mm)</w:t>
            </w:r>
          </w:p>
        </w:tc>
        <w:tc>
          <w:tcPr>
            <w:tcW w:w="2819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1.0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0.9–5.0</w:t>
            </w: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  <w:hideMark/>
          </w:tcPr>
          <w:p w:rsidR="003A5867" w:rsidRPr="0017116A" w:rsidRDefault="003A5867" w:rsidP="00A7320C">
            <w:pPr>
              <w:spacing w:line="240" w:lineRule="auto"/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Echo time (</w:t>
            </w:r>
            <w:proofErr w:type="spellStart"/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ms</w:t>
            </w:r>
            <w:proofErr w:type="spellEnd"/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819" w:type="dxa"/>
            <w:shd w:val="clear" w:color="000000" w:fill="FFFFFF"/>
            <w:vAlign w:val="center"/>
            <w:hideMark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78" w:type="dxa"/>
            <w:shd w:val="clear" w:color="000000" w:fill="FFFFFF"/>
            <w:vAlign w:val="center"/>
            <w:hideMark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ind w:leftChars="100" w:left="200"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T2WI</w:t>
            </w:r>
          </w:p>
        </w:tc>
        <w:tc>
          <w:tcPr>
            <w:tcW w:w="2819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100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65–458</w:t>
            </w: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ind w:leftChars="200" w:left="4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FLAIR</w:t>
            </w:r>
          </w:p>
        </w:tc>
        <w:tc>
          <w:tcPr>
            <w:tcW w:w="2819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110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75–148.5</w:t>
            </w: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ind w:leftChars="200" w:left="4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CE-T1WI</w:t>
            </w:r>
          </w:p>
        </w:tc>
        <w:tc>
          <w:tcPr>
            <w:tcW w:w="2819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4.6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1.3–20</w:t>
            </w: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ind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Repetition time (</w:t>
            </w:r>
            <w:proofErr w:type="spellStart"/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ms</w:t>
            </w:r>
            <w:proofErr w:type="spellEnd"/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)</w:t>
            </w:r>
          </w:p>
        </w:tc>
        <w:tc>
          <w:tcPr>
            <w:tcW w:w="2819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2678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ind w:leftChars="100" w:left="200" w:firstLineChars="100" w:firstLine="2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T2WI</w:t>
            </w:r>
          </w:p>
        </w:tc>
        <w:tc>
          <w:tcPr>
            <w:tcW w:w="2819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5826.9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900–7370</w:t>
            </w: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ind w:leftChars="200" w:left="4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FLAIR</w:t>
            </w:r>
          </w:p>
        </w:tc>
        <w:tc>
          <w:tcPr>
            <w:tcW w:w="2819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9000</w:t>
            </w:r>
          </w:p>
        </w:tc>
        <w:tc>
          <w:tcPr>
            <w:tcW w:w="2678" w:type="dxa"/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9900–10200</w:t>
            </w:r>
          </w:p>
        </w:tc>
      </w:tr>
      <w:tr w:rsidR="003A5867" w:rsidRPr="0017116A" w:rsidTr="00A7320C">
        <w:trPr>
          <w:trHeight w:val="304"/>
        </w:trPr>
        <w:tc>
          <w:tcPr>
            <w:tcW w:w="296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ind w:leftChars="200" w:left="40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CE-T1WI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9.8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A5867" w:rsidRPr="0017116A" w:rsidRDefault="003A5867" w:rsidP="00A7320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7116A">
              <w:rPr>
                <w:rFonts w:ascii="Times New Roman" w:hAnsi="Times New Roman" w:cs="Times New Roman"/>
                <w:color w:val="000000" w:themeColor="text1"/>
                <w:szCs w:val="20"/>
              </w:rPr>
              <w:t>5–2200</w:t>
            </w:r>
          </w:p>
        </w:tc>
      </w:tr>
    </w:tbl>
    <w:p w:rsidR="003A5867" w:rsidRPr="0017116A" w:rsidRDefault="003A5867" w:rsidP="00EF60C6">
      <w:pPr>
        <w:rPr>
          <w:rFonts w:ascii="Times New Roman" w:hAnsi="Times New Roman" w:cs="Times New Roman"/>
          <w:szCs w:val="24"/>
        </w:rPr>
      </w:pPr>
      <w:proofErr w:type="gramStart"/>
      <w:r w:rsidRPr="0017116A">
        <w:rPr>
          <w:rFonts w:ascii="Times New Roman" w:hAnsi="Times New Roman" w:cs="Times New Roman"/>
          <w:szCs w:val="24"/>
        </w:rPr>
        <w:t>Note.—</w:t>
      </w:r>
      <w:proofErr w:type="gramEnd"/>
      <w:r w:rsidRPr="0017116A">
        <w:rPr>
          <w:rFonts w:ascii="Times New Roman" w:hAnsi="Times New Roman" w:cs="Times New Roman"/>
          <w:szCs w:val="24"/>
        </w:rPr>
        <w:t>FOV = field of view, CE-T1WI = contrast-enhanced T1-weighted imaging</w:t>
      </w:r>
    </w:p>
    <w:p w:rsidR="003A5867" w:rsidRPr="0017116A" w:rsidRDefault="003A5867" w:rsidP="00EF60C6">
      <w:pPr>
        <w:widowControl/>
        <w:wordWrap/>
        <w:autoSpaceDE/>
        <w:autoSpaceDN/>
        <w:spacing w:after="0"/>
        <w:rPr>
          <w:rFonts w:ascii="Times New Roman" w:hAnsi="Times New Roman" w:cs="Times New Roman"/>
          <w:szCs w:val="24"/>
        </w:rPr>
        <w:sectPr w:rsidR="003A5867" w:rsidRPr="0017116A" w:rsidSect="003A5867">
          <w:headerReference w:type="default" r:id="rId5"/>
          <w:footerReference w:type="default" r:id="rId6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  <w:r w:rsidRPr="0017116A">
        <w:rPr>
          <w:rFonts w:ascii="Times New Roman" w:hAnsi="Times New Roman" w:cs="Times New Roman"/>
          <w:szCs w:val="24"/>
        </w:rPr>
        <w:br w:type="page"/>
      </w:r>
    </w:p>
    <w:p w:rsidR="003A5867" w:rsidRPr="0017116A" w:rsidRDefault="003A5867" w:rsidP="00EF60C6">
      <w:pPr>
        <w:widowControl/>
        <w:wordWrap/>
        <w:autoSpaceDE/>
        <w:autoSpaceDN/>
        <w:spacing w:after="0"/>
        <w:rPr>
          <w:rFonts w:ascii="Times New Roman" w:hAnsi="Times New Roman" w:cs="Times New Roman"/>
          <w:szCs w:val="24"/>
        </w:rPr>
      </w:pPr>
    </w:p>
    <w:p w:rsidR="003A5867" w:rsidRPr="0017116A" w:rsidRDefault="003A5867" w:rsidP="00EF60C6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17116A">
        <w:rPr>
          <w:rFonts w:ascii="Times New Roman" w:hAnsi="Times New Roman" w:cs="Times New Roman"/>
          <w:b/>
          <w:bCs/>
          <w:sz w:val="24"/>
          <w:szCs w:val="28"/>
        </w:rPr>
        <w:t>Supplementary Table 2. Diagnostic performance for prediction of isocitrate dehydrogenase (IDH) mutation using generative images</w:t>
      </w:r>
    </w:p>
    <w:p w:rsidR="003A5867" w:rsidRPr="0017116A" w:rsidRDefault="003A5867" w:rsidP="00EF60C6">
      <w:pPr>
        <w:rPr>
          <w:rFonts w:ascii="Times New Roman" w:hAnsi="Times New Roman" w:cs="Times New Roman"/>
          <w:sz w:val="24"/>
          <w:szCs w:val="28"/>
        </w:rPr>
      </w:pPr>
    </w:p>
    <w:tbl>
      <w:tblPr>
        <w:tblpPr w:leftFromText="142" w:rightFromText="142" w:vertAnchor="page" w:horzAnchor="margin" w:tblpXSpec="center" w:tblpY="3422"/>
        <w:tblW w:w="5742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8"/>
        <w:gridCol w:w="679"/>
        <w:gridCol w:w="694"/>
        <w:gridCol w:w="691"/>
        <w:gridCol w:w="685"/>
        <w:gridCol w:w="683"/>
        <w:gridCol w:w="686"/>
        <w:gridCol w:w="683"/>
        <w:gridCol w:w="686"/>
        <w:gridCol w:w="683"/>
        <w:gridCol w:w="686"/>
        <w:gridCol w:w="683"/>
        <w:gridCol w:w="686"/>
        <w:gridCol w:w="683"/>
        <w:gridCol w:w="686"/>
        <w:gridCol w:w="683"/>
        <w:gridCol w:w="686"/>
        <w:gridCol w:w="683"/>
        <w:gridCol w:w="683"/>
        <w:gridCol w:w="683"/>
        <w:gridCol w:w="686"/>
        <w:gridCol w:w="664"/>
      </w:tblGrid>
      <w:tr w:rsidR="003A5867" w:rsidRPr="0017116A" w:rsidTr="00A7320C">
        <w:trPr>
          <w:trHeight w:val="535"/>
        </w:trPr>
        <w:tc>
          <w:tcPr>
            <w:tcW w:w="435" w:type="pct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 xml:space="preserve">　</w:t>
            </w:r>
          </w:p>
        </w:tc>
        <w:tc>
          <w:tcPr>
            <w:tcW w:w="657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Real</w:t>
            </w:r>
          </w:p>
        </w:tc>
        <w:tc>
          <w:tcPr>
            <w:tcW w:w="653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Synthetic</w:t>
            </w:r>
          </w:p>
        </w:tc>
        <w:tc>
          <w:tcPr>
            <w:tcW w:w="652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Augmented real and synthetic</w:t>
            </w:r>
          </w:p>
        </w:tc>
        <w:tc>
          <w:tcPr>
            <w:tcW w:w="653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Augmented real and synthetic (</w:t>
            </w:r>
            <w:r w:rsidRPr="0017116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×</w:t>
            </w: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2)</w:t>
            </w:r>
          </w:p>
        </w:tc>
        <w:tc>
          <w:tcPr>
            <w:tcW w:w="652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Augmented real and synthetic (</w:t>
            </w:r>
            <w:r w:rsidRPr="0017116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×</w:t>
            </w: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3)</w:t>
            </w:r>
          </w:p>
        </w:tc>
        <w:tc>
          <w:tcPr>
            <w:tcW w:w="652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Augmented real and synthetic (</w:t>
            </w:r>
            <w:r w:rsidRPr="0017116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×</w:t>
            </w: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4)</w:t>
            </w:r>
          </w:p>
        </w:tc>
        <w:tc>
          <w:tcPr>
            <w:tcW w:w="648" w:type="pct"/>
            <w:gridSpan w:val="3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Augmented real and synthetic (</w:t>
            </w:r>
            <w:r w:rsidRPr="0017116A"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  <w:t>×</w:t>
            </w: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5)</w:t>
            </w:r>
          </w:p>
        </w:tc>
      </w:tr>
      <w:tr w:rsidR="003A5867" w:rsidRPr="0017116A" w:rsidTr="00A7320C">
        <w:trPr>
          <w:trHeight w:val="335"/>
        </w:trPr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 xml:space="preserve">　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AUC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Sens</w:t>
            </w:r>
          </w:p>
        </w:tc>
        <w:tc>
          <w:tcPr>
            <w:tcW w:w="2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Spec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AUC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Sens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Spec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AUC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Sens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Spec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AUC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Sens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Spec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AUC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Sens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Spec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AUC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Sens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Spec</w:t>
            </w:r>
          </w:p>
        </w:tc>
        <w:tc>
          <w:tcPr>
            <w:tcW w:w="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AUC</w:t>
            </w:r>
          </w:p>
        </w:tc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Sens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Spec</w:t>
            </w:r>
          </w:p>
        </w:tc>
      </w:tr>
      <w:tr w:rsidR="003A5867" w:rsidRPr="0017116A" w:rsidTr="00A7320C">
        <w:trPr>
          <w:trHeight w:val="654"/>
        </w:trPr>
        <w:tc>
          <w:tcPr>
            <w:tcW w:w="435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 xml:space="preserve">Apparent test </w:t>
            </w:r>
          </w:p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(in training set)</w:t>
            </w:r>
          </w:p>
        </w:tc>
        <w:tc>
          <w:tcPr>
            <w:tcW w:w="2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0.883</w:t>
            </w:r>
          </w:p>
        </w:tc>
        <w:tc>
          <w:tcPr>
            <w:tcW w:w="22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79.2%</w:t>
            </w:r>
          </w:p>
        </w:tc>
        <w:tc>
          <w:tcPr>
            <w:tcW w:w="2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83.2%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0.802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94.9%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61.0%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0.840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83.3%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75.4%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0.830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87.1%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70.9%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0.828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85.1%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71.9%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0.819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90.4%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63.8%</w:t>
            </w:r>
          </w:p>
        </w:tc>
        <w:tc>
          <w:tcPr>
            <w:tcW w:w="2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0.818</w:t>
            </w:r>
          </w:p>
        </w:tc>
        <w:tc>
          <w:tcPr>
            <w:tcW w:w="21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87.1%</w:t>
            </w:r>
          </w:p>
        </w:tc>
        <w:tc>
          <w:tcPr>
            <w:tcW w:w="213" w:type="pct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66.9%</w:t>
            </w:r>
          </w:p>
        </w:tc>
      </w:tr>
      <w:tr w:rsidR="003A5867" w:rsidRPr="0017116A" w:rsidTr="00A7320C">
        <w:trPr>
          <w:trHeight w:val="325"/>
        </w:trPr>
        <w:tc>
          <w:tcPr>
            <w:tcW w:w="435" w:type="pct"/>
            <w:tcBorders>
              <w:left w:val="nil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Internal test</w:t>
            </w:r>
          </w:p>
        </w:tc>
        <w:tc>
          <w:tcPr>
            <w:tcW w:w="216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0.886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96.2%</w:t>
            </w:r>
          </w:p>
        </w:tc>
        <w:tc>
          <w:tcPr>
            <w:tcW w:w="219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73.0%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0.835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84.6%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74.6%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0.892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84.6%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81.7%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0.886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84.6%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81.7%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0.885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84.6%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82.5%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0.883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76.9%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86.5%</w:t>
            </w:r>
          </w:p>
        </w:tc>
        <w:tc>
          <w:tcPr>
            <w:tcW w:w="217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0.883</w:t>
            </w:r>
          </w:p>
        </w:tc>
        <w:tc>
          <w:tcPr>
            <w:tcW w:w="218" w:type="pct"/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76.9%</w:t>
            </w:r>
          </w:p>
        </w:tc>
        <w:tc>
          <w:tcPr>
            <w:tcW w:w="213" w:type="pct"/>
            <w:tcBorders>
              <w:right w:val="nil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86.5%</w:t>
            </w:r>
          </w:p>
        </w:tc>
      </w:tr>
      <w:tr w:rsidR="003A5867" w:rsidRPr="0017116A" w:rsidTr="00A7320C">
        <w:trPr>
          <w:trHeight w:val="335"/>
        </w:trPr>
        <w:tc>
          <w:tcPr>
            <w:tcW w:w="435" w:type="pct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External test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0.909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91.9%</w:t>
            </w: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83.8%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0.908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36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98.4%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73.0%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0.905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98.4%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73.0%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0.895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98.4%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73.0%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0.893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98.4%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73.0%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0.902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98.4%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73.0%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0.902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98.4%</w:t>
            </w:r>
          </w:p>
        </w:tc>
        <w:tc>
          <w:tcPr>
            <w:tcW w:w="213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A5867" w:rsidRPr="0017116A" w:rsidRDefault="003A5867" w:rsidP="00A7320C">
            <w:pPr>
              <w:spacing w:after="0" w:line="240" w:lineRule="auto"/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</w:pPr>
            <w:r w:rsidRPr="0017116A">
              <w:rPr>
                <w:rFonts w:ascii="Times New Roman" w:eastAsia="맑은 고딕" w:hAnsi="Times New Roman" w:cs="Times New Roman"/>
                <w:color w:val="000000"/>
                <w:sz w:val="18"/>
                <w:szCs w:val="20"/>
              </w:rPr>
              <w:t>73.0%</w:t>
            </w:r>
          </w:p>
        </w:tc>
      </w:tr>
    </w:tbl>
    <w:p w:rsidR="003A5867" w:rsidRPr="0017116A" w:rsidRDefault="003A5867" w:rsidP="00EF60C6">
      <w:pPr>
        <w:rPr>
          <w:rFonts w:ascii="Times New Roman" w:hAnsi="Times New Roman" w:cs="Times New Roman"/>
          <w:szCs w:val="20"/>
        </w:rPr>
      </w:pPr>
      <w:proofErr w:type="gramStart"/>
      <w:r w:rsidRPr="0017116A">
        <w:rPr>
          <w:rFonts w:ascii="Times New Roman" w:hAnsi="Times New Roman" w:cs="Times New Roman"/>
          <w:szCs w:val="20"/>
        </w:rPr>
        <w:t>Note.—</w:t>
      </w:r>
      <w:proofErr w:type="gramEnd"/>
      <w:r w:rsidRPr="0017116A">
        <w:rPr>
          <w:rFonts w:ascii="Times New Roman" w:hAnsi="Times New Roman" w:cs="Times New Roman"/>
          <w:szCs w:val="20"/>
        </w:rPr>
        <w:t>AUC = Area under the receiver operating characteristics curve, Sens = sensitivity, Spec = specificity</w:t>
      </w:r>
    </w:p>
    <w:p w:rsidR="003A5867" w:rsidRPr="0017116A" w:rsidRDefault="003A5867"/>
    <w:p w:rsidR="003A5867" w:rsidRPr="0017116A" w:rsidRDefault="003A5867"/>
    <w:p w:rsidR="003A5867" w:rsidRPr="0017116A" w:rsidRDefault="003A5867"/>
    <w:p w:rsidR="003A5867" w:rsidRPr="0017116A" w:rsidRDefault="003A5867">
      <w:pPr>
        <w:sectPr w:rsidR="003A5867" w:rsidRPr="0017116A" w:rsidSect="003A5867">
          <w:pgSz w:w="16838" w:h="11906" w:orient="landscape" w:code="9"/>
          <w:pgMar w:top="1440" w:right="1701" w:bottom="1440" w:left="1440" w:header="851" w:footer="992" w:gutter="0"/>
          <w:cols w:space="425"/>
          <w:docGrid w:linePitch="360"/>
        </w:sectPr>
      </w:pPr>
    </w:p>
    <w:p w:rsidR="003A5867" w:rsidRPr="0017116A" w:rsidRDefault="003A5867" w:rsidP="00321176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711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Figure 1. </w:t>
      </w:r>
      <w:r w:rsidRPr="0017116A">
        <w:rPr>
          <w:rFonts w:ascii="Times New Roman" w:hAnsi="Times New Roman" w:cs="Times New Roman"/>
          <w:sz w:val="24"/>
          <w:szCs w:val="24"/>
        </w:rPr>
        <w:t>Architecture of the score-based diffusion model through the stochastic differential equation (SDE). The score-based diffusion model is U-Net architecture with timestep embedding. Each block contains residual and attention blocks. CE-T1WI, T2WI, FLAIR images are concatenated into channels and the model predicts their noise simultaneously.</w:t>
      </w:r>
    </w:p>
    <w:p w:rsidR="003A5867" w:rsidRPr="0017116A" w:rsidRDefault="003A5867" w:rsidP="00321176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46DC9">
        <w:rPr>
          <w:noProof/>
        </w:rPr>
        <w:drawing>
          <wp:inline distT="0" distB="0" distL="0" distR="0" wp14:anchorId="1A68D0F1" wp14:editId="42247C4D">
            <wp:extent cx="5727700" cy="4820920"/>
            <wp:effectExtent l="0" t="0" r="6350" b="0"/>
            <wp:docPr id="2066252966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482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867" w:rsidRPr="0017116A" w:rsidRDefault="003A5867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 w:rsidRPr="0017116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A5867" w:rsidRPr="0017116A" w:rsidRDefault="003A5867" w:rsidP="0002087B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11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Figure 2. </w:t>
      </w:r>
      <w:r w:rsidRPr="0017116A">
        <w:rPr>
          <w:rFonts w:ascii="Times New Roman" w:hAnsi="Times New Roman" w:cs="Times New Roman"/>
          <w:sz w:val="24"/>
          <w:szCs w:val="24"/>
        </w:rPr>
        <w:t xml:space="preserve">The only image set of a generative IDH-wildtype glioma exhibiting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7116A">
        <w:rPr>
          <w:rFonts w:ascii="Times New Roman" w:hAnsi="Times New Roman" w:cs="Times New Roman"/>
          <w:sz w:val="24"/>
          <w:szCs w:val="24"/>
        </w:rPr>
        <w:t xml:space="preserve">T2-FLAIR mismatch sign. The </w:t>
      </w:r>
      <w:proofErr w:type="spellStart"/>
      <w:r w:rsidRPr="0017116A">
        <w:rPr>
          <w:rFonts w:ascii="Times New Roman" w:hAnsi="Times New Roman" w:cs="Times New Roman"/>
          <w:sz w:val="24"/>
          <w:szCs w:val="24"/>
        </w:rPr>
        <w:t>nonenhancing</w:t>
      </w:r>
      <w:proofErr w:type="spellEnd"/>
      <w:r w:rsidRPr="0017116A">
        <w:rPr>
          <w:rFonts w:ascii="Times New Roman" w:hAnsi="Times New Roman" w:cs="Times New Roman"/>
          <w:sz w:val="24"/>
          <w:szCs w:val="24"/>
        </w:rPr>
        <w:t xml:space="preserve"> tumor, without necrosis or cyst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on CE-T1WI</w:t>
      </w:r>
      <w:r>
        <w:rPr>
          <w:rFonts w:ascii="Times New Roman" w:hAnsi="Times New Roman" w:cs="Times New Roman"/>
          <w:sz w:val="24"/>
          <w:szCs w:val="24"/>
        </w:rPr>
        <w:t xml:space="preserve"> (a)</w:t>
      </w:r>
      <w:r w:rsidRPr="001711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displays </w:t>
      </w:r>
      <w:r w:rsidRPr="0017116A">
        <w:rPr>
          <w:rFonts w:ascii="Times New Roman" w:hAnsi="Times New Roman" w:cs="Times New Roman"/>
          <w:sz w:val="24"/>
          <w:szCs w:val="24"/>
        </w:rPr>
        <w:t>a complete hyperintense signal on T2WI (b)</w:t>
      </w:r>
      <w:r>
        <w:rPr>
          <w:rFonts w:ascii="Times New Roman" w:hAnsi="Times New Roman" w:cs="Times New Roman"/>
          <w:sz w:val="24"/>
          <w:szCs w:val="24"/>
        </w:rPr>
        <w:t>, along</w:t>
      </w:r>
      <w:r w:rsidRPr="0017116A">
        <w:rPr>
          <w:rFonts w:ascii="Times New Roman" w:hAnsi="Times New Roman" w:cs="Times New Roman"/>
          <w:sz w:val="24"/>
          <w:szCs w:val="24"/>
        </w:rPr>
        <w:t xml:space="preserve"> with a heterogeneous hypointense signal on FLAIR (c), except for a hyperintense peripheral rim. </w:t>
      </w:r>
    </w:p>
    <w:p w:rsidR="003A5867" w:rsidRPr="0017116A" w:rsidRDefault="003A5867" w:rsidP="0002087B">
      <w:pPr>
        <w:widowControl/>
        <w:wordWrap/>
        <w:autoSpaceDE/>
        <w:autoSpaceDN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46DC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CC16C25" wp14:editId="735E7692">
            <wp:extent cx="5816111" cy="1866900"/>
            <wp:effectExtent l="0" t="0" r="0" b="0"/>
            <wp:docPr id="73671382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13826" name="그림 7367138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364" cy="187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867" w:rsidRDefault="003A5867" w:rsidP="002D5147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:rsidR="003A5867" w:rsidRDefault="003A5867" w:rsidP="002D5147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:rsidR="003A5867" w:rsidRPr="0017116A" w:rsidRDefault="003A5867" w:rsidP="002D5147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</w:p>
    <w:p w:rsidR="00B13392" w:rsidRDefault="00B13392"/>
    <w:sectPr w:rsidR="00B13392" w:rsidSect="003A5867"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/>
  <w:p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4515F6">
    <w:pPr>
      <w:pStyle w:val="aa"/>
      <w:pBdr>
        <w:top w:val="none" w:sz="2" w:space="0" w:color="000000"/>
      </w:pBdr>
    </w:pPr>
  </w:p>
  <w:p w:rsidR="00000000" w:rsidRDefault="00000000"/>
  <w:p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C6EE9"/>
    <w:multiLevelType w:val="hybridMultilevel"/>
    <w:tmpl w:val="90687022"/>
    <w:lvl w:ilvl="0" w:tplc="384ABC40">
      <w:start w:val="1"/>
      <w:numFmt w:val="upperRoman"/>
      <w:lvlText w:val="%1."/>
      <w:lvlJc w:val="left"/>
      <w:pPr>
        <w:ind w:left="116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9386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A5867"/>
    <w:rsid w:val="001D6537"/>
    <w:rsid w:val="003A5867"/>
    <w:rsid w:val="004508FF"/>
    <w:rsid w:val="00B1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87476-7D7A-46DA-9EB3-0283520E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867"/>
    <w:pPr>
      <w:widowControl w:val="0"/>
      <w:wordWrap w:val="0"/>
      <w:autoSpaceDE w:val="0"/>
      <w:autoSpaceDN w:val="0"/>
      <w:spacing w:after="160"/>
    </w:pPr>
  </w:style>
  <w:style w:type="paragraph" w:styleId="1">
    <w:name w:val="heading 1"/>
    <w:basedOn w:val="a"/>
    <w:next w:val="a"/>
    <w:link w:val="1Char"/>
    <w:uiPriority w:val="9"/>
    <w:qFormat/>
    <w:rsid w:val="003A58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5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58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A58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A58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A58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A58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A58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  <w:rsid w:val="003A586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A5867"/>
  </w:style>
  <w:style w:type="character" w:customStyle="1" w:styleId="1Char">
    <w:name w:val="제목 1 Char"/>
    <w:basedOn w:val="a0"/>
    <w:link w:val="1"/>
    <w:uiPriority w:val="9"/>
    <w:rsid w:val="003A58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A58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A58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3A5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A5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A5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A5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A58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A58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A5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A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A5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A5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A5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A58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A58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A586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A5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A586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A5867"/>
    <w:rPr>
      <w:b/>
      <w:bCs/>
      <w:smallCaps/>
      <w:color w:val="2F5496" w:themeColor="accent1" w:themeShade="BF"/>
      <w:spacing w:val="5"/>
    </w:rPr>
  </w:style>
  <w:style w:type="paragraph" w:customStyle="1" w:styleId="EndNoteBibliography">
    <w:name w:val="EndNote Bibliography"/>
    <w:basedOn w:val="a"/>
    <w:link w:val="EndNoteBibliographyChar"/>
    <w:rsid w:val="003A5867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3A5867"/>
    <w:rPr>
      <w:rFonts w:ascii="맑은 고딕" w:eastAsia="맑은 고딕" w:hAnsi="맑은 고딕"/>
      <w:noProof/>
    </w:rPr>
  </w:style>
  <w:style w:type="paragraph" w:styleId="aa">
    <w:name w:val="header"/>
    <w:basedOn w:val="a"/>
    <w:link w:val="Char3"/>
    <w:uiPriority w:val="99"/>
    <w:unhideWhenUsed/>
    <w:rsid w:val="003A586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A5867"/>
  </w:style>
  <w:style w:type="paragraph" w:customStyle="1" w:styleId="equation">
    <w:name w:val="equation"/>
    <w:basedOn w:val="a"/>
    <w:next w:val="a"/>
    <w:rsid w:val="003A5867"/>
    <w:pPr>
      <w:widowControl/>
      <w:tabs>
        <w:tab w:val="center" w:pos="3289"/>
        <w:tab w:val="right" w:pos="6917"/>
      </w:tabs>
      <w:wordWrap/>
      <w:overflowPunct w:val="0"/>
      <w:adjustRightInd w:val="0"/>
      <w:spacing w:before="160" w:line="240" w:lineRule="atLeast"/>
      <w:textAlignment w:val="baseline"/>
    </w:pPr>
    <w:rPr>
      <w:rFonts w:ascii="Times New Roman" w:eastAsia="Times New Roman" w:hAnsi="Times New Roman" w:cs="Times New Roman"/>
      <w:kern w:val="0"/>
      <w:szCs w:val="20"/>
      <w:lang w:eastAsia="en-US"/>
      <w14:ligatures w14:val="standardContextual"/>
    </w:rPr>
  </w:style>
  <w:style w:type="paragraph" w:styleId="ab">
    <w:name w:val="footer"/>
    <w:basedOn w:val="a"/>
    <w:link w:val="Char4"/>
    <w:uiPriority w:val="99"/>
    <w:unhideWhenUsed/>
    <w:rsid w:val="003A586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A5867"/>
  </w:style>
  <w:style w:type="paragraph" w:customStyle="1" w:styleId="EndNoteBibliographyTitle">
    <w:name w:val="EndNote Bibliography Title"/>
    <w:basedOn w:val="a"/>
    <w:link w:val="EndNoteBibliographyTitleChar"/>
    <w:rsid w:val="003A5867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3A5867"/>
    <w:rPr>
      <w:rFonts w:ascii="맑은 고딕" w:eastAsia="맑은 고딕" w:hAnsi="맑은 고딕"/>
      <w:noProof/>
    </w:rPr>
  </w:style>
  <w:style w:type="character" w:styleId="ac">
    <w:name w:val="Placeholder Text"/>
    <w:basedOn w:val="a0"/>
    <w:uiPriority w:val="99"/>
    <w:semiHidden/>
    <w:rsid w:val="003A5867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3A5867"/>
    <w:rPr>
      <w:sz w:val="18"/>
      <w:szCs w:val="18"/>
    </w:rPr>
  </w:style>
  <w:style w:type="paragraph" w:styleId="ae">
    <w:name w:val="annotation text"/>
    <w:basedOn w:val="a"/>
    <w:link w:val="Char5"/>
    <w:uiPriority w:val="99"/>
    <w:unhideWhenUsed/>
    <w:rsid w:val="003A5867"/>
    <w:pPr>
      <w:jc w:val="left"/>
    </w:pPr>
  </w:style>
  <w:style w:type="character" w:customStyle="1" w:styleId="Char5">
    <w:name w:val="메모 텍스트 Char"/>
    <w:basedOn w:val="a0"/>
    <w:link w:val="ae"/>
    <w:uiPriority w:val="99"/>
    <w:rsid w:val="003A5867"/>
  </w:style>
  <w:style w:type="paragraph" w:styleId="af">
    <w:name w:val="annotation subject"/>
    <w:basedOn w:val="ae"/>
    <w:next w:val="ae"/>
    <w:link w:val="Char6"/>
    <w:uiPriority w:val="99"/>
    <w:semiHidden/>
    <w:unhideWhenUsed/>
    <w:rsid w:val="003A5867"/>
    <w:rPr>
      <w:b/>
      <w:bCs/>
    </w:rPr>
  </w:style>
  <w:style w:type="character" w:customStyle="1" w:styleId="Char6">
    <w:name w:val="메모 주제 Char"/>
    <w:basedOn w:val="Char5"/>
    <w:link w:val="af"/>
    <w:uiPriority w:val="99"/>
    <w:semiHidden/>
    <w:rsid w:val="003A5867"/>
    <w:rPr>
      <w:b/>
      <w:bCs/>
    </w:rPr>
  </w:style>
  <w:style w:type="paragraph" w:styleId="af0">
    <w:name w:val="Balloon Text"/>
    <w:basedOn w:val="a"/>
    <w:link w:val="Char7"/>
    <w:uiPriority w:val="99"/>
    <w:semiHidden/>
    <w:unhideWhenUsed/>
    <w:rsid w:val="003A586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0"/>
    <w:link w:val="af0"/>
    <w:uiPriority w:val="99"/>
    <w:semiHidden/>
    <w:rsid w:val="003A586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3A5867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1329</Words>
  <Characters>7577</Characters>
  <Application>Microsoft Office Word</Application>
  <DocSecurity>0</DocSecurity>
  <Lines>63</Lines>
  <Paragraphs>17</Paragraphs>
  <ScaleCrop>false</ScaleCrop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JHK</dc:creator>
  <cp:keywords/>
  <dc:description/>
  <cp:lastModifiedBy>JHK</cp:lastModifiedBy>
  <cp:revision>1</cp:revision>
  <dcterms:created xsi:type="dcterms:W3CDTF">2025-05-27T11:37:00Z</dcterms:created>
  <dcterms:modified xsi:type="dcterms:W3CDTF">2025-05-27T11:38:00Z</dcterms:modified>
</cp:coreProperties>
</file>