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997C" w14:textId="77777777" w:rsidR="009221A4" w:rsidRPr="00575F97" w:rsidRDefault="00177BE1">
      <w:pPr>
        <w:pStyle w:val="ae"/>
        <w:spacing w:line="360" w:lineRule="auto"/>
        <w:rPr>
          <w:b/>
          <w:color w:val="000000"/>
          <w:sz w:val="32"/>
          <w:vertAlign w:val="baseline"/>
        </w:rPr>
      </w:pPr>
      <w:r w:rsidRPr="00575F97">
        <w:rPr>
          <w:b/>
          <w:color w:val="000000"/>
          <w:sz w:val="32"/>
          <w:vertAlign w:val="baseline"/>
        </w:rPr>
        <w:t>Methods</w:t>
      </w:r>
    </w:p>
    <w:p w14:paraId="17F04320" w14:textId="77777777" w:rsidR="009221A4" w:rsidRPr="00575F97" w:rsidRDefault="009221A4">
      <w:pPr>
        <w:widowControl/>
        <w:tabs>
          <w:tab w:val="left" w:pos="284"/>
          <w:tab w:val="right" w:pos="6235"/>
        </w:tabs>
        <w:spacing w:after="0" w:line="360" w:lineRule="auto"/>
        <w:rPr>
          <w:b/>
          <w:color w:val="000000"/>
          <w:sz w:val="28"/>
        </w:rPr>
      </w:pPr>
    </w:p>
    <w:p w14:paraId="774BDFB0" w14:textId="77777777" w:rsidR="009221A4" w:rsidRPr="00575F97" w:rsidRDefault="00177BE1">
      <w:pPr>
        <w:widowControl/>
        <w:tabs>
          <w:tab w:val="left" w:pos="284"/>
          <w:tab w:val="right" w:pos="6235"/>
        </w:tabs>
        <w:spacing w:after="0" w:line="360" w:lineRule="auto"/>
        <w:rPr>
          <w:b/>
          <w:color w:val="000000"/>
          <w:sz w:val="28"/>
        </w:rPr>
      </w:pPr>
      <w:r w:rsidRPr="00575F97">
        <w:rPr>
          <w:b/>
          <w:color w:val="000000"/>
          <w:sz w:val="28"/>
        </w:rPr>
        <w:t>Bambusicolous fungal microbiome</w:t>
      </w:r>
    </w:p>
    <w:p w14:paraId="34D16490" w14:textId="77777777" w:rsidR="009221A4" w:rsidRPr="00575F97" w:rsidRDefault="009221A4">
      <w:pPr>
        <w:widowControl/>
        <w:tabs>
          <w:tab w:val="left" w:pos="284"/>
          <w:tab w:val="right" w:pos="6235"/>
        </w:tabs>
        <w:spacing w:after="0" w:line="360" w:lineRule="auto"/>
        <w:rPr>
          <w:b/>
          <w:color w:val="000000"/>
          <w:sz w:val="24"/>
        </w:rPr>
      </w:pPr>
    </w:p>
    <w:p w14:paraId="600BCB4B" w14:textId="77777777" w:rsidR="009221A4" w:rsidRPr="00575F97" w:rsidRDefault="00177BE1">
      <w:pPr>
        <w:widowControl/>
        <w:tabs>
          <w:tab w:val="left" w:pos="284"/>
          <w:tab w:val="right" w:pos="6235"/>
        </w:tabs>
        <w:spacing w:after="0" w:line="360" w:lineRule="auto"/>
        <w:rPr>
          <w:color w:val="000000"/>
          <w:sz w:val="24"/>
        </w:rPr>
      </w:pPr>
      <w:r w:rsidRPr="00575F97">
        <w:rPr>
          <w:b/>
          <w:color w:val="000000"/>
          <w:sz w:val="24"/>
        </w:rPr>
        <w:t>Sampling collection and treatment</w:t>
      </w:r>
    </w:p>
    <w:p w14:paraId="3F82D410" w14:textId="3B56CB6C" w:rsidR="009221A4" w:rsidRPr="00575F97" w:rsidRDefault="00177BE1">
      <w:pPr>
        <w:widowControl/>
        <w:tabs>
          <w:tab w:val="left" w:pos="284"/>
          <w:tab w:val="right" w:pos="6235"/>
        </w:tabs>
        <w:spacing w:after="0" w:line="360" w:lineRule="auto"/>
        <w:rPr>
          <w:color w:val="000000"/>
          <w:sz w:val="24"/>
        </w:rPr>
      </w:pPr>
      <w:r w:rsidRPr="00575F97">
        <w:rPr>
          <w:color w:val="000000"/>
          <w:sz w:val="24"/>
        </w:rPr>
        <w:t>Bamboo materials (</w:t>
      </w:r>
      <w:r w:rsidRPr="00575F97">
        <w:rPr>
          <w:i/>
          <w:color w:val="000000"/>
          <w:sz w:val="24"/>
        </w:rPr>
        <w:t xml:space="preserve">Phyllostachys </w:t>
      </w:r>
      <w:r w:rsidRPr="00575F97">
        <w:rPr>
          <w:color w:val="000000"/>
          <w:sz w:val="24"/>
        </w:rPr>
        <w:t xml:space="preserve">sp.) were collected during the winter season (in December 2021) in the bamboo forest of Juknokwon, Damyang-gun, </w:t>
      </w:r>
      <w:proofErr w:type="spellStart"/>
      <w:r w:rsidRPr="00575F97">
        <w:rPr>
          <w:color w:val="000000"/>
          <w:sz w:val="24"/>
        </w:rPr>
        <w:t>Jeollanam</w:t>
      </w:r>
      <w:proofErr w:type="spellEnd"/>
      <w:r w:rsidRPr="00575F97">
        <w:rPr>
          <w:color w:val="000000"/>
          <w:sz w:val="24"/>
        </w:rPr>
        <w:t xml:space="preserve">-do, Korea. The bamboo materials were classified into three stages: “Young”, green, healthy, without black spots and wounds, fast-growing, and </w:t>
      </w:r>
      <w:r w:rsidR="00F4778C" w:rsidRPr="00575F97">
        <w:rPr>
          <w:color w:val="000000"/>
          <w:sz w:val="24"/>
        </w:rPr>
        <w:t>aged less than a year</w:t>
      </w:r>
      <w:r w:rsidRPr="00575F97">
        <w:rPr>
          <w:color w:val="000000"/>
          <w:sz w:val="24"/>
        </w:rPr>
        <w:t xml:space="preserve">; “Mature”, green, with few black spots and wounds, slow growing, and </w:t>
      </w:r>
      <w:r w:rsidR="00F4778C" w:rsidRPr="00575F97">
        <w:rPr>
          <w:color w:val="000000"/>
          <w:sz w:val="24"/>
        </w:rPr>
        <w:t>aged three</w:t>
      </w:r>
      <w:r w:rsidRPr="00575F97">
        <w:rPr>
          <w:color w:val="000000"/>
          <w:sz w:val="24"/>
        </w:rPr>
        <w:t xml:space="preserve"> years; and “Dead”, yellowish brown, with many black spots and wounds, dried, and </w:t>
      </w:r>
      <w:r w:rsidR="00F4778C" w:rsidRPr="00575F97">
        <w:rPr>
          <w:color w:val="000000"/>
          <w:sz w:val="24"/>
        </w:rPr>
        <w:t xml:space="preserve">aged </w:t>
      </w:r>
      <w:r w:rsidRPr="00575F97">
        <w:rPr>
          <w:color w:val="000000"/>
          <w:sz w:val="24"/>
        </w:rPr>
        <w:t xml:space="preserve">more than </w:t>
      </w:r>
      <w:r w:rsidR="00F4778C" w:rsidRPr="00575F97">
        <w:rPr>
          <w:color w:val="000000"/>
          <w:sz w:val="24"/>
        </w:rPr>
        <w:t>five</w:t>
      </w:r>
      <w:r w:rsidRPr="00575F97">
        <w:rPr>
          <w:color w:val="000000"/>
          <w:sz w:val="24"/>
        </w:rPr>
        <w:t xml:space="preserve"> years</w:t>
      </w:r>
      <w:r w:rsidR="00F4778C" w:rsidRPr="00575F97">
        <w:rPr>
          <w:color w:val="000000"/>
          <w:sz w:val="24"/>
        </w:rPr>
        <w:t>.</w:t>
      </w:r>
      <w:r w:rsidRPr="00575F97">
        <w:rPr>
          <w:color w:val="000000"/>
          <w:sz w:val="24"/>
        </w:rPr>
        <w:t xml:space="preserve"> Each bamboo material was divided into three tissue types (culm, leaf, and root). The bamboo forest soils were collected on the same day and location. All samples were stored</w:t>
      </w:r>
      <w:r w:rsidRPr="00575F97">
        <w:rPr>
          <w:rFonts w:ascii="맑은 고딕" w:eastAsia="맑은 고딕" w:hAnsi="맑은 고딕" w:cs="맑은 고딕"/>
          <w:color w:val="000000"/>
          <w:sz w:val="24"/>
        </w:rPr>
        <w:t xml:space="preserve"> </w:t>
      </w:r>
      <w:r w:rsidRPr="00575F97">
        <w:rPr>
          <w:color w:val="000000"/>
          <w:sz w:val="24"/>
        </w:rPr>
        <w:t>at –20</w:t>
      </w:r>
      <w:r w:rsidRPr="00575F97">
        <w:rPr>
          <w:color w:val="000000"/>
          <w:sz w:val="24"/>
          <w:vertAlign w:val="superscript"/>
        </w:rPr>
        <w:t>◦</w:t>
      </w:r>
      <w:r w:rsidRPr="00575F97">
        <w:rPr>
          <w:color w:val="000000"/>
          <w:sz w:val="24"/>
        </w:rPr>
        <w:t>C before DNA extraction and then transferred to a –80</w:t>
      </w:r>
      <w:r w:rsidRPr="00575F97">
        <w:rPr>
          <w:color w:val="000000"/>
          <w:sz w:val="24"/>
          <w:vertAlign w:val="superscript"/>
        </w:rPr>
        <w:t>◦</w:t>
      </w:r>
      <w:r w:rsidRPr="00575F97">
        <w:rPr>
          <w:color w:val="000000"/>
          <w:sz w:val="24"/>
        </w:rPr>
        <w:t>C deep freezer for long-term storage.</w:t>
      </w:r>
    </w:p>
    <w:p w14:paraId="190E3F29" w14:textId="77777777" w:rsidR="009221A4" w:rsidRPr="00575F97" w:rsidRDefault="009221A4">
      <w:pPr>
        <w:widowControl/>
        <w:tabs>
          <w:tab w:val="right" w:pos="6235"/>
        </w:tabs>
        <w:spacing w:after="0" w:line="360" w:lineRule="auto"/>
        <w:rPr>
          <w:color w:val="000000"/>
          <w:sz w:val="24"/>
        </w:rPr>
      </w:pPr>
    </w:p>
    <w:p w14:paraId="5299B719" w14:textId="184AAEE6" w:rsidR="009221A4" w:rsidRPr="00575F97" w:rsidRDefault="00177BE1">
      <w:pPr>
        <w:widowControl/>
        <w:tabs>
          <w:tab w:val="right" w:pos="6235"/>
        </w:tabs>
        <w:spacing w:after="0" w:line="360" w:lineRule="auto"/>
        <w:rPr>
          <w:color w:val="000000"/>
          <w:sz w:val="24"/>
        </w:rPr>
      </w:pPr>
      <w:r w:rsidRPr="00575F97">
        <w:rPr>
          <w:color w:val="000000"/>
          <w:sz w:val="24"/>
        </w:rPr>
        <w:t>Sample surface sterilization was conducted following a modified protocol described previously</w:t>
      </w:r>
      <w:r w:rsidR="00907E03">
        <w:rPr>
          <w:color w:val="000000"/>
          <w:sz w:val="24"/>
        </w:rPr>
        <w:t xml:space="preserve"> [1</w:t>
      </w:r>
      <w:r w:rsidR="004404B1">
        <w:rPr>
          <w:color w:val="000000"/>
          <w:sz w:val="24"/>
        </w:rPr>
        <w:t>]</w:t>
      </w:r>
      <w:r w:rsidRPr="00575F97">
        <w:rPr>
          <w:color w:val="000000"/>
          <w:sz w:val="24"/>
        </w:rPr>
        <w:t>. Samples were washed with tap water and submerged in 70% (v/v) ethanol (</w:t>
      </w:r>
      <w:proofErr w:type="spellStart"/>
      <w:r w:rsidRPr="00575F97">
        <w:rPr>
          <w:color w:val="000000"/>
          <w:sz w:val="24"/>
        </w:rPr>
        <w:t>Duksan</w:t>
      </w:r>
      <w:proofErr w:type="spellEnd"/>
      <w:r w:rsidRPr="00575F97">
        <w:rPr>
          <w:color w:val="000000"/>
          <w:sz w:val="24"/>
        </w:rPr>
        <w:t xml:space="preserve"> Chemical Co., Ltd., Ansan, Korea) for 3 min. Subsequently, the samples were immersed in 2.5% (v/v) sodium hypochlorite solution (</w:t>
      </w:r>
      <w:proofErr w:type="spellStart"/>
      <w:r w:rsidRPr="00575F97">
        <w:rPr>
          <w:color w:val="000000"/>
          <w:sz w:val="24"/>
        </w:rPr>
        <w:t>Samchun</w:t>
      </w:r>
      <w:proofErr w:type="spellEnd"/>
      <w:r w:rsidRPr="00575F97">
        <w:rPr>
          <w:color w:val="000000"/>
          <w:sz w:val="24"/>
        </w:rPr>
        <w:t xml:space="preserve"> Pure Chemical Co., Ltd., Pyeongtaek, Korea) for 5 min before rinsing the surface with 70% ethanol for 30 s and washing thoroughly with sterile distilled water. The absence of colonies in the final rinse water culture confirmed the successful removal of epiphytes. After surface sterilization, the samples were crushed and powdered in liquid nitrogen using a Freeze Mill (SPEX 6875D) at NICEM (National Instrumentation Center for Environmental Management), Seoul National University. The vials and steel impactors of the frozen mill were rinsed with 70% ethanol before proceeding with the machine to avoid sample contamination during the crushing process.</w:t>
      </w:r>
    </w:p>
    <w:p w14:paraId="491139B2" w14:textId="77777777" w:rsidR="009221A4" w:rsidRPr="00575F97" w:rsidRDefault="009221A4">
      <w:pPr>
        <w:widowControl/>
        <w:tabs>
          <w:tab w:val="right" w:pos="6235"/>
        </w:tabs>
        <w:spacing w:after="0" w:line="360" w:lineRule="auto"/>
        <w:ind w:firstLine="120"/>
        <w:rPr>
          <w:color w:val="000000"/>
          <w:sz w:val="24"/>
        </w:rPr>
      </w:pPr>
    </w:p>
    <w:p w14:paraId="34DF40E6" w14:textId="77777777" w:rsidR="009221A4" w:rsidRPr="00575F97" w:rsidRDefault="00177BE1">
      <w:pPr>
        <w:spacing w:after="0" w:line="360" w:lineRule="auto"/>
        <w:rPr>
          <w:b/>
          <w:sz w:val="24"/>
        </w:rPr>
      </w:pPr>
      <w:r w:rsidRPr="00575F97">
        <w:rPr>
          <w:b/>
          <w:sz w:val="24"/>
        </w:rPr>
        <w:t>Amplicon library preparation and sequencing</w:t>
      </w:r>
    </w:p>
    <w:p w14:paraId="73C98C39" w14:textId="042463E2"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Genomic DNA was extracted from each powdered bamboo tissue and soil using a </w:t>
      </w:r>
      <w:proofErr w:type="spellStart"/>
      <w:r w:rsidRPr="00575F97">
        <w:rPr>
          <w:color w:val="000000"/>
          <w:sz w:val="24"/>
        </w:rPr>
        <w:t>DNeasy</w:t>
      </w:r>
      <w:proofErr w:type="spellEnd"/>
      <w:r w:rsidRPr="00575F97">
        <w:rPr>
          <w:color w:val="000000"/>
          <w:sz w:val="24"/>
        </w:rPr>
        <w:t xml:space="preserve"> </w:t>
      </w:r>
      <w:proofErr w:type="spellStart"/>
      <w:r w:rsidRPr="00575F97">
        <w:rPr>
          <w:color w:val="000000"/>
          <w:sz w:val="24"/>
        </w:rPr>
        <w:t>Powerlyzer</w:t>
      </w:r>
      <w:proofErr w:type="spellEnd"/>
      <w:r w:rsidRPr="00575F97">
        <w:rPr>
          <w:color w:val="000000"/>
          <w:sz w:val="24"/>
        </w:rPr>
        <w:t xml:space="preserve"> </w:t>
      </w:r>
      <w:proofErr w:type="spellStart"/>
      <w:r w:rsidRPr="00575F97">
        <w:rPr>
          <w:color w:val="000000"/>
          <w:sz w:val="24"/>
        </w:rPr>
        <w:t>PowerSoil</w:t>
      </w:r>
      <w:proofErr w:type="spellEnd"/>
      <w:r w:rsidRPr="00575F97">
        <w:rPr>
          <w:color w:val="000000"/>
          <w:sz w:val="24"/>
        </w:rPr>
        <w:t xml:space="preserve"> Kit (Qiagen, Hilden, Germany) according to the manufacturer’s instructions. PCR was conducted to amplify the extracted DNA with KAPA HiFi </w:t>
      </w:r>
      <w:proofErr w:type="spellStart"/>
      <w:r w:rsidRPr="00575F97">
        <w:rPr>
          <w:color w:val="000000"/>
          <w:sz w:val="24"/>
        </w:rPr>
        <w:t>HotStart</w:t>
      </w:r>
      <w:proofErr w:type="spellEnd"/>
      <w:r w:rsidRPr="00575F97">
        <w:rPr>
          <w:color w:val="000000"/>
          <w:sz w:val="24"/>
        </w:rPr>
        <w:t xml:space="preserve"> </w:t>
      </w:r>
      <w:proofErr w:type="spellStart"/>
      <w:r w:rsidRPr="00575F97">
        <w:rPr>
          <w:color w:val="000000"/>
          <w:sz w:val="24"/>
        </w:rPr>
        <w:t>ReadyMix</w:t>
      </w:r>
      <w:proofErr w:type="spellEnd"/>
      <w:r w:rsidRPr="00575F97">
        <w:rPr>
          <w:color w:val="000000"/>
          <w:sz w:val="24"/>
        </w:rPr>
        <w:t xml:space="preserve"> (KAPA Biosystems, Wilmington, MA, USA) and the primer set ITS3 (5′-</w:t>
      </w:r>
      <w:r w:rsidRPr="00575F97">
        <w:t xml:space="preserve"> </w:t>
      </w:r>
      <w:r w:rsidRPr="00575F97">
        <w:rPr>
          <w:color w:val="000000"/>
          <w:sz w:val="24"/>
        </w:rPr>
        <w:lastRenderedPageBreak/>
        <w:t>GCATCGATGAAGAACGCAGC-3′) and ITS4 (5′-TCCTCCGCTTATTGATATGC-3′)</w:t>
      </w:r>
      <w:r w:rsidR="00907E03">
        <w:rPr>
          <w:color w:val="000000"/>
          <w:sz w:val="24"/>
        </w:rPr>
        <w:t xml:space="preserve"> [2, 3]</w:t>
      </w:r>
      <w:r w:rsidRPr="00575F97">
        <w:rPr>
          <w:color w:val="000000"/>
          <w:sz w:val="24"/>
        </w:rPr>
        <w:t xml:space="preserve">. The purification of PCR products was conducted using the </w:t>
      </w:r>
      <w:proofErr w:type="spellStart"/>
      <w:r w:rsidRPr="00575F97">
        <w:rPr>
          <w:color w:val="000000"/>
          <w:sz w:val="24"/>
        </w:rPr>
        <w:t>Agencourt</w:t>
      </w:r>
      <w:proofErr w:type="spellEnd"/>
      <w:r w:rsidRPr="00575F97">
        <w:rPr>
          <w:color w:val="000000"/>
          <w:sz w:val="24"/>
        </w:rPr>
        <w:t xml:space="preserve"> </w:t>
      </w:r>
      <w:proofErr w:type="spellStart"/>
      <w:r w:rsidRPr="00575F97">
        <w:rPr>
          <w:color w:val="000000"/>
          <w:sz w:val="24"/>
        </w:rPr>
        <w:t>AMPure</w:t>
      </w:r>
      <w:proofErr w:type="spellEnd"/>
      <w:r w:rsidRPr="00575F97">
        <w:rPr>
          <w:color w:val="000000"/>
          <w:sz w:val="24"/>
        </w:rPr>
        <w:t xml:space="preserve"> XP system (Beckman Coulter Genomics, Brea, CA, USA). Amplicon libraries were constructed using an Illumina MiSeq platform with rDNA </w:t>
      </w:r>
      <w:r w:rsidRPr="00907E03">
        <w:rPr>
          <w:i/>
          <w:color w:val="000000"/>
          <w:sz w:val="24"/>
        </w:rPr>
        <w:t>ITS2</w:t>
      </w:r>
      <w:r w:rsidRPr="00575F97">
        <w:rPr>
          <w:color w:val="000000"/>
          <w:sz w:val="24"/>
        </w:rPr>
        <w:t xml:space="preserve"> gene amplicons. Sequencing was performed by LAS Inc. (Gimpo, Korea) using the Illumina MiSeq system with 2×300</w:t>
      </w:r>
      <w:r w:rsidR="00F4778C" w:rsidRPr="00575F97">
        <w:rPr>
          <w:color w:val="000000"/>
          <w:sz w:val="24"/>
        </w:rPr>
        <w:t>-</w:t>
      </w:r>
      <w:r w:rsidRPr="00575F97">
        <w:rPr>
          <w:color w:val="000000"/>
          <w:sz w:val="24"/>
        </w:rPr>
        <w:t>bp</w:t>
      </w:r>
      <w:r w:rsidR="00F4778C" w:rsidRPr="00575F97">
        <w:rPr>
          <w:color w:val="000000"/>
          <w:sz w:val="24"/>
        </w:rPr>
        <w:t>,</w:t>
      </w:r>
      <w:r w:rsidRPr="00575F97">
        <w:rPr>
          <w:color w:val="000000"/>
          <w:sz w:val="24"/>
        </w:rPr>
        <w:t xml:space="preserve"> paired-end reads.</w:t>
      </w:r>
    </w:p>
    <w:p w14:paraId="49CFBBCB" w14:textId="77777777" w:rsidR="009221A4" w:rsidRPr="00575F97" w:rsidRDefault="009221A4">
      <w:pPr>
        <w:widowControl/>
        <w:tabs>
          <w:tab w:val="left" w:pos="284"/>
          <w:tab w:val="right" w:pos="6235"/>
        </w:tabs>
        <w:spacing w:after="0" w:line="360" w:lineRule="auto"/>
        <w:ind w:firstLine="240"/>
        <w:rPr>
          <w:b/>
          <w:color w:val="000000"/>
          <w:sz w:val="24"/>
        </w:rPr>
      </w:pPr>
    </w:p>
    <w:p w14:paraId="41643C74" w14:textId="77777777" w:rsidR="009221A4" w:rsidRPr="00575F97" w:rsidRDefault="00177BE1">
      <w:pPr>
        <w:widowControl/>
        <w:tabs>
          <w:tab w:val="right" w:pos="6235"/>
        </w:tabs>
        <w:spacing w:after="0" w:line="360" w:lineRule="auto"/>
        <w:rPr>
          <w:b/>
          <w:color w:val="000000"/>
          <w:sz w:val="24"/>
        </w:rPr>
      </w:pPr>
      <w:r w:rsidRPr="00575F97">
        <w:rPr>
          <w:b/>
          <w:color w:val="000000"/>
          <w:sz w:val="24"/>
        </w:rPr>
        <w:t>Read processing and identification</w:t>
      </w:r>
    </w:p>
    <w:p w14:paraId="3D700296" w14:textId="2C1BEBCC" w:rsidR="009221A4" w:rsidRPr="00575F97" w:rsidRDefault="00177BE1">
      <w:pPr>
        <w:widowControl/>
        <w:tabs>
          <w:tab w:val="left" w:pos="284"/>
          <w:tab w:val="right" w:pos="6235"/>
        </w:tabs>
        <w:spacing w:after="0" w:line="360" w:lineRule="auto"/>
        <w:rPr>
          <w:color w:val="000000"/>
          <w:sz w:val="24"/>
        </w:rPr>
      </w:pPr>
      <w:r w:rsidRPr="00575F97">
        <w:rPr>
          <w:color w:val="000000"/>
          <w:sz w:val="24"/>
        </w:rPr>
        <w:t>The rDNA ITS2 amplicon sequence data sets were processed using QIIME2 (version 2021.8.0)</w:t>
      </w:r>
      <w:r w:rsidR="004404B1">
        <w:rPr>
          <w:color w:val="000000"/>
          <w:sz w:val="24"/>
        </w:rPr>
        <w:t xml:space="preserve"> </w:t>
      </w:r>
      <w:r w:rsidR="00907E03">
        <w:rPr>
          <w:color w:val="000000"/>
          <w:sz w:val="24"/>
        </w:rPr>
        <w:t>[4]</w:t>
      </w:r>
      <w:r w:rsidRPr="00575F97">
        <w:rPr>
          <w:color w:val="000000"/>
          <w:sz w:val="24"/>
        </w:rPr>
        <w:t>. The raw sequence data were demultiplexed using the QIIME2 demux plugin. Quality filtering and denoising were performed with DADA2 via the QIIME2 dada2 plugin, removing low-quality (QV &lt; 20), short (&lt; 200 bp), and chimeric sequence</w:t>
      </w:r>
      <w:r w:rsidR="004404B1">
        <w:rPr>
          <w:color w:val="000000"/>
          <w:sz w:val="24"/>
        </w:rPr>
        <w:t xml:space="preserve">s </w:t>
      </w:r>
      <w:r w:rsidR="00907E03">
        <w:rPr>
          <w:color w:val="000000"/>
          <w:sz w:val="24"/>
        </w:rPr>
        <w:t>[5]</w:t>
      </w:r>
      <w:r w:rsidRPr="00575F97">
        <w:rPr>
          <w:color w:val="000000"/>
          <w:sz w:val="24"/>
        </w:rPr>
        <w:t xml:space="preserve">. Molecular operational taxonomic units (mOTUs) were clustered </w:t>
      </w:r>
      <w:r w:rsidR="00F4778C" w:rsidRPr="00575F97">
        <w:rPr>
          <w:color w:val="000000"/>
          <w:sz w:val="24"/>
        </w:rPr>
        <w:t>with</w:t>
      </w:r>
      <w:r w:rsidRPr="00575F97">
        <w:rPr>
          <w:color w:val="000000"/>
          <w:sz w:val="24"/>
        </w:rPr>
        <w:t xml:space="preserve"> </w:t>
      </w:r>
      <w:r w:rsidR="00F4778C" w:rsidRPr="00575F97">
        <w:rPr>
          <w:color w:val="000000"/>
          <w:sz w:val="24"/>
        </w:rPr>
        <w:t xml:space="preserve">a </w:t>
      </w:r>
      <w:r w:rsidRPr="00575F97">
        <w:rPr>
          <w:color w:val="000000"/>
          <w:sz w:val="24"/>
        </w:rPr>
        <w:t>99% threshold identity using the QIIME2 VSEARCH cluster-features-open-reference plugin</w:t>
      </w:r>
      <w:r w:rsidR="00907E03">
        <w:rPr>
          <w:color w:val="000000"/>
          <w:sz w:val="24"/>
        </w:rPr>
        <w:t xml:space="preserve"> [6]</w:t>
      </w:r>
      <w:r w:rsidRPr="00575F97">
        <w:rPr>
          <w:color w:val="000000"/>
          <w:sz w:val="24"/>
        </w:rPr>
        <w:t>. Low coverage mOTUs consisting of &lt; 10 sequences were discarded.</w:t>
      </w:r>
    </w:p>
    <w:p w14:paraId="03A43D0D" w14:textId="77777777" w:rsidR="009221A4" w:rsidRPr="00575F97" w:rsidRDefault="009221A4">
      <w:pPr>
        <w:widowControl/>
        <w:tabs>
          <w:tab w:val="left" w:pos="48"/>
          <w:tab w:val="right" w:pos="6235"/>
        </w:tabs>
        <w:spacing w:after="0" w:line="360" w:lineRule="auto"/>
        <w:rPr>
          <w:color w:val="000000"/>
          <w:sz w:val="24"/>
        </w:rPr>
      </w:pPr>
    </w:p>
    <w:p w14:paraId="4EC6DB30" w14:textId="77777777" w:rsidR="009221A4" w:rsidRPr="00575F97" w:rsidRDefault="00177BE1">
      <w:pPr>
        <w:widowControl/>
        <w:tabs>
          <w:tab w:val="left" w:pos="48"/>
          <w:tab w:val="right" w:pos="6235"/>
        </w:tabs>
        <w:spacing w:after="0" w:line="360" w:lineRule="auto"/>
        <w:rPr>
          <w:color w:val="000000"/>
          <w:sz w:val="24"/>
        </w:rPr>
      </w:pPr>
      <w:r w:rsidRPr="00575F97">
        <w:rPr>
          <w:color w:val="000000"/>
          <w:sz w:val="24"/>
        </w:rPr>
        <w:t xml:space="preserve">The taxonomy of mOTUs was initially assigned using the modified UNITE version 8.3 database (UNITE-Resources. </w:t>
      </w:r>
      <w:r w:rsidRPr="00575F97">
        <w:rPr>
          <w:color w:val="000000"/>
        </w:rPr>
        <w:t>https://unite.ut.ee/repository.php. Accessed on July 20, 2022</w:t>
      </w:r>
      <w:r w:rsidRPr="00575F97">
        <w:rPr>
          <w:color w:val="000000"/>
          <w:sz w:val="24"/>
        </w:rPr>
        <w:t xml:space="preserve">). The ITS sequences related to </w:t>
      </w:r>
      <w:r w:rsidRPr="00575F97">
        <w:rPr>
          <w:i/>
          <w:color w:val="000000"/>
          <w:sz w:val="24"/>
        </w:rPr>
        <w:t>Apiospora</w:t>
      </w:r>
      <w:r w:rsidRPr="00575F97">
        <w:rPr>
          <w:color w:val="000000"/>
          <w:sz w:val="24"/>
        </w:rPr>
        <w:t xml:space="preserve"> species, including </w:t>
      </w:r>
      <w:r w:rsidRPr="00575F97">
        <w:rPr>
          <w:i/>
          <w:color w:val="000000"/>
          <w:sz w:val="24"/>
        </w:rPr>
        <w:t>Arthrinium</w:t>
      </w:r>
      <w:r w:rsidRPr="00575F97">
        <w:rPr>
          <w:color w:val="000000"/>
          <w:sz w:val="24"/>
        </w:rPr>
        <w:t xml:space="preserve"> and </w:t>
      </w:r>
      <w:r w:rsidRPr="00575F97">
        <w:rPr>
          <w:i/>
          <w:color w:val="000000"/>
          <w:sz w:val="24"/>
        </w:rPr>
        <w:t>Nigrospora</w:t>
      </w:r>
      <w:r w:rsidRPr="00575F97">
        <w:rPr>
          <w:color w:val="000000"/>
          <w:sz w:val="24"/>
        </w:rPr>
        <w:t xml:space="preserve"> species, in the UNITE database, were replaced and added to </w:t>
      </w:r>
      <w:proofErr w:type="gramStart"/>
      <w:r w:rsidRPr="00575F97">
        <w:rPr>
          <w:color w:val="000000"/>
          <w:sz w:val="24"/>
        </w:rPr>
        <w:t>verified</w:t>
      </w:r>
      <w:proofErr w:type="gramEnd"/>
      <w:r w:rsidRPr="00575F97">
        <w:rPr>
          <w:color w:val="000000"/>
          <w:sz w:val="24"/>
        </w:rPr>
        <w:t xml:space="preserve"> </w:t>
      </w:r>
      <w:r w:rsidRPr="001870D4">
        <w:rPr>
          <w:iCs/>
          <w:color w:val="000000"/>
          <w:sz w:val="24"/>
        </w:rPr>
        <w:t>ITS</w:t>
      </w:r>
      <w:r w:rsidRPr="004F5F99">
        <w:rPr>
          <w:i/>
          <w:color w:val="000000"/>
          <w:sz w:val="24"/>
        </w:rPr>
        <w:t xml:space="preserve"> </w:t>
      </w:r>
      <w:r w:rsidRPr="00575F97">
        <w:rPr>
          <w:color w:val="000000"/>
          <w:sz w:val="24"/>
        </w:rPr>
        <w:t>sequences downloaded from the GenBank database (</w:t>
      </w:r>
      <w:r w:rsidRPr="00575F97">
        <w:rPr>
          <w:color w:val="000000"/>
        </w:rPr>
        <w:t>https://www.ncbi.nlm.nih.gov/genbank/</w:t>
      </w:r>
      <w:r w:rsidRPr="00575F97">
        <w:rPr>
          <w:color w:val="000000"/>
          <w:sz w:val="24"/>
        </w:rPr>
        <w:t xml:space="preserve">) based on previous studies to enhance the precision of </w:t>
      </w:r>
      <w:r w:rsidRPr="00575F97">
        <w:rPr>
          <w:i/>
          <w:color w:val="000000"/>
          <w:sz w:val="24"/>
        </w:rPr>
        <w:t>Apiospora</w:t>
      </w:r>
      <w:r w:rsidRPr="00575F97">
        <w:rPr>
          <w:color w:val="000000"/>
          <w:sz w:val="24"/>
        </w:rPr>
        <w:t xml:space="preserve"> species assignment.</w:t>
      </w:r>
    </w:p>
    <w:p w14:paraId="3DD39482" w14:textId="77777777" w:rsidR="009221A4" w:rsidRPr="00575F97" w:rsidRDefault="009221A4">
      <w:pPr>
        <w:widowControl/>
        <w:tabs>
          <w:tab w:val="left" w:pos="284"/>
          <w:tab w:val="right" w:pos="6235"/>
        </w:tabs>
        <w:spacing w:after="0" w:line="360" w:lineRule="auto"/>
        <w:rPr>
          <w:color w:val="000000"/>
          <w:sz w:val="24"/>
        </w:rPr>
      </w:pPr>
    </w:p>
    <w:p w14:paraId="78F5116B" w14:textId="149291B2"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Based on the taxonomic assignment, two taxonomic levels were selected to analyze the variation of the bambusicolous endophytic fungal community in the bamboo compartments and stages. The genus-level community (GLC) was selected to analyze the proportion of </w:t>
      </w:r>
      <w:r w:rsidRPr="00575F97">
        <w:rPr>
          <w:i/>
          <w:color w:val="000000"/>
          <w:sz w:val="24"/>
        </w:rPr>
        <w:t>Apiospora</w:t>
      </w:r>
      <w:r w:rsidRPr="00575F97">
        <w:rPr>
          <w:color w:val="000000"/>
          <w:sz w:val="24"/>
        </w:rPr>
        <w:t xml:space="preserve"> in the bamboo. The </w:t>
      </w:r>
      <w:r w:rsidRPr="00575F97">
        <w:rPr>
          <w:i/>
          <w:color w:val="000000"/>
          <w:sz w:val="24"/>
        </w:rPr>
        <w:t>Apiospora</w:t>
      </w:r>
      <w:r w:rsidRPr="00575F97">
        <w:rPr>
          <w:color w:val="000000"/>
          <w:sz w:val="24"/>
        </w:rPr>
        <w:t xml:space="preserve"> species</w:t>
      </w:r>
      <w:r w:rsidR="00B336FD" w:rsidRPr="00575F97">
        <w:rPr>
          <w:color w:val="000000"/>
          <w:sz w:val="24"/>
        </w:rPr>
        <w:t>-</w:t>
      </w:r>
      <w:r w:rsidRPr="00575F97">
        <w:rPr>
          <w:color w:val="000000"/>
          <w:sz w:val="24"/>
        </w:rPr>
        <w:t>level community (ALC) was selected to analyze the species that act as endophytes in bamboo.</w:t>
      </w:r>
    </w:p>
    <w:p w14:paraId="6CAA4009" w14:textId="77777777" w:rsidR="009221A4" w:rsidRPr="00575F97" w:rsidRDefault="009221A4">
      <w:pPr>
        <w:widowControl/>
        <w:tabs>
          <w:tab w:val="left" w:pos="284"/>
          <w:tab w:val="right" w:pos="6235"/>
        </w:tabs>
        <w:spacing w:after="0" w:line="360" w:lineRule="auto"/>
        <w:rPr>
          <w:color w:val="000000"/>
          <w:sz w:val="24"/>
        </w:rPr>
      </w:pPr>
    </w:p>
    <w:p w14:paraId="5A67975F" w14:textId="587BAB70"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To identify </w:t>
      </w:r>
      <w:r w:rsidRPr="00575F97">
        <w:rPr>
          <w:i/>
          <w:color w:val="000000"/>
          <w:sz w:val="24"/>
        </w:rPr>
        <w:t>Apiospora</w:t>
      </w:r>
      <w:r w:rsidRPr="00575F97">
        <w:rPr>
          <w:color w:val="000000"/>
          <w:sz w:val="24"/>
        </w:rPr>
        <w:t xml:space="preserve"> species, phylogenetic analysis was conducted with </w:t>
      </w:r>
      <w:r w:rsidRPr="00575F97">
        <w:rPr>
          <w:i/>
          <w:color w:val="000000"/>
          <w:sz w:val="24"/>
        </w:rPr>
        <w:t>Apiospora</w:t>
      </w:r>
      <w:r w:rsidRPr="00575F97">
        <w:rPr>
          <w:color w:val="000000"/>
          <w:sz w:val="24"/>
        </w:rPr>
        <w:t xml:space="preserve"> </w:t>
      </w:r>
      <w:proofErr w:type="spellStart"/>
      <w:r w:rsidRPr="00575F97">
        <w:rPr>
          <w:color w:val="000000"/>
          <w:sz w:val="24"/>
        </w:rPr>
        <w:t>mOTU</w:t>
      </w:r>
      <w:proofErr w:type="spellEnd"/>
      <w:r w:rsidRPr="00575F97">
        <w:rPr>
          <w:color w:val="000000"/>
          <w:sz w:val="24"/>
        </w:rPr>
        <w:t xml:space="preserve"> and reference sequences of </w:t>
      </w:r>
      <w:r w:rsidRPr="00575F97">
        <w:rPr>
          <w:i/>
          <w:color w:val="000000"/>
          <w:sz w:val="24"/>
        </w:rPr>
        <w:t>Apiospora</w:t>
      </w:r>
      <w:r w:rsidRPr="00575F97">
        <w:rPr>
          <w:color w:val="000000"/>
          <w:sz w:val="24"/>
        </w:rPr>
        <w:t xml:space="preserve"> and related genera from the GenBank database (Additional file 2: Table S1). mOTUs with short sequence lengths (&lt; 260 bp) were excluded from the phylogenetic analysis. The </w:t>
      </w:r>
      <w:r w:rsidRPr="00575F97">
        <w:rPr>
          <w:i/>
          <w:color w:val="000000"/>
          <w:sz w:val="24"/>
        </w:rPr>
        <w:t>Apiospora</w:t>
      </w:r>
      <w:r w:rsidRPr="00575F97">
        <w:rPr>
          <w:color w:val="000000"/>
          <w:sz w:val="24"/>
        </w:rPr>
        <w:t xml:space="preserve"> </w:t>
      </w:r>
      <w:proofErr w:type="spellStart"/>
      <w:r w:rsidRPr="00575F97">
        <w:rPr>
          <w:color w:val="000000"/>
          <w:sz w:val="24"/>
        </w:rPr>
        <w:t>mOTU</w:t>
      </w:r>
      <w:proofErr w:type="spellEnd"/>
      <w:r w:rsidRPr="00575F97">
        <w:rPr>
          <w:color w:val="000000"/>
          <w:sz w:val="24"/>
        </w:rPr>
        <w:t xml:space="preserve"> and reference sequences were aligned </w:t>
      </w:r>
      <w:r w:rsidRPr="00575F97">
        <w:rPr>
          <w:color w:val="000000"/>
          <w:sz w:val="24"/>
        </w:rPr>
        <w:lastRenderedPageBreak/>
        <w:t>using MAFFT 7.130</w:t>
      </w:r>
      <w:r w:rsidR="00907E03">
        <w:rPr>
          <w:color w:val="000000"/>
          <w:sz w:val="24"/>
        </w:rPr>
        <w:t xml:space="preserve"> [7]</w:t>
      </w:r>
      <w:r w:rsidRPr="00575F97">
        <w:rPr>
          <w:color w:val="000000"/>
          <w:sz w:val="24"/>
        </w:rPr>
        <w:t xml:space="preserve">. The Maximum Likelihood tree was inferred using the </w:t>
      </w:r>
      <w:proofErr w:type="spellStart"/>
      <w:r w:rsidRPr="00575F97">
        <w:rPr>
          <w:color w:val="000000"/>
          <w:sz w:val="24"/>
        </w:rPr>
        <w:t>RaxML</w:t>
      </w:r>
      <w:proofErr w:type="spellEnd"/>
      <w:r w:rsidRPr="00575F97">
        <w:rPr>
          <w:color w:val="000000"/>
          <w:sz w:val="24"/>
        </w:rPr>
        <w:t xml:space="preserve"> version 8 with the GTR+G model and 1,000 bootstrap replicates on the CIPRES web portal</w:t>
      </w:r>
      <w:r w:rsidR="004404B1">
        <w:rPr>
          <w:color w:val="000000"/>
          <w:sz w:val="24"/>
        </w:rPr>
        <w:t xml:space="preserve"> </w:t>
      </w:r>
      <w:r w:rsidR="00907E03">
        <w:rPr>
          <w:color w:val="000000"/>
          <w:sz w:val="24"/>
        </w:rPr>
        <w:t>[8]</w:t>
      </w:r>
      <w:r w:rsidRPr="00575F97">
        <w:rPr>
          <w:color w:val="000000"/>
          <w:sz w:val="24"/>
        </w:rPr>
        <w:t>.</w:t>
      </w:r>
    </w:p>
    <w:p w14:paraId="46C2672D" w14:textId="77777777" w:rsidR="009221A4" w:rsidRPr="00907E03" w:rsidRDefault="009221A4">
      <w:pPr>
        <w:widowControl/>
        <w:tabs>
          <w:tab w:val="left" w:pos="284"/>
          <w:tab w:val="right" w:pos="6235"/>
        </w:tabs>
        <w:spacing w:after="0" w:line="360" w:lineRule="auto"/>
        <w:ind w:firstLine="120"/>
        <w:rPr>
          <w:b/>
          <w:color w:val="000000"/>
          <w:sz w:val="24"/>
        </w:rPr>
      </w:pPr>
    </w:p>
    <w:p w14:paraId="2AFD0B5B" w14:textId="77777777" w:rsidR="009221A4" w:rsidRPr="00575F97" w:rsidRDefault="00177BE1">
      <w:pPr>
        <w:widowControl/>
        <w:tabs>
          <w:tab w:val="left" w:pos="284"/>
          <w:tab w:val="right" w:pos="6235"/>
        </w:tabs>
        <w:spacing w:after="0" w:line="360" w:lineRule="auto"/>
        <w:rPr>
          <w:b/>
          <w:color w:val="000000"/>
          <w:sz w:val="24"/>
        </w:rPr>
      </w:pPr>
      <w:r w:rsidRPr="00575F97">
        <w:rPr>
          <w:b/>
          <w:color w:val="000000"/>
          <w:sz w:val="24"/>
        </w:rPr>
        <w:t>Bioinformatics</w:t>
      </w:r>
    </w:p>
    <w:p w14:paraId="48A96C03" w14:textId="0E765252" w:rsidR="009221A4" w:rsidRPr="00575F97" w:rsidRDefault="00177BE1">
      <w:pPr>
        <w:widowControl/>
        <w:tabs>
          <w:tab w:val="left" w:pos="284"/>
          <w:tab w:val="right" w:pos="6235"/>
        </w:tabs>
        <w:spacing w:after="0" w:line="360" w:lineRule="auto"/>
        <w:rPr>
          <w:sz w:val="24"/>
        </w:rPr>
      </w:pPr>
      <w:r w:rsidRPr="00575F97">
        <w:rPr>
          <w:sz w:val="24"/>
        </w:rPr>
        <w:t>The “vegan” package was applied to conduct α- and β-diversity analyses to evaluate the variation of bambusicolous fungal communities according to the bamboo compartments (bamboo culm, leaf, root, and bamboo forest soil) and stage (young, mature, and dead)</w:t>
      </w:r>
      <w:r w:rsidR="004404B1">
        <w:rPr>
          <w:sz w:val="24"/>
        </w:rPr>
        <w:t xml:space="preserve"> </w:t>
      </w:r>
      <w:r w:rsidR="00907E03">
        <w:rPr>
          <w:sz w:val="24"/>
        </w:rPr>
        <w:t>[9]</w:t>
      </w:r>
      <w:r w:rsidRPr="00575F97">
        <w:rPr>
          <w:sz w:val="24"/>
        </w:rPr>
        <w:t>. The distribution of each dataset was tested using the Shapiro–Wilk test, Durbin–Watson test, and Bartlett test for homogeneity of variances. The one-way ANOVA and Tukey’s Honest Significant Distance (HSD) tests were adjusted with multiple comparisons for normally distributed data. Kruskal–Wallis and Dunn’s tests with Benjamini-Hochberg (BH) methods were adjusted for non-normally distributed data. The most influential factor in explaining the variation of communities was examined by permutational multivariate analysis of variance (PERMANOVA) based on the Bray-Curtis distance metrics with 999 permutations via the “adonis2()” function in the “vegan” package. The fungal community variation was visualized using principal coordinates analysis (</w:t>
      </w:r>
      <w:proofErr w:type="spellStart"/>
      <w:r w:rsidRPr="00575F97">
        <w:rPr>
          <w:sz w:val="24"/>
        </w:rPr>
        <w:t>PcoA</w:t>
      </w:r>
      <w:proofErr w:type="spellEnd"/>
      <w:r w:rsidRPr="00575F97">
        <w:rPr>
          <w:sz w:val="24"/>
        </w:rPr>
        <w:t>) based on Bray–Curtis dissimilarities. The significant (</w:t>
      </w:r>
      <w:r w:rsidRPr="00575F97">
        <w:rPr>
          <w:i/>
          <w:sz w:val="24"/>
        </w:rPr>
        <w:t xml:space="preserve">p </w:t>
      </w:r>
      <w:r w:rsidRPr="00575F97">
        <w:rPr>
          <w:sz w:val="24"/>
        </w:rPr>
        <w:t>&lt; 0.05) factors and vectors were fitted on the plots using the goodness-of-fit statistics (r</w:t>
      </w:r>
      <w:r w:rsidRPr="00575F97">
        <w:rPr>
          <w:sz w:val="24"/>
          <w:vertAlign w:val="superscript"/>
        </w:rPr>
        <w:t>2</w:t>
      </w:r>
      <w:r w:rsidRPr="00575F97">
        <w:rPr>
          <w:sz w:val="24"/>
        </w:rPr>
        <w:t>). The adjusted p</w:t>
      </w:r>
      <w:r w:rsidR="00B336FD" w:rsidRPr="00575F97">
        <w:rPr>
          <w:sz w:val="24"/>
        </w:rPr>
        <w:t>-</w:t>
      </w:r>
      <w:r w:rsidRPr="00575F97">
        <w:rPr>
          <w:sz w:val="24"/>
        </w:rPr>
        <w:t>values were corrected using the Bonferroni correction method. The Venn diagram software in the Bioinformatics &amp; Evolutionary Genomics platform (http://bioinformatics.psb.-ugent.be/webtools/Venn/) was used to reveal the overlapped bamboo endophytic fungi between the bamboo compartments and between each tissue stage. To distinguish significantly representative bambusicolous fungal taxa according to the bamboo tissue stages and soils, a linear discriminant analysis (LDA) combined with effect size (</w:t>
      </w:r>
      <w:proofErr w:type="spellStart"/>
      <w:r w:rsidRPr="00575F97">
        <w:rPr>
          <w:sz w:val="24"/>
        </w:rPr>
        <w:t>LefSe</w:t>
      </w:r>
      <w:proofErr w:type="spellEnd"/>
      <w:r w:rsidRPr="00575F97">
        <w:rPr>
          <w:sz w:val="24"/>
        </w:rPr>
        <w:t xml:space="preserve">) was performed on the </w:t>
      </w:r>
      <w:proofErr w:type="spellStart"/>
      <w:r w:rsidRPr="00575F97">
        <w:rPr>
          <w:sz w:val="24"/>
        </w:rPr>
        <w:t>Huttenhower</w:t>
      </w:r>
      <w:proofErr w:type="spellEnd"/>
      <w:r w:rsidRPr="00575F97">
        <w:rPr>
          <w:sz w:val="24"/>
        </w:rPr>
        <w:t xml:space="preserve"> galaxy server (</w:t>
      </w:r>
      <w:proofErr w:type="spellStart"/>
      <w:r w:rsidRPr="00575F97">
        <w:rPr>
          <w:sz w:val="24"/>
        </w:rPr>
        <w:t>LefSe</w:t>
      </w:r>
      <w:proofErr w:type="spellEnd"/>
      <w:r w:rsidRPr="00575F97">
        <w:rPr>
          <w:sz w:val="24"/>
        </w:rPr>
        <w:t xml:space="preserve">, </w:t>
      </w:r>
      <w:r w:rsidR="004404B1" w:rsidRPr="004404B1">
        <w:rPr>
          <w:sz w:val="24"/>
        </w:rPr>
        <w:t>http://huttenhower.sph.harv-ard.edu/galaxy</w:t>
      </w:r>
      <w:r w:rsidRPr="00575F97">
        <w:rPr>
          <w:sz w:val="24"/>
        </w:rPr>
        <w:t>)</w:t>
      </w:r>
      <w:r w:rsidR="004404B1">
        <w:rPr>
          <w:sz w:val="24"/>
        </w:rPr>
        <w:t xml:space="preserve"> </w:t>
      </w:r>
      <w:r w:rsidR="00907E03">
        <w:rPr>
          <w:sz w:val="24"/>
        </w:rPr>
        <w:t>[10]</w:t>
      </w:r>
      <w:r w:rsidRPr="00575F97">
        <w:rPr>
          <w:sz w:val="24"/>
        </w:rPr>
        <w:t>. Heat map analysis was conducted using representative taxa determined by LDA. The heat map was constructed with the “pheatmap” package version 1.0.12</w:t>
      </w:r>
      <w:r w:rsidR="004404B1">
        <w:rPr>
          <w:sz w:val="24"/>
        </w:rPr>
        <w:t xml:space="preserve"> </w:t>
      </w:r>
      <w:r w:rsidR="00907E03">
        <w:rPr>
          <w:sz w:val="24"/>
        </w:rPr>
        <w:t>[11]</w:t>
      </w:r>
      <w:r w:rsidRPr="00575F97">
        <w:rPr>
          <w:sz w:val="24"/>
        </w:rPr>
        <w:t>. Heat map clustering between the relative abundances of bambusicolous endophytic fungi and bamboo tissue stages and soil was conducted based on Spearman correlation. The data matrix was Z-score-normalized by row. Indicator species analysis was conducted to determine the species ecological preference of the representative taxa via “</w:t>
      </w:r>
      <w:proofErr w:type="gramStart"/>
      <w:r w:rsidRPr="00575F97">
        <w:rPr>
          <w:sz w:val="24"/>
        </w:rPr>
        <w:t>multipatt(</w:t>
      </w:r>
      <w:proofErr w:type="gramEnd"/>
      <w:r w:rsidRPr="00575F97">
        <w:rPr>
          <w:sz w:val="24"/>
        </w:rPr>
        <w:t>data, group, func</w:t>
      </w:r>
      <w:proofErr w:type="gramStart"/>
      <w:r w:rsidRPr="00575F97">
        <w:rPr>
          <w:sz w:val="24"/>
        </w:rPr>
        <w:t>=”r</w:t>
      </w:r>
      <w:proofErr w:type="gramEnd"/>
      <w:r w:rsidRPr="00575F97">
        <w:rPr>
          <w:sz w:val="24"/>
        </w:rPr>
        <w:t>.g”, control= how(nperm=999))” in the “Indicspecies” package</w:t>
      </w:r>
      <w:r w:rsidR="004404B1">
        <w:rPr>
          <w:sz w:val="24"/>
        </w:rPr>
        <w:t xml:space="preserve"> </w:t>
      </w:r>
      <w:r w:rsidR="00907E03">
        <w:rPr>
          <w:sz w:val="24"/>
        </w:rPr>
        <w:t>[12]</w:t>
      </w:r>
      <w:r w:rsidRPr="00575F97">
        <w:rPr>
          <w:sz w:val="24"/>
        </w:rPr>
        <w:t>. All statistical analyses were performed with R software version 4.2.0</w:t>
      </w:r>
      <w:r w:rsidR="004404B1">
        <w:rPr>
          <w:sz w:val="24"/>
        </w:rPr>
        <w:t xml:space="preserve"> </w:t>
      </w:r>
      <w:r w:rsidR="00907E03">
        <w:rPr>
          <w:sz w:val="24"/>
        </w:rPr>
        <w:t>[13]</w:t>
      </w:r>
      <w:r w:rsidRPr="00575F97">
        <w:rPr>
          <w:sz w:val="24"/>
        </w:rPr>
        <w:t>.</w:t>
      </w:r>
    </w:p>
    <w:p w14:paraId="3259E0F6" w14:textId="77777777" w:rsidR="009221A4" w:rsidRPr="00575F97" w:rsidRDefault="009221A4">
      <w:pPr>
        <w:widowControl/>
        <w:tabs>
          <w:tab w:val="left" w:pos="284"/>
          <w:tab w:val="right" w:pos="6235"/>
        </w:tabs>
        <w:spacing w:after="0" w:line="360" w:lineRule="auto"/>
        <w:ind w:firstLine="105"/>
        <w:rPr>
          <w:b/>
          <w:color w:val="000000"/>
          <w:sz w:val="24"/>
        </w:rPr>
      </w:pPr>
    </w:p>
    <w:p w14:paraId="3D181D93" w14:textId="77777777" w:rsidR="009221A4" w:rsidRPr="00575F97" w:rsidRDefault="00177BE1">
      <w:pPr>
        <w:widowControl/>
        <w:tabs>
          <w:tab w:val="right" w:pos="6235"/>
        </w:tabs>
        <w:spacing w:after="0" w:line="360" w:lineRule="auto"/>
        <w:rPr>
          <w:b/>
          <w:color w:val="000000"/>
          <w:sz w:val="28"/>
        </w:rPr>
      </w:pPr>
      <w:r w:rsidRPr="00575F97">
        <w:rPr>
          <w:b/>
          <w:color w:val="000000"/>
          <w:sz w:val="28"/>
        </w:rPr>
        <w:lastRenderedPageBreak/>
        <w:t>Bambusicolous</w:t>
      </w:r>
      <w:r w:rsidRPr="00575F97">
        <w:rPr>
          <w:b/>
          <w:i/>
          <w:color w:val="000000"/>
          <w:sz w:val="28"/>
        </w:rPr>
        <w:t xml:space="preserve"> Apiospora</w:t>
      </w:r>
      <w:r w:rsidRPr="00575F97">
        <w:rPr>
          <w:b/>
          <w:color w:val="000000"/>
          <w:sz w:val="28"/>
        </w:rPr>
        <w:t xml:space="preserve"> strains</w:t>
      </w:r>
    </w:p>
    <w:p w14:paraId="613372EE" w14:textId="77777777" w:rsidR="009221A4" w:rsidRPr="00575F97" w:rsidRDefault="009221A4">
      <w:pPr>
        <w:widowControl/>
        <w:tabs>
          <w:tab w:val="right" w:pos="6235"/>
        </w:tabs>
        <w:spacing w:after="0" w:line="360" w:lineRule="auto"/>
        <w:rPr>
          <w:b/>
          <w:color w:val="000000"/>
          <w:sz w:val="28"/>
        </w:rPr>
      </w:pPr>
    </w:p>
    <w:p w14:paraId="0DCD0F32" w14:textId="0D1AC284" w:rsidR="009221A4" w:rsidRPr="00575F97" w:rsidRDefault="00177BE1">
      <w:pPr>
        <w:widowControl/>
        <w:tabs>
          <w:tab w:val="left" w:pos="284"/>
          <w:tab w:val="right" w:pos="6235"/>
        </w:tabs>
        <w:spacing w:after="0" w:line="360" w:lineRule="auto"/>
        <w:rPr>
          <w:b/>
          <w:color w:val="000000"/>
          <w:sz w:val="28"/>
        </w:rPr>
      </w:pPr>
      <w:r w:rsidRPr="00575F97">
        <w:rPr>
          <w:color w:val="000000"/>
          <w:sz w:val="24"/>
        </w:rPr>
        <w:t xml:space="preserve">Bambusicolous </w:t>
      </w:r>
      <w:r w:rsidRPr="00575F97">
        <w:rPr>
          <w:i/>
          <w:color w:val="000000"/>
          <w:sz w:val="24"/>
        </w:rPr>
        <w:t>Apiospora</w:t>
      </w:r>
      <w:r w:rsidRPr="00575F97">
        <w:rPr>
          <w:color w:val="000000"/>
          <w:sz w:val="24"/>
        </w:rPr>
        <w:t xml:space="preserve"> strains were obtained from the Korea University Culture Collection (KUC). These strains were isolated, identified, and deposited in a previous study</w:t>
      </w:r>
      <w:r w:rsidR="004404B1">
        <w:rPr>
          <w:color w:val="000000"/>
          <w:sz w:val="24"/>
        </w:rPr>
        <w:t xml:space="preserve"> </w:t>
      </w:r>
      <w:r w:rsidR="00907E03">
        <w:rPr>
          <w:color w:val="000000"/>
          <w:sz w:val="24"/>
        </w:rPr>
        <w:t>[14]</w:t>
      </w:r>
      <w:r w:rsidRPr="00575F97">
        <w:rPr>
          <w:color w:val="000000"/>
          <w:sz w:val="24"/>
        </w:rPr>
        <w:t xml:space="preserve">, which reported 242 bambusicolous </w:t>
      </w:r>
      <w:r w:rsidRPr="00575F97">
        <w:rPr>
          <w:i/>
          <w:color w:val="000000"/>
          <w:sz w:val="24"/>
        </w:rPr>
        <w:t>Apiospora</w:t>
      </w:r>
      <w:r w:rsidRPr="00575F97">
        <w:rPr>
          <w:color w:val="000000"/>
          <w:sz w:val="24"/>
        </w:rPr>
        <w:t xml:space="preserve"> strains from various bamboo materials collected in bamboo forests in Korea.</w:t>
      </w:r>
      <w:r w:rsidR="00B336FD" w:rsidRPr="00575F97">
        <w:rPr>
          <w:color w:val="000000"/>
          <w:sz w:val="24"/>
        </w:rPr>
        <w:t xml:space="preserve"> In</w:t>
      </w:r>
      <w:r w:rsidRPr="00575F97">
        <w:rPr>
          <w:color w:val="000000"/>
          <w:sz w:val="24"/>
        </w:rPr>
        <w:t xml:space="preserve"> this study, we employed nine bambusicolous </w:t>
      </w:r>
      <w:r w:rsidRPr="00575F97">
        <w:rPr>
          <w:i/>
          <w:color w:val="000000"/>
          <w:sz w:val="24"/>
        </w:rPr>
        <w:t>Apiospora</w:t>
      </w:r>
      <w:r w:rsidRPr="00575F97">
        <w:rPr>
          <w:color w:val="000000"/>
          <w:sz w:val="24"/>
        </w:rPr>
        <w:t xml:space="preserve"> strains, representing three </w:t>
      </w:r>
      <w:r w:rsidRPr="00575F97">
        <w:rPr>
          <w:i/>
          <w:color w:val="000000"/>
          <w:sz w:val="24"/>
        </w:rPr>
        <w:t>Apiospora</w:t>
      </w:r>
      <w:r w:rsidRPr="00575F97">
        <w:rPr>
          <w:color w:val="000000"/>
          <w:sz w:val="24"/>
        </w:rPr>
        <w:t xml:space="preserve"> species isolated from dead bamboo culms and branches. Based on the results of microbiome analysis, we determined that these three </w:t>
      </w:r>
      <w:r w:rsidRPr="00575F97">
        <w:rPr>
          <w:i/>
          <w:color w:val="000000"/>
          <w:sz w:val="24"/>
        </w:rPr>
        <w:t>Apiospora</w:t>
      </w:r>
      <w:r w:rsidRPr="00575F97">
        <w:rPr>
          <w:color w:val="000000"/>
          <w:sz w:val="24"/>
        </w:rPr>
        <w:t xml:space="preserve"> species on dead bamboo (</w:t>
      </w:r>
      <w:r w:rsidRPr="00575F97">
        <w:rPr>
          <w:i/>
          <w:color w:val="000000"/>
          <w:sz w:val="24"/>
        </w:rPr>
        <w:t>Phyllostachys</w:t>
      </w:r>
      <w:r w:rsidRPr="00575F97">
        <w:rPr>
          <w:color w:val="000000"/>
          <w:sz w:val="24"/>
        </w:rPr>
        <w:t xml:space="preserve"> spp.) materials could be derived from the inner tissue of bamboo. Consequently, these strains were used for further investigations of their biological activities or genomic analyses. The three </w:t>
      </w:r>
      <w:r w:rsidRPr="00575F97">
        <w:rPr>
          <w:i/>
          <w:color w:val="000000"/>
          <w:sz w:val="24"/>
        </w:rPr>
        <w:t>Apiospora</w:t>
      </w:r>
      <w:r w:rsidRPr="00575F97">
        <w:rPr>
          <w:color w:val="000000"/>
          <w:sz w:val="24"/>
        </w:rPr>
        <w:t xml:space="preserve"> species were </w:t>
      </w:r>
      <w:r w:rsidRPr="00575F97">
        <w:rPr>
          <w:i/>
          <w:color w:val="000000"/>
          <w:sz w:val="24"/>
        </w:rPr>
        <w:t>Ap. arundinis</w:t>
      </w:r>
      <w:r w:rsidRPr="00575F97">
        <w:rPr>
          <w:color w:val="000000"/>
          <w:sz w:val="24"/>
        </w:rPr>
        <w:t xml:space="preserve"> (KUC21601, KUC21792, and KUC21722), </w:t>
      </w:r>
      <w:r w:rsidRPr="00575F97">
        <w:rPr>
          <w:i/>
          <w:color w:val="000000"/>
          <w:sz w:val="24"/>
        </w:rPr>
        <w:t>Ap. camelliae-sinensis</w:t>
      </w:r>
      <w:r w:rsidRPr="00575F97">
        <w:rPr>
          <w:color w:val="000000"/>
          <w:sz w:val="24"/>
        </w:rPr>
        <w:t xml:space="preserve"> (KUC21546, KUC21536, and KUC21538), and </w:t>
      </w:r>
      <w:r w:rsidRPr="00575F97">
        <w:rPr>
          <w:i/>
          <w:color w:val="000000"/>
          <w:sz w:val="24"/>
        </w:rPr>
        <w:t>Ap. hysterina</w:t>
      </w:r>
      <w:r w:rsidRPr="00575F97">
        <w:rPr>
          <w:color w:val="000000"/>
          <w:sz w:val="24"/>
        </w:rPr>
        <w:t xml:space="preserve"> (KUC21437, KUC21435, and KUC21438). The strain information is detailed in Additional file 2: Table</w:t>
      </w:r>
      <w:r w:rsidRPr="00575F97">
        <w:rPr>
          <w:sz w:val="24"/>
        </w:rPr>
        <w:t xml:space="preserve"> S2.</w:t>
      </w:r>
    </w:p>
    <w:p w14:paraId="5EDD1655" w14:textId="77777777" w:rsidR="009221A4" w:rsidRPr="00575F97" w:rsidRDefault="009221A4">
      <w:pPr>
        <w:widowControl/>
        <w:tabs>
          <w:tab w:val="left" w:pos="284"/>
          <w:tab w:val="right" w:pos="6235"/>
        </w:tabs>
        <w:spacing w:after="0" w:line="360" w:lineRule="auto"/>
        <w:rPr>
          <w:b/>
          <w:color w:val="000000"/>
          <w:sz w:val="28"/>
        </w:rPr>
      </w:pPr>
    </w:p>
    <w:p w14:paraId="62AE941E" w14:textId="77777777" w:rsidR="009221A4" w:rsidRPr="00575F97" w:rsidRDefault="00177BE1">
      <w:pPr>
        <w:widowControl/>
        <w:tabs>
          <w:tab w:val="left" w:pos="284"/>
          <w:tab w:val="right" w:pos="6235"/>
        </w:tabs>
        <w:spacing w:after="0" w:line="360" w:lineRule="auto"/>
        <w:rPr>
          <w:b/>
          <w:color w:val="000000"/>
          <w:sz w:val="24"/>
        </w:rPr>
      </w:pPr>
      <w:r w:rsidRPr="00575F97">
        <w:rPr>
          <w:b/>
          <w:color w:val="000000"/>
          <w:sz w:val="28"/>
        </w:rPr>
        <w:t>Biological activity and metabolite analysis</w:t>
      </w:r>
    </w:p>
    <w:p w14:paraId="5E75298C" w14:textId="77777777" w:rsidR="009221A4" w:rsidRPr="00575F97" w:rsidRDefault="009221A4">
      <w:pPr>
        <w:widowControl/>
        <w:tabs>
          <w:tab w:val="right" w:pos="6235"/>
        </w:tabs>
        <w:spacing w:after="0" w:line="360" w:lineRule="auto"/>
        <w:rPr>
          <w:b/>
          <w:i/>
          <w:color w:val="000000"/>
          <w:sz w:val="24"/>
        </w:rPr>
      </w:pPr>
    </w:p>
    <w:p w14:paraId="4FC7DA37" w14:textId="77777777" w:rsidR="009221A4" w:rsidRPr="00575F97" w:rsidRDefault="00177BE1">
      <w:pPr>
        <w:widowControl/>
        <w:tabs>
          <w:tab w:val="right" w:pos="6235"/>
        </w:tabs>
        <w:spacing w:after="0" w:line="360" w:lineRule="auto"/>
        <w:rPr>
          <w:b/>
          <w:i/>
          <w:color w:val="000000"/>
          <w:sz w:val="24"/>
        </w:rPr>
      </w:pPr>
      <w:r w:rsidRPr="00575F97">
        <w:rPr>
          <w:b/>
          <w:i/>
          <w:color w:val="000000"/>
          <w:sz w:val="24"/>
        </w:rPr>
        <w:t>Apiospora</w:t>
      </w:r>
      <w:r w:rsidRPr="00575F97">
        <w:rPr>
          <w:b/>
          <w:color w:val="000000"/>
          <w:sz w:val="24"/>
        </w:rPr>
        <w:t xml:space="preserve"> extract preparation</w:t>
      </w:r>
    </w:p>
    <w:p w14:paraId="410B6192" w14:textId="0672799A" w:rsidR="009221A4" w:rsidRPr="00575F97" w:rsidRDefault="00177BE1">
      <w:pPr>
        <w:widowControl/>
        <w:tabs>
          <w:tab w:val="left" w:pos="284"/>
          <w:tab w:val="right" w:pos="6235"/>
        </w:tabs>
        <w:spacing w:after="0" w:line="360" w:lineRule="auto"/>
        <w:rPr>
          <w:color w:val="000000"/>
          <w:sz w:val="24"/>
        </w:rPr>
      </w:pPr>
      <w:r w:rsidRPr="00575F97">
        <w:rPr>
          <w:color w:val="000000"/>
          <w:sz w:val="24"/>
        </w:rPr>
        <w:t>The fungal extract was prepared as previously described</w:t>
      </w:r>
      <w:r w:rsidR="004404B1">
        <w:rPr>
          <w:color w:val="000000"/>
          <w:sz w:val="24"/>
        </w:rPr>
        <w:t xml:space="preserve"> </w:t>
      </w:r>
      <w:r w:rsidR="00907E03">
        <w:rPr>
          <w:color w:val="000000"/>
          <w:sz w:val="24"/>
        </w:rPr>
        <w:t>[15]</w:t>
      </w:r>
      <w:r w:rsidRPr="00575F97">
        <w:rPr>
          <w:color w:val="000000"/>
          <w:sz w:val="24"/>
        </w:rPr>
        <w:t xml:space="preserve">. Bambusicolous </w:t>
      </w:r>
      <w:r w:rsidRPr="00575F97">
        <w:rPr>
          <w:i/>
          <w:color w:val="000000"/>
          <w:sz w:val="24"/>
        </w:rPr>
        <w:t>Apiospora</w:t>
      </w:r>
      <w:r w:rsidRPr="00575F97">
        <w:rPr>
          <w:color w:val="000000"/>
          <w:sz w:val="24"/>
        </w:rPr>
        <w:t xml:space="preserve"> strains were cultured on potato dextrose agar at 25</w:t>
      </w:r>
      <w:r w:rsidRPr="00575F97">
        <w:rPr>
          <w:color w:val="000000"/>
          <w:sz w:val="24"/>
          <w:vertAlign w:val="superscript"/>
        </w:rPr>
        <w:t>◦</w:t>
      </w:r>
      <w:r w:rsidRPr="00575F97">
        <w:rPr>
          <w:color w:val="000000"/>
          <w:sz w:val="24"/>
        </w:rPr>
        <w:t>C for 7 days in the dark. The fungal biomass was extracted with methanol for 24 h, and the solution was filtered using Whatman® No. 1 filter paper (</w:t>
      </w:r>
      <w:proofErr w:type="spellStart"/>
      <w:r w:rsidRPr="00575F97">
        <w:rPr>
          <w:color w:val="000000"/>
          <w:sz w:val="24"/>
        </w:rPr>
        <w:t>Cytiva</w:t>
      </w:r>
      <w:proofErr w:type="spellEnd"/>
      <w:r w:rsidRPr="00575F97">
        <w:rPr>
          <w:color w:val="000000"/>
          <w:sz w:val="24"/>
        </w:rPr>
        <w:t>, Marlborough, MA, USA). Subsequently, the filtrate was concentrated using a rotary vacuum evaporator at 37</w:t>
      </w:r>
      <w:r w:rsidRPr="00575F97">
        <w:rPr>
          <w:color w:val="000000"/>
          <w:sz w:val="24"/>
          <w:vertAlign w:val="superscript"/>
        </w:rPr>
        <w:t>◦</w:t>
      </w:r>
      <w:r w:rsidRPr="00575F97">
        <w:rPr>
          <w:color w:val="000000"/>
          <w:sz w:val="24"/>
        </w:rPr>
        <w:t>C. After concentration, the condensed residues were dissolved in a 1:1 mixture of ethyl acetate (EtOAc) (</w:t>
      </w:r>
      <w:proofErr w:type="spellStart"/>
      <w:r w:rsidRPr="00575F97">
        <w:rPr>
          <w:color w:val="000000"/>
          <w:sz w:val="24"/>
        </w:rPr>
        <w:t>Samchun</w:t>
      </w:r>
      <w:proofErr w:type="spellEnd"/>
      <w:r w:rsidRPr="00575F97">
        <w:rPr>
          <w:color w:val="000000"/>
          <w:sz w:val="24"/>
        </w:rPr>
        <w:t xml:space="preserve"> Pure Chemical Co., Ltd., Pyeongtaek, Korea) and distilled water. The EtOAc fraction of the solution was then obtained and concentrated again following the aforementioned method. The EtOAc extracts were stored at –20</w:t>
      </w:r>
      <w:r w:rsidRPr="00575F97">
        <w:rPr>
          <w:color w:val="000000"/>
          <w:sz w:val="24"/>
          <w:vertAlign w:val="superscript"/>
        </w:rPr>
        <w:t>◦</w:t>
      </w:r>
      <w:r w:rsidRPr="00575F97">
        <w:rPr>
          <w:color w:val="000000"/>
          <w:sz w:val="24"/>
        </w:rPr>
        <w:t>C.</w:t>
      </w:r>
    </w:p>
    <w:p w14:paraId="7810AC18" w14:textId="77777777" w:rsidR="009221A4" w:rsidRPr="00575F97" w:rsidRDefault="009221A4">
      <w:pPr>
        <w:widowControl/>
        <w:tabs>
          <w:tab w:val="left" w:pos="284"/>
          <w:tab w:val="right" w:pos="6235"/>
        </w:tabs>
        <w:spacing w:after="0" w:line="360" w:lineRule="auto"/>
        <w:rPr>
          <w:color w:val="000000"/>
          <w:sz w:val="24"/>
        </w:rPr>
      </w:pPr>
    </w:p>
    <w:p w14:paraId="32A70CFB" w14:textId="77777777" w:rsidR="009221A4" w:rsidRPr="00575F97" w:rsidRDefault="00177BE1">
      <w:pPr>
        <w:widowControl/>
        <w:tabs>
          <w:tab w:val="right" w:pos="6235"/>
        </w:tabs>
        <w:spacing w:after="0" w:line="360" w:lineRule="auto"/>
        <w:rPr>
          <w:color w:val="000000"/>
          <w:sz w:val="24"/>
        </w:rPr>
      </w:pPr>
      <w:r w:rsidRPr="00575F97">
        <w:rPr>
          <w:b/>
          <w:color w:val="000000"/>
          <w:sz w:val="24"/>
        </w:rPr>
        <w:t>Antioxidant analysis with ABTS and DPPH radical scavenging ability</w:t>
      </w:r>
    </w:p>
    <w:p w14:paraId="4DA9C130" w14:textId="6B4A247E" w:rsidR="009221A4" w:rsidRPr="00575F97" w:rsidRDefault="00177BE1">
      <w:pPr>
        <w:widowControl/>
        <w:tabs>
          <w:tab w:val="left" w:pos="284"/>
          <w:tab w:val="right" w:pos="6235"/>
        </w:tabs>
        <w:spacing w:after="0" w:line="360" w:lineRule="auto"/>
        <w:rPr>
          <w:color w:val="000000"/>
          <w:sz w:val="24"/>
        </w:rPr>
      </w:pPr>
      <w:r w:rsidRPr="00575F97">
        <w:rPr>
          <w:color w:val="000000"/>
          <w:sz w:val="24"/>
        </w:rPr>
        <w:t>A 7</w:t>
      </w:r>
      <w:r w:rsidR="00B336FD" w:rsidRPr="00575F97">
        <w:rPr>
          <w:color w:val="000000"/>
          <w:sz w:val="24"/>
        </w:rPr>
        <w:t>-</w:t>
      </w:r>
      <w:r w:rsidRPr="00575F97">
        <w:rPr>
          <w:color w:val="000000"/>
          <w:sz w:val="24"/>
        </w:rPr>
        <w:t xml:space="preserve">mM ABTS (2.2′-azino-bis-3-ethylbenzothiazoline-6-sulfonic acid, Sigma-Aldrich, Inc., St. Louis, MO, USA) solution was oxidized with 2.45 mM potassium persulfate for 24 h in </w:t>
      </w:r>
      <w:r w:rsidR="00B336FD" w:rsidRPr="00575F97">
        <w:rPr>
          <w:color w:val="000000"/>
          <w:sz w:val="24"/>
        </w:rPr>
        <w:t>the dark</w:t>
      </w:r>
      <w:r w:rsidRPr="00575F97">
        <w:rPr>
          <w:color w:val="000000"/>
          <w:sz w:val="24"/>
        </w:rPr>
        <w:t xml:space="preserve"> at room temperature. Before the next step, the ABTS</w:t>
      </w:r>
      <w:r w:rsidRPr="00575F97">
        <w:rPr>
          <w:color w:val="000000"/>
          <w:sz w:val="24"/>
          <w:vertAlign w:val="superscript"/>
        </w:rPr>
        <w:t>•+</w:t>
      </w:r>
      <w:r w:rsidRPr="00575F97">
        <w:rPr>
          <w:color w:val="000000"/>
          <w:sz w:val="24"/>
        </w:rPr>
        <w:t xml:space="preserve"> solution was diluted with 1× </w:t>
      </w:r>
      <w:r w:rsidRPr="00575F97">
        <w:rPr>
          <w:color w:val="000000"/>
          <w:sz w:val="24"/>
        </w:rPr>
        <w:lastRenderedPageBreak/>
        <w:t>phosphate</w:t>
      </w:r>
      <w:r w:rsidR="00B336FD" w:rsidRPr="00575F97">
        <w:rPr>
          <w:color w:val="000000"/>
          <w:sz w:val="24"/>
        </w:rPr>
        <w:t>-</w:t>
      </w:r>
      <w:r w:rsidRPr="00575F97">
        <w:rPr>
          <w:color w:val="000000"/>
          <w:sz w:val="24"/>
        </w:rPr>
        <w:t>buffered saline (</w:t>
      </w:r>
      <w:proofErr w:type="spellStart"/>
      <w:r w:rsidRPr="00575F97">
        <w:rPr>
          <w:color w:val="000000"/>
          <w:sz w:val="24"/>
        </w:rPr>
        <w:t>Biosesang</w:t>
      </w:r>
      <w:proofErr w:type="spellEnd"/>
      <w:r w:rsidRPr="00575F97">
        <w:rPr>
          <w:color w:val="000000"/>
          <w:sz w:val="24"/>
        </w:rPr>
        <w:t xml:space="preserve">, </w:t>
      </w:r>
      <w:proofErr w:type="spellStart"/>
      <w:r w:rsidRPr="00575F97">
        <w:rPr>
          <w:color w:val="000000"/>
          <w:sz w:val="24"/>
        </w:rPr>
        <w:t>Yongin</w:t>
      </w:r>
      <w:proofErr w:type="spellEnd"/>
      <w:r w:rsidRPr="00575F97">
        <w:rPr>
          <w:color w:val="000000"/>
          <w:sz w:val="24"/>
        </w:rPr>
        <w:t xml:space="preserve">, Korea) to </w:t>
      </w:r>
      <w:r w:rsidR="00B336FD" w:rsidRPr="00575F97">
        <w:rPr>
          <w:color w:val="000000"/>
          <w:sz w:val="24"/>
        </w:rPr>
        <w:t xml:space="preserve">record an </w:t>
      </w:r>
      <w:r w:rsidRPr="00575F97">
        <w:rPr>
          <w:color w:val="000000"/>
          <w:sz w:val="24"/>
        </w:rPr>
        <w:t xml:space="preserve">absorbance </w:t>
      </w:r>
      <w:r w:rsidR="00B336FD" w:rsidRPr="00575F97">
        <w:rPr>
          <w:color w:val="000000"/>
          <w:sz w:val="24"/>
        </w:rPr>
        <w:t xml:space="preserve">value </w:t>
      </w:r>
      <w:r w:rsidRPr="00575F97">
        <w:rPr>
          <w:color w:val="000000"/>
          <w:sz w:val="24"/>
        </w:rPr>
        <w:t>of 0.70 (±0.02) at a wavelength of 734 nm. Then, 990 µL of ABTS solution and 10 µL of each fungal extract were mixed in a cuvette</w:t>
      </w:r>
      <w:r w:rsidR="00B336FD" w:rsidRPr="00575F97">
        <w:rPr>
          <w:color w:val="000000"/>
          <w:sz w:val="24"/>
        </w:rPr>
        <w:t>,</w:t>
      </w:r>
      <w:r w:rsidRPr="00575F97">
        <w:rPr>
          <w:color w:val="000000"/>
          <w:sz w:val="24"/>
        </w:rPr>
        <w:t xml:space="preserve"> and</w:t>
      </w:r>
      <w:r w:rsidR="00B336FD" w:rsidRPr="00575F97">
        <w:rPr>
          <w:color w:val="000000"/>
          <w:sz w:val="24"/>
        </w:rPr>
        <w:t xml:space="preserve"> the absorbance was</w:t>
      </w:r>
      <w:r w:rsidRPr="00575F97">
        <w:rPr>
          <w:color w:val="000000"/>
          <w:sz w:val="24"/>
        </w:rPr>
        <w:t xml:space="preserve"> measured at 734 nm after 6 min in </w:t>
      </w:r>
      <w:r w:rsidR="00B336FD" w:rsidRPr="00575F97">
        <w:rPr>
          <w:color w:val="000000"/>
          <w:sz w:val="24"/>
        </w:rPr>
        <w:t>the dark</w:t>
      </w:r>
      <w:r w:rsidRPr="00575F97">
        <w:rPr>
          <w:color w:val="000000"/>
          <w:sz w:val="24"/>
        </w:rPr>
        <w:t>. Trolox (6-hydroxy-2,5,7,8-tetramethylchroman-2-carboxylic acid, Sigma-Aldrich) was used as a positive control.</w:t>
      </w:r>
    </w:p>
    <w:p w14:paraId="04653DA3" w14:textId="0533FDF3" w:rsidR="009221A4" w:rsidRPr="00575F97" w:rsidRDefault="00177BE1">
      <w:pPr>
        <w:widowControl/>
        <w:tabs>
          <w:tab w:val="left" w:pos="284"/>
          <w:tab w:val="right" w:pos="6235"/>
        </w:tabs>
        <w:spacing w:after="0" w:line="360" w:lineRule="auto"/>
        <w:rPr>
          <w:color w:val="000000"/>
          <w:sz w:val="24"/>
        </w:rPr>
      </w:pPr>
      <w:r w:rsidRPr="00575F97">
        <w:rPr>
          <w:color w:val="000000"/>
          <w:sz w:val="24"/>
        </w:rPr>
        <w:t>A 150</w:t>
      </w:r>
      <w:r w:rsidR="00B336FD" w:rsidRPr="00575F97">
        <w:rPr>
          <w:color w:val="000000"/>
          <w:sz w:val="24"/>
        </w:rPr>
        <w:t>-</w:t>
      </w:r>
      <w:r w:rsidRPr="00575F97">
        <w:rPr>
          <w:color w:val="000000"/>
          <w:sz w:val="24"/>
        </w:rPr>
        <w:t xml:space="preserve">µM DPPH (2,2-diphenyl-1-picrylhydrazyl, Sigma-Aldrich) solution was dissolved in 80% methanol. Each fungal extract (22 µL) was mixed with DPPH solution (200 µL) in a 96-well plate. The mixture was stored at room temperature for 30 min in </w:t>
      </w:r>
      <w:r w:rsidR="00B336FD" w:rsidRPr="00575F97">
        <w:rPr>
          <w:color w:val="000000"/>
          <w:sz w:val="24"/>
        </w:rPr>
        <w:t>the dark,</w:t>
      </w:r>
      <w:r w:rsidRPr="00575F97">
        <w:rPr>
          <w:color w:val="000000"/>
          <w:sz w:val="24"/>
        </w:rPr>
        <w:t xml:space="preserve"> and </w:t>
      </w:r>
      <w:r w:rsidR="00B336FD" w:rsidRPr="00575F97">
        <w:rPr>
          <w:color w:val="000000"/>
          <w:sz w:val="24"/>
        </w:rPr>
        <w:t xml:space="preserve">the absorbance was </w:t>
      </w:r>
      <w:r w:rsidRPr="00575F97">
        <w:rPr>
          <w:color w:val="000000"/>
          <w:sz w:val="24"/>
        </w:rPr>
        <w:t>measured at 520 nm. L-Ascorbic acid (Sigma-Aldrich) was used as a positive control.</w:t>
      </w:r>
    </w:p>
    <w:p w14:paraId="3AFA389C" w14:textId="77777777" w:rsidR="009221A4" w:rsidRPr="00575F97" w:rsidRDefault="009221A4">
      <w:pPr>
        <w:widowControl/>
        <w:tabs>
          <w:tab w:val="left" w:pos="284"/>
          <w:tab w:val="right" w:pos="6235"/>
        </w:tabs>
        <w:spacing w:after="0" w:line="360" w:lineRule="auto"/>
        <w:rPr>
          <w:color w:val="000000"/>
          <w:sz w:val="24"/>
        </w:rPr>
      </w:pPr>
    </w:p>
    <w:p w14:paraId="2C5A7A76" w14:textId="77777777" w:rsidR="009221A4" w:rsidRPr="00575F97" w:rsidRDefault="00177BE1">
      <w:pPr>
        <w:widowControl/>
        <w:tabs>
          <w:tab w:val="right" w:pos="6235"/>
        </w:tabs>
        <w:spacing w:after="0" w:line="360" w:lineRule="auto"/>
        <w:rPr>
          <w:color w:val="000000"/>
          <w:sz w:val="24"/>
        </w:rPr>
      </w:pPr>
      <w:r w:rsidRPr="00575F97">
        <w:rPr>
          <w:b/>
          <w:color w:val="000000"/>
          <w:sz w:val="24"/>
        </w:rPr>
        <w:t>Antifungal activity test</w:t>
      </w:r>
    </w:p>
    <w:p w14:paraId="2618C6C7" w14:textId="3A5071B6"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The disk diffusion method was used to screen the antifungal activities of bambusicolous </w:t>
      </w:r>
      <w:r w:rsidRPr="00575F97">
        <w:rPr>
          <w:i/>
          <w:color w:val="000000"/>
          <w:sz w:val="24"/>
        </w:rPr>
        <w:t>Apiospora</w:t>
      </w:r>
      <w:r w:rsidRPr="00575F97">
        <w:rPr>
          <w:color w:val="000000"/>
          <w:sz w:val="24"/>
        </w:rPr>
        <w:t xml:space="preserve"> against three phytopathogens: </w:t>
      </w:r>
      <w:r w:rsidRPr="00575F97">
        <w:rPr>
          <w:i/>
          <w:color w:val="000000"/>
          <w:sz w:val="24"/>
        </w:rPr>
        <w:t>Botrytis cinerea</w:t>
      </w:r>
      <w:r w:rsidRPr="00575F97">
        <w:rPr>
          <w:color w:val="000000"/>
          <w:sz w:val="24"/>
        </w:rPr>
        <w:t xml:space="preserve"> KUC21265, </w:t>
      </w:r>
      <w:r w:rsidRPr="00575F97">
        <w:rPr>
          <w:i/>
          <w:color w:val="000000"/>
          <w:sz w:val="24"/>
        </w:rPr>
        <w:t>Colletotrichum gloeosporioides</w:t>
      </w:r>
      <w:r w:rsidRPr="00575F97">
        <w:rPr>
          <w:color w:val="000000"/>
          <w:sz w:val="24"/>
        </w:rPr>
        <w:t xml:space="preserve"> KUC21266, and </w:t>
      </w:r>
      <w:r w:rsidRPr="00575F97">
        <w:rPr>
          <w:i/>
          <w:color w:val="000000"/>
          <w:sz w:val="24"/>
        </w:rPr>
        <w:t>Fusarium oxysporum</w:t>
      </w:r>
      <w:r w:rsidRPr="00575F97">
        <w:rPr>
          <w:color w:val="000000"/>
          <w:sz w:val="24"/>
        </w:rPr>
        <w:t xml:space="preserve"> KUC21267. The three phytopathogens were selected based on their broad host-range pathogenicity</w:t>
      </w:r>
      <w:r w:rsidR="004404B1">
        <w:rPr>
          <w:color w:val="000000"/>
          <w:sz w:val="24"/>
        </w:rPr>
        <w:t xml:space="preserve"> </w:t>
      </w:r>
      <w:r w:rsidR="00907E03">
        <w:rPr>
          <w:color w:val="000000"/>
          <w:sz w:val="24"/>
        </w:rPr>
        <w:t>[16, 17]</w:t>
      </w:r>
      <w:r w:rsidRPr="00575F97">
        <w:rPr>
          <w:color w:val="000000"/>
          <w:sz w:val="24"/>
        </w:rPr>
        <w:t xml:space="preserve">. Moreover, </w:t>
      </w:r>
      <w:r w:rsidRPr="00575F97">
        <w:rPr>
          <w:i/>
          <w:color w:val="000000"/>
          <w:sz w:val="24"/>
        </w:rPr>
        <w:t>C. gloeosporioides</w:t>
      </w:r>
      <w:r w:rsidRPr="00575F97">
        <w:rPr>
          <w:color w:val="000000"/>
          <w:sz w:val="24"/>
        </w:rPr>
        <w:t xml:space="preserve"> and </w:t>
      </w:r>
      <w:r w:rsidRPr="00575F97">
        <w:rPr>
          <w:i/>
          <w:color w:val="000000"/>
          <w:sz w:val="24"/>
        </w:rPr>
        <w:t>F. oxysporum</w:t>
      </w:r>
      <w:r w:rsidRPr="00575F97">
        <w:rPr>
          <w:color w:val="000000"/>
          <w:sz w:val="24"/>
        </w:rPr>
        <w:t xml:space="preserve"> are bamboo disease fungi that cause leaf spot or culm rot</w:t>
      </w:r>
      <w:r w:rsidR="004404B1">
        <w:rPr>
          <w:color w:val="000000"/>
          <w:sz w:val="24"/>
        </w:rPr>
        <w:t xml:space="preserve"> </w:t>
      </w:r>
      <w:r w:rsidR="00907E03">
        <w:rPr>
          <w:color w:val="000000"/>
          <w:sz w:val="24"/>
        </w:rPr>
        <w:t>[18]</w:t>
      </w:r>
      <w:r w:rsidRPr="00575F97">
        <w:rPr>
          <w:color w:val="000000"/>
          <w:sz w:val="24"/>
        </w:rPr>
        <w:t>. After cultivation, the phytopathogens were transferred to new Malt Extract Agar media (2% malt extract (</w:t>
      </w:r>
      <w:proofErr w:type="spellStart"/>
      <w:r w:rsidRPr="00575F97">
        <w:rPr>
          <w:color w:val="000000"/>
          <w:sz w:val="24"/>
        </w:rPr>
        <w:t>Difco</w:t>
      </w:r>
      <w:proofErr w:type="spellEnd"/>
      <w:r w:rsidRPr="00575F97">
        <w:rPr>
          <w:color w:val="000000"/>
          <w:sz w:val="24"/>
        </w:rPr>
        <w:t xml:space="preserve">, MI, USA) and 1.5% </w:t>
      </w:r>
      <w:proofErr w:type="spellStart"/>
      <w:r w:rsidRPr="00575F97">
        <w:rPr>
          <w:color w:val="000000"/>
          <w:sz w:val="24"/>
        </w:rPr>
        <w:t>Bacto</w:t>
      </w:r>
      <w:proofErr w:type="spellEnd"/>
      <w:r w:rsidRPr="00575F97">
        <w:rPr>
          <w:color w:val="000000"/>
          <w:sz w:val="24"/>
        </w:rPr>
        <w:t xml:space="preserve"> agar (</w:t>
      </w:r>
      <w:proofErr w:type="spellStart"/>
      <w:r w:rsidRPr="00575F97">
        <w:rPr>
          <w:color w:val="000000"/>
          <w:sz w:val="24"/>
        </w:rPr>
        <w:t>Difco</w:t>
      </w:r>
      <w:proofErr w:type="spellEnd"/>
      <w:r w:rsidRPr="00575F97">
        <w:rPr>
          <w:color w:val="000000"/>
          <w:sz w:val="24"/>
        </w:rPr>
        <w:t>), and the fungal extract (2.5 mg/mL concentration, 10 µL volume) was inoculated beside the phytopathogens. After 48 h of cultivation at room temperature, the growth inhibition of the pathogens was determined.</w:t>
      </w:r>
    </w:p>
    <w:p w14:paraId="516A9333" w14:textId="77777777" w:rsidR="009221A4" w:rsidRPr="00575F97" w:rsidRDefault="009221A4">
      <w:pPr>
        <w:widowControl/>
        <w:tabs>
          <w:tab w:val="left" w:pos="284"/>
          <w:tab w:val="right" w:pos="6235"/>
        </w:tabs>
        <w:spacing w:after="0" w:line="360" w:lineRule="auto"/>
        <w:ind w:firstLine="240"/>
        <w:rPr>
          <w:color w:val="000000"/>
          <w:sz w:val="24"/>
        </w:rPr>
      </w:pPr>
    </w:p>
    <w:p w14:paraId="009DE752" w14:textId="77777777" w:rsidR="009221A4" w:rsidRPr="00575F97" w:rsidRDefault="00177BE1">
      <w:pPr>
        <w:widowControl/>
        <w:tabs>
          <w:tab w:val="right" w:pos="6235"/>
        </w:tabs>
        <w:spacing w:after="0" w:line="360" w:lineRule="auto"/>
        <w:rPr>
          <w:color w:val="000000"/>
          <w:sz w:val="24"/>
        </w:rPr>
      </w:pPr>
      <w:r w:rsidRPr="00575F97">
        <w:rPr>
          <w:b/>
          <w:color w:val="000000"/>
          <w:sz w:val="24"/>
        </w:rPr>
        <w:t>Analysis of plant hormone production</w:t>
      </w:r>
    </w:p>
    <w:p w14:paraId="44BFD575" w14:textId="652EB784"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To evaluate IAA production, strains were cultured in </w:t>
      </w:r>
      <w:proofErr w:type="spellStart"/>
      <w:r w:rsidRPr="00575F97">
        <w:rPr>
          <w:color w:val="000000"/>
          <w:sz w:val="24"/>
        </w:rPr>
        <w:t>Czapek</w:t>
      </w:r>
      <w:proofErr w:type="spellEnd"/>
      <w:r w:rsidRPr="00575F97">
        <w:rPr>
          <w:color w:val="000000"/>
          <w:sz w:val="24"/>
        </w:rPr>
        <w:t xml:space="preserve"> broth media (0.05% potassium chloride (</w:t>
      </w:r>
      <w:proofErr w:type="spellStart"/>
      <w:r w:rsidRPr="00575F97">
        <w:rPr>
          <w:color w:val="000000"/>
          <w:sz w:val="24"/>
        </w:rPr>
        <w:t>Yakuri</w:t>
      </w:r>
      <w:proofErr w:type="spellEnd"/>
      <w:r w:rsidRPr="00575F97">
        <w:rPr>
          <w:color w:val="000000"/>
          <w:sz w:val="24"/>
        </w:rPr>
        <w:t xml:space="preserve"> Pure Chemicals, Kyoto, Japan), 1% dextrose (</w:t>
      </w:r>
      <w:proofErr w:type="spellStart"/>
      <w:r w:rsidRPr="00575F97">
        <w:rPr>
          <w:color w:val="000000"/>
          <w:sz w:val="24"/>
        </w:rPr>
        <w:t>Difco</w:t>
      </w:r>
      <w:proofErr w:type="spellEnd"/>
      <w:r w:rsidRPr="00575F97">
        <w:rPr>
          <w:color w:val="000000"/>
          <w:sz w:val="24"/>
        </w:rPr>
        <w:t>), 0.05% magnesium sulfate (</w:t>
      </w:r>
      <w:proofErr w:type="spellStart"/>
      <w:r w:rsidRPr="00575F97">
        <w:rPr>
          <w:color w:val="000000"/>
          <w:sz w:val="24"/>
        </w:rPr>
        <w:t>Shinyo</w:t>
      </w:r>
      <w:proofErr w:type="spellEnd"/>
      <w:r w:rsidRPr="00575F97">
        <w:rPr>
          <w:color w:val="000000"/>
          <w:sz w:val="24"/>
        </w:rPr>
        <w:t xml:space="preserve"> Pure Chemicals Co., Ltd., Osaka, Japan), 1% </w:t>
      </w:r>
      <w:proofErr w:type="spellStart"/>
      <w:r w:rsidRPr="00575F97">
        <w:rPr>
          <w:color w:val="000000"/>
          <w:sz w:val="24"/>
        </w:rPr>
        <w:t>Bacto</w:t>
      </w:r>
      <w:proofErr w:type="spellEnd"/>
      <w:r w:rsidRPr="00575F97">
        <w:rPr>
          <w:color w:val="000000"/>
          <w:sz w:val="24"/>
        </w:rPr>
        <w:t xml:space="preserve"> Peptone (</w:t>
      </w:r>
      <w:proofErr w:type="spellStart"/>
      <w:r w:rsidRPr="00575F97">
        <w:rPr>
          <w:color w:val="000000"/>
          <w:sz w:val="24"/>
        </w:rPr>
        <w:t>Difco</w:t>
      </w:r>
      <w:proofErr w:type="spellEnd"/>
      <w:r w:rsidRPr="00575F97">
        <w:rPr>
          <w:color w:val="000000"/>
          <w:sz w:val="24"/>
        </w:rPr>
        <w:t xml:space="preserve">), and 0.001% Ferrous sulfate heptahydrate (Showa Denko KK, Tokyo, Japan; pH 7.0 ± 0.2) with L-tryptophan (Sigma-Aldrich; 1 mg/mL) at 25°C for 7 days under darkness in a shaking incubator at 120 rpm. After cultivation, the culture supernatants were mixed with two volumes of EtOAc for extraction. The extracts were dissolved to 1 mg/mL </w:t>
      </w:r>
      <w:r w:rsidR="00B336FD" w:rsidRPr="00575F97">
        <w:rPr>
          <w:color w:val="000000"/>
          <w:sz w:val="24"/>
        </w:rPr>
        <w:t>in</w:t>
      </w:r>
      <w:r w:rsidRPr="00575F97">
        <w:rPr>
          <w:color w:val="000000"/>
          <w:sz w:val="24"/>
        </w:rPr>
        <w:t xml:space="preserve"> methanol and then stored at –20°C.</w:t>
      </w:r>
    </w:p>
    <w:p w14:paraId="0E6CCAD7" w14:textId="77777777" w:rsidR="009221A4" w:rsidRPr="00575F97" w:rsidRDefault="009221A4">
      <w:pPr>
        <w:widowControl/>
        <w:tabs>
          <w:tab w:val="left" w:pos="284"/>
          <w:tab w:val="right" w:pos="6235"/>
        </w:tabs>
        <w:spacing w:after="0" w:line="360" w:lineRule="auto"/>
        <w:rPr>
          <w:color w:val="000000"/>
          <w:sz w:val="24"/>
        </w:rPr>
      </w:pPr>
    </w:p>
    <w:p w14:paraId="7EAE572B" w14:textId="4C433E5C"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To evaluate the production of (S)-(+)-Abscisic Acid (ABA) and Gibberellic Acid A3 (GA), the prepared </w:t>
      </w:r>
      <w:r w:rsidRPr="00575F97">
        <w:rPr>
          <w:i/>
          <w:color w:val="000000"/>
          <w:sz w:val="24"/>
        </w:rPr>
        <w:t>Apiospora</w:t>
      </w:r>
      <w:r w:rsidRPr="00575F97">
        <w:rPr>
          <w:color w:val="000000"/>
          <w:sz w:val="24"/>
        </w:rPr>
        <w:t xml:space="preserve"> extracts were used as described above. The fungal extracts and three </w:t>
      </w:r>
      <w:r w:rsidRPr="00575F97">
        <w:rPr>
          <w:color w:val="000000"/>
          <w:sz w:val="24"/>
        </w:rPr>
        <w:lastRenderedPageBreak/>
        <w:t xml:space="preserve">standard compounds, including IAA (Sigma-Aldrich), ABA (Tokyo Chemical Industry Co., Tokyo, Japan), and GA (RPI, Chicago, IL, USA), were analyzed using liquid chromatography with tandem mass spectrometry (LC MS/MS) with the Thermo Scientific™ Vanquish™ HPLC system (Thermo Fisher Scientific, Waltham, MA, U.S.) coupled to an Orbitrap </w:t>
      </w:r>
      <w:proofErr w:type="spellStart"/>
      <w:r w:rsidRPr="00575F97">
        <w:rPr>
          <w:color w:val="000000"/>
          <w:sz w:val="24"/>
        </w:rPr>
        <w:t>Exploris</w:t>
      </w:r>
      <w:proofErr w:type="spellEnd"/>
      <w:r w:rsidRPr="00575F97">
        <w:rPr>
          <w:color w:val="000000"/>
          <w:sz w:val="24"/>
        </w:rPr>
        <w:t xml:space="preserve"> 120 mass spectrometer (Thermo Fisher Scientific), which was equipped with an electrospray ionization interface (ESI). A YMC </w:t>
      </w:r>
      <w:proofErr w:type="spellStart"/>
      <w:r w:rsidRPr="00575F97">
        <w:rPr>
          <w:color w:val="000000"/>
          <w:sz w:val="24"/>
        </w:rPr>
        <w:t>Triart</w:t>
      </w:r>
      <w:proofErr w:type="spellEnd"/>
      <w:r w:rsidRPr="00575F97">
        <w:rPr>
          <w:color w:val="000000"/>
          <w:sz w:val="24"/>
        </w:rPr>
        <w:t xml:space="preserve"> C18 (2.1 × 100 mm, 1.9 </w:t>
      </w:r>
      <w:proofErr w:type="spellStart"/>
      <w:r w:rsidRPr="00575F97">
        <w:rPr>
          <w:color w:val="000000"/>
          <w:sz w:val="24"/>
        </w:rPr>
        <w:t>μm</w:t>
      </w:r>
      <w:proofErr w:type="spellEnd"/>
      <w:r w:rsidRPr="00575F97">
        <w:rPr>
          <w:color w:val="000000"/>
          <w:sz w:val="24"/>
        </w:rPr>
        <w:t xml:space="preserve">) was used. H2O (A) and </w:t>
      </w:r>
      <w:proofErr w:type="spellStart"/>
      <w:r w:rsidRPr="00575F97">
        <w:rPr>
          <w:color w:val="000000"/>
          <w:sz w:val="24"/>
        </w:rPr>
        <w:t>MeCN</w:t>
      </w:r>
      <w:proofErr w:type="spellEnd"/>
      <w:r w:rsidRPr="00575F97">
        <w:rPr>
          <w:color w:val="000000"/>
          <w:sz w:val="24"/>
        </w:rPr>
        <w:t xml:space="preserve"> (B) were eluted at a flow rate of 0.3 mL/min with a linear gradient of 20%–100% B (0–7 min). In addition, the ESI conditions were set </w:t>
      </w:r>
      <w:r w:rsidR="004029AC" w:rsidRPr="00575F97">
        <w:rPr>
          <w:color w:val="000000"/>
          <w:sz w:val="24"/>
        </w:rPr>
        <w:t>as follows:</w:t>
      </w:r>
      <w:r w:rsidRPr="00575F97">
        <w:rPr>
          <w:color w:val="000000"/>
          <w:sz w:val="24"/>
        </w:rPr>
        <w:t xml:space="preserve"> capillary temperature of 275°C, capillary voltage of 35.0 V, spray voltage of 3.5 kV and sheath gas flow rate of 50.0 arb. The acquired data file was exported </w:t>
      </w:r>
      <w:proofErr w:type="gramStart"/>
      <w:r w:rsidRPr="00575F97">
        <w:rPr>
          <w:color w:val="000000"/>
          <w:sz w:val="24"/>
        </w:rPr>
        <w:t>in .</w:t>
      </w:r>
      <w:proofErr w:type="spellStart"/>
      <w:r w:rsidRPr="00575F97">
        <w:rPr>
          <w:color w:val="000000"/>
          <w:sz w:val="24"/>
        </w:rPr>
        <w:t>mzXML</w:t>
      </w:r>
      <w:proofErr w:type="spellEnd"/>
      <w:proofErr w:type="gramEnd"/>
      <w:r w:rsidRPr="00575F97">
        <w:rPr>
          <w:color w:val="000000"/>
          <w:sz w:val="24"/>
        </w:rPr>
        <w:t xml:space="preserve"> format by the application of MS-convert software, which is part of the </w:t>
      </w:r>
      <w:proofErr w:type="spellStart"/>
      <w:r w:rsidRPr="00575F97">
        <w:rPr>
          <w:color w:val="000000"/>
          <w:sz w:val="24"/>
        </w:rPr>
        <w:t>ProteoWizard</w:t>
      </w:r>
      <w:proofErr w:type="spellEnd"/>
      <w:r w:rsidRPr="00575F97">
        <w:rPr>
          <w:color w:val="000000"/>
          <w:sz w:val="24"/>
        </w:rPr>
        <w:t xml:space="preserve"> package. The molecular networks were generated using Global Natural Products Social Molecular Networking (http://gnps.ucsd.edu). The parameters were set as follows: product ion tolerance of 0.02 Da, precursor-ion mass tolerance of 0.2 Da, and fragment ions below six counts were removed from the MS/MS spectra. The molecular networks were generated using four minimum matched peaks and a cosine score of 0.65. The results were visualized using Cytoscape 3.7.2 software.</w:t>
      </w:r>
    </w:p>
    <w:p w14:paraId="01530E40" w14:textId="77777777" w:rsidR="009221A4" w:rsidRPr="00575F97" w:rsidRDefault="009221A4">
      <w:pPr>
        <w:widowControl/>
        <w:tabs>
          <w:tab w:val="left" w:pos="284"/>
          <w:tab w:val="right" w:pos="6235"/>
        </w:tabs>
        <w:spacing w:after="0" w:line="360" w:lineRule="auto"/>
        <w:rPr>
          <w:color w:val="000000"/>
          <w:sz w:val="24"/>
        </w:rPr>
      </w:pPr>
    </w:p>
    <w:p w14:paraId="6A5669DD" w14:textId="77777777" w:rsidR="009221A4" w:rsidRPr="00575F97" w:rsidRDefault="00177BE1">
      <w:pPr>
        <w:widowControl/>
        <w:tabs>
          <w:tab w:val="left" w:pos="284"/>
          <w:tab w:val="right" w:pos="6235"/>
        </w:tabs>
        <w:spacing w:after="0" w:line="360" w:lineRule="auto"/>
        <w:rPr>
          <w:b/>
          <w:color w:val="000000"/>
          <w:sz w:val="28"/>
        </w:rPr>
      </w:pPr>
      <w:r w:rsidRPr="00575F97">
        <w:rPr>
          <w:b/>
          <w:color w:val="000000"/>
          <w:sz w:val="28"/>
        </w:rPr>
        <w:t xml:space="preserve">Whole genome analysis of major bambusicolous </w:t>
      </w:r>
      <w:r w:rsidRPr="00575F97">
        <w:rPr>
          <w:b/>
          <w:i/>
          <w:color w:val="000000"/>
          <w:sz w:val="28"/>
        </w:rPr>
        <w:t>Apiospora</w:t>
      </w:r>
    </w:p>
    <w:p w14:paraId="10284178" w14:textId="77777777" w:rsidR="009221A4" w:rsidRPr="00575F97" w:rsidRDefault="009221A4">
      <w:pPr>
        <w:widowControl/>
        <w:tabs>
          <w:tab w:val="left" w:pos="45"/>
          <w:tab w:val="right" w:pos="6235"/>
        </w:tabs>
        <w:spacing w:after="0" w:line="360" w:lineRule="auto"/>
        <w:rPr>
          <w:b/>
          <w:color w:val="000000"/>
          <w:sz w:val="24"/>
        </w:rPr>
      </w:pPr>
    </w:p>
    <w:p w14:paraId="73645309" w14:textId="77777777" w:rsidR="009221A4" w:rsidRPr="00575F97" w:rsidRDefault="00177BE1">
      <w:pPr>
        <w:widowControl/>
        <w:tabs>
          <w:tab w:val="left" w:pos="45"/>
          <w:tab w:val="right" w:pos="6235"/>
        </w:tabs>
        <w:spacing w:after="0" w:line="360" w:lineRule="auto"/>
        <w:rPr>
          <w:b/>
          <w:color w:val="000000"/>
          <w:sz w:val="24"/>
        </w:rPr>
      </w:pPr>
      <w:bookmarkStart w:id="0" w:name="_Hlk189065918"/>
      <w:bookmarkEnd w:id="0"/>
      <w:r w:rsidRPr="00575F97">
        <w:rPr>
          <w:b/>
          <w:i/>
          <w:color w:val="000000"/>
          <w:sz w:val="24"/>
        </w:rPr>
        <w:t>Apiospora</w:t>
      </w:r>
      <w:r w:rsidRPr="00575F97">
        <w:rPr>
          <w:b/>
          <w:color w:val="000000"/>
          <w:sz w:val="24"/>
        </w:rPr>
        <w:t xml:space="preserve"> culture and genomic DNA extraction</w:t>
      </w:r>
    </w:p>
    <w:p w14:paraId="6AD2742E" w14:textId="66AA2A85"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Genomic analysis was conducted with a major bambusicolous </w:t>
      </w:r>
      <w:r w:rsidRPr="00575F97">
        <w:rPr>
          <w:i/>
          <w:color w:val="000000"/>
          <w:sz w:val="24"/>
        </w:rPr>
        <w:t>Apiospora</w:t>
      </w:r>
      <w:r w:rsidRPr="00575F97">
        <w:rPr>
          <w:color w:val="000000"/>
          <w:sz w:val="24"/>
        </w:rPr>
        <w:t xml:space="preserve"> strain selected based on microbiome and biological activity analyses to investigate the genomic features of this endophytic species. A bambusicolous </w:t>
      </w:r>
      <w:r w:rsidRPr="00575F97">
        <w:rPr>
          <w:i/>
          <w:color w:val="000000"/>
          <w:sz w:val="24"/>
        </w:rPr>
        <w:t xml:space="preserve">Apiospora </w:t>
      </w:r>
      <w:r w:rsidRPr="00575F97">
        <w:rPr>
          <w:color w:val="000000"/>
          <w:sz w:val="24"/>
        </w:rPr>
        <w:t>strain was grown in 500 mL of potato dextrose broth medium for 7 days at 25°C in the dark. DNA was extracted using the cetyltrimethylammonium bromide method with some modifications</w:t>
      </w:r>
      <w:r w:rsidR="004404B1">
        <w:rPr>
          <w:color w:val="000000"/>
          <w:sz w:val="24"/>
        </w:rPr>
        <w:t xml:space="preserve"> </w:t>
      </w:r>
      <w:r w:rsidR="00907E03">
        <w:rPr>
          <w:color w:val="000000"/>
          <w:sz w:val="24"/>
        </w:rPr>
        <w:t>[19]</w:t>
      </w:r>
      <w:r w:rsidRPr="00575F97">
        <w:rPr>
          <w:color w:val="000000"/>
          <w:sz w:val="24"/>
        </w:rPr>
        <w:t>. The quality of the DNA was assessed using an Agilent 2100 Bioanalyzer (Agilent Technologies, Palo Alto, CA, United States) with a DNA 1000 chip.</w:t>
      </w:r>
    </w:p>
    <w:p w14:paraId="3022CAC2" w14:textId="77777777" w:rsidR="009221A4" w:rsidRPr="00575F97" w:rsidRDefault="009221A4">
      <w:pPr>
        <w:widowControl/>
        <w:tabs>
          <w:tab w:val="left" w:pos="284"/>
          <w:tab w:val="right" w:pos="6235"/>
        </w:tabs>
        <w:spacing w:after="0" w:line="360" w:lineRule="auto"/>
        <w:ind w:firstLine="240"/>
        <w:rPr>
          <w:color w:val="000000"/>
          <w:sz w:val="24"/>
        </w:rPr>
      </w:pPr>
    </w:p>
    <w:p w14:paraId="41C92E79" w14:textId="77777777" w:rsidR="009221A4" w:rsidRPr="00575F97" w:rsidRDefault="00177BE1">
      <w:pPr>
        <w:widowControl/>
        <w:tabs>
          <w:tab w:val="left" w:pos="45"/>
          <w:tab w:val="right" w:pos="6235"/>
        </w:tabs>
        <w:spacing w:after="0" w:line="360" w:lineRule="auto"/>
        <w:rPr>
          <w:b/>
          <w:color w:val="000000"/>
          <w:sz w:val="24"/>
        </w:rPr>
      </w:pPr>
      <w:r w:rsidRPr="00575F97">
        <w:rPr>
          <w:b/>
          <w:color w:val="000000"/>
          <w:sz w:val="24"/>
        </w:rPr>
        <w:t>Library construction and whole genome sequencing (WGS)</w:t>
      </w:r>
    </w:p>
    <w:p w14:paraId="5E08A20F" w14:textId="1E2CB141" w:rsidR="009221A4" w:rsidRPr="00575F97" w:rsidRDefault="00177BE1">
      <w:pPr>
        <w:widowControl/>
        <w:tabs>
          <w:tab w:val="left" w:pos="284"/>
          <w:tab w:val="right" w:pos="6235"/>
        </w:tabs>
        <w:spacing w:after="0" w:line="360" w:lineRule="auto"/>
        <w:rPr>
          <w:color w:val="000000"/>
          <w:sz w:val="24"/>
        </w:rPr>
      </w:pPr>
      <w:r w:rsidRPr="00575F97">
        <w:rPr>
          <w:color w:val="000000"/>
          <w:sz w:val="24"/>
        </w:rPr>
        <w:t>A DNA library with approximately 20-kb fragment sizes was constructed, and WGS was performed using the PacBio Sequel and NovaSeq6000 platforms at Macrogen Co., Ltd. (Seoul, Korea). Meanwhile, a single</w:t>
      </w:r>
      <w:r w:rsidR="004029AC" w:rsidRPr="00575F97">
        <w:rPr>
          <w:color w:val="000000"/>
          <w:sz w:val="24"/>
        </w:rPr>
        <w:t>-</w:t>
      </w:r>
      <w:r w:rsidRPr="00575F97">
        <w:rPr>
          <w:color w:val="000000"/>
          <w:sz w:val="24"/>
        </w:rPr>
        <w:t xml:space="preserve">molecule real-time (SMRT) library was constructed and sequenced with a single SMRT cell. PacBio ccs 6.4.0 </w:t>
      </w:r>
      <w:r w:rsidRPr="00575F97">
        <w:rPr>
          <w:color w:val="000000"/>
          <w:sz w:val="24"/>
        </w:rPr>
        <w:lastRenderedPageBreak/>
        <w:t>(https://github.com/PacificBiosciences/ccs) with the min-passes = 0 and min-rq = 0 options used to solve potential HiFi reads</w:t>
      </w:r>
      <w:r w:rsidR="004029AC" w:rsidRPr="00575F97">
        <w:rPr>
          <w:color w:val="000000"/>
          <w:sz w:val="24"/>
        </w:rPr>
        <w:t>,</w:t>
      </w:r>
      <w:r w:rsidRPr="00575F97">
        <w:rPr>
          <w:color w:val="000000"/>
          <w:sz w:val="24"/>
        </w:rPr>
        <w:t xml:space="preserve"> wh</w:t>
      </w:r>
      <w:r w:rsidR="004029AC" w:rsidRPr="00575F97">
        <w:rPr>
          <w:color w:val="000000"/>
          <w:sz w:val="24"/>
        </w:rPr>
        <w:t>ereas</w:t>
      </w:r>
      <w:r w:rsidRPr="00575F97">
        <w:rPr>
          <w:color w:val="000000"/>
          <w:sz w:val="24"/>
        </w:rPr>
        <w:t xml:space="preserve"> the HiFiAdapterFilt 2.0.1 was used to remove remnant adapter sequences</w:t>
      </w:r>
      <w:r w:rsidR="004404B1">
        <w:rPr>
          <w:color w:val="000000"/>
          <w:sz w:val="24"/>
        </w:rPr>
        <w:t xml:space="preserve"> </w:t>
      </w:r>
      <w:r w:rsidR="00907E03">
        <w:rPr>
          <w:color w:val="000000"/>
          <w:sz w:val="24"/>
        </w:rPr>
        <w:t>[20]</w:t>
      </w:r>
      <w:r w:rsidRPr="00575F97">
        <w:rPr>
          <w:color w:val="000000"/>
          <w:sz w:val="24"/>
        </w:rPr>
        <w:t xml:space="preserve">. </w:t>
      </w:r>
      <w:r w:rsidRPr="00575F97">
        <w:rPr>
          <w:i/>
          <w:color w:val="000000"/>
          <w:sz w:val="24"/>
        </w:rPr>
        <w:t>De novo</w:t>
      </w:r>
      <w:r w:rsidRPr="00575F97">
        <w:rPr>
          <w:color w:val="000000"/>
          <w:sz w:val="24"/>
        </w:rPr>
        <w:t xml:space="preserve"> assembly was performed using Flye 2.9.2</w:t>
      </w:r>
      <w:r w:rsidR="004404B1">
        <w:rPr>
          <w:color w:val="000000"/>
          <w:sz w:val="24"/>
        </w:rPr>
        <w:t xml:space="preserve"> </w:t>
      </w:r>
      <w:r w:rsidR="00907E03">
        <w:rPr>
          <w:color w:val="000000"/>
          <w:sz w:val="24"/>
        </w:rPr>
        <w:t>[21]</w:t>
      </w:r>
      <w:r w:rsidRPr="00575F97">
        <w:rPr>
          <w:color w:val="000000"/>
          <w:sz w:val="24"/>
        </w:rPr>
        <w:t xml:space="preserve">. For NovaSeq, Illumina sequencing was performed using a 150×2 bp paired-end system. Quality filtering and adapter trimming for Illumina reads were performed with </w:t>
      </w:r>
      <w:proofErr w:type="spellStart"/>
      <w:r w:rsidRPr="00575F97">
        <w:rPr>
          <w:color w:val="000000"/>
          <w:sz w:val="24"/>
        </w:rPr>
        <w:t>fastp</w:t>
      </w:r>
      <w:proofErr w:type="spellEnd"/>
      <w:r w:rsidRPr="00575F97">
        <w:rPr>
          <w:color w:val="000000"/>
          <w:sz w:val="24"/>
        </w:rPr>
        <w:t xml:space="preserve"> 0.23.2</w:t>
      </w:r>
      <w:r w:rsidR="004404B1">
        <w:rPr>
          <w:color w:val="000000"/>
          <w:sz w:val="24"/>
        </w:rPr>
        <w:t xml:space="preserve"> </w:t>
      </w:r>
      <w:r w:rsidR="00907E03">
        <w:rPr>
          <w:color w:val="000000"/>
          <w:sz w:val="24"/>
        </w:rPr>
        <w:t>[22]</w:t>
      </w:r>
      <w:r w:rsidRPr="00575F97">
        <w:rPr>
          <w:color w:val="000000"/>
          <w:sz w:val="24"/>
        </w:rPr>
        <w:t xml:space="preserve">. Polishing with Illumina reads was performed with four rounds of Racon 1.5.0 and another four rounds of </w:t>
      </w:r>
      <w:proofErr w:type="spellStart"/>
      <w:r w:rsidRPr="00575F97">
        <w:rPr>
          <w:color w:val="000000"/>
          <w:sz w:val="24"/>
        </w:rPr>
        <w:t>Hapo</w:t>
      </w:r>
      <w:proofErr w:type="spellEnd"/>
      <w:r w:rsidRPr="00575F97">
        <w:rPr>
          <w:color w:val="000000"/>
          <w:sz w:val="24"/>
        </w:rPr>
        <w:t>-G 1.3.1</w:t>
      </w:r>
      <w:r w:rsidR="004404B1">
        <w:rPr>
          <w:color w:val="000000"/>
          <w:sz w:val="24"/>
        </w:rPr>
        <w:t xml:space="preserve"> </w:t>
      </w:r>
      <w:r w:rsidR="00907E03">
        <w:rPr>
          <w:color w:val="000000"/>
          <w:sz w:val="24"/>
        </w:rPr>
        <w:t>[23, 24]</w:t>
      </w:r>
      <w:r w:rsidRPr="00575F97">
        <w:rPr>
          <w:color w:val="000000"/>
          <w:sz w:val="24"/>
        </w:rPr>
        <w:t>. Assembled genomes were inspected with Tapestry 1.0.0, and contigs with low depth were considered contaminant contigs and were manually removed</w:t>
      </w:r>
      <w:r w:rsidR="004404B1">
        <w:rPr>
          <w:color w:val="000000"/>
          <w:sz w:val="24"/>
        </w:rPr>
        <w:t xml:space="preserve"> </w:t>
      </w:r>
      <w:r w:rsidR="00907E03">
        <w:rPr>
          <w:color w:val="000000"/>
          <w:sz w:val="24"/>
        </w:rPr>
        <w:t>[25]</w:t>
      </w:r>
      <w:r w:rsidRPr="00575F97">
        <w:rPr>
          <w:color w:val="000000"/>
          <w:sz w:val="24"/>
        </w:rPr>
        <w:t>.</w:t>
      </w:r>
    </w:p>
    <w:p w14:paraId="631884BB" w14:textId="77777777" w:rsidR="009221A4" w:rsidRPr="00575F97" w:rsidRDefault="009221A4">
      <w:pPr>
        <w:widowControl/>
        <w:tabs>
          <w:tab w:val="left" w:pos="284"/>
          <w:tab w:val="right" w:pos="6235"/>
        </w:tabs>
        <w:spacing w:after="0" w:line="360" w:lineRule="auto"/>
        <w:ind w:firstLine="240"/>
        <w:rPr>
          <w:color w:val="000000"/>
          <w:sz w:val="24"/>
        </w:rPr>
      </w:pPr>
    </w:p>
    <w:p w14:paraId="3EA8DD4A" w14:textId="77777777" w:rsidR="009221A4" w:rsidRPr="00575F97" w:rsidRDefault="00177BE1">
      <w:pPr>
        <w:widowControl/>
        <w:tabs>
          <w:tab w:val="left" w:pos="45"/>
          <w:tab w:val="right" w:pos="6235"/>
        </w:tabs>
        <w:spacing w:after="0" w:line="360" w:lineRule="auto"/>
        <w:rPr>
          <w:b/>
          <w:color w:val="000000"/>
          <w:sz w:val="24"/>
        </w:rPr>
      </w:pPr>
      <w:r w:rsidRPr="00575F97">
        <w:rPr>
          <w:b/>
          <w:color w:val="000000"/>
          <w:sz w:val="24"/>
        </w:rPr>
        <w:t xml:space="preserve">Genome annotation </w:t>
      </w:r>
    </w:p>
    <w:p w14:paraId="6F3E342D" w14:textId="1C78A54A" w:rsidR="009221A4" w:rsidRPr="00575F97" w:rsidRDefault="00177BE1">
      <w:pPr>
        <w:widowControl/>
        <w:tabs>
          <w:tab w:val="left" w:pos="284"/>
          <w:tab w:val="right" w:pos="6235"/>
        </w:tabs>
        <w:spacing w:after="0" w:line="360" w:lineRule="auto"/>
        <w:rPr>
          <w:color w:val="000000"/>
          <w:sz w:val="24"/>
        </w:rPr>
      </w:pPr>
      <w:r w:rsidRPr="00575F97">
        <w:rPr>
          <w:color w:val="000000"/>
          <w:sz w:val="24"/>
        </w:rPr>
        <w:t>The mitochondrial genome was remove</w:t>
      </w:r>
      <w:r w:rsidR="00514AA4" w:rsidRPr="00575F97">
        <w:rPr>
          <w:color w:val="000000"/>
          <w:sz w:val="24"/>
        </w:rPr>
        <w:t>d</w:t>
      </w:r>
      <w:r w:rsidRPr="00575F97">
        <w:rPr>
          <w:color w:val="000000"/>
          <w:sz w:val="24"/>
        </w:rPr>
        <w:t xml:space="preserve"> manually. Repeats were modeled and masked for nuclear genomes using </w:t>
      </w:r>
      <w:proofErr w:type="spellStart"/>
      <w:r w:rsidRPr="00575F97">
        <w:rPr>
          <w:color w:val="000000"/>
          <w:sz w:val="24"/>
        </w:rPr>
        <w:t>RepeatModeler</w:t>
      </w:r>
      <w:proofErr w:type="spellEnd"/>
      <w:r w:rsidRPr="00575F97">
        <w:rPr>
          <w:color w:val="000000"/>
          <w:sz w:val="24"/>
        </w:rPr>
        <w:t xml:space="preserve"> v2.0.3 and </w:t>
      </w:r>
      <w:proofErr w:type="spellStart"/>
      <w:r w:rsidRPr="00575F97">
        <w:rPr>
          <w:color w:val="000000"/>
          <w:sz w:val="24"/>
        </w:rPr>
        <w:t>RepeatMasker</w:t>
      </w:r>
      <w:proofErr w:type="spellEnd"/>
      <w:r w:rsidRPr="00575F97">
        <w:rPr>
          <w:color w:val="000000"/>
          <w:sz w:val="24"/>
        </w:rPr>
        <w:t xml:space="preserve"> v4.1.2</w:t>
      </w:r>
      <w:r w:rsidR="004404B1">
        <w:rPr>
          <w:color w:val="000000"/>
          <w:sz w:val="24"/>
        </w:rPr>
        <w:t xml:space="preserve"> </w:t>
      </w:r>
      <w:r w:rsidR="00907E03">
        <w:rPr>
          <w:color w:val="000000"/>
          <w:sz w:val="24"/>
        </w:rPr>
        <w:t>[26, 27]</w:t>
      </w:r>
      <w:r w:rsidRPr="00575F97">
        <w:rPr>
          <w:color w:val="000000"/>
          <w:sz w:val="24"/>
        </w:rPr>
        <w:t>. Ab initio annotations on masked genomes were performed using BRAKER2 with the odb10v1 database fungus option</w:t>
      </w:r>
      <w:r w:rsidR="004404B1">
        <w:rPr>
          <w:color w:val="000000"/>
          <w:sz w:val="24"/>
        </w:rPr>
        <w:t xml:space="preserve"> </w:t>
      </w:r>
      <w:r w:rsidR="00907E03">
        <w:rPr>
          <w:color w:val="000000"/>
          <w:sz w:val="24"/>
        </w:rPr>
        <w:t>[28]</w:t>
      </w:r>
      <w:r w:rsidRPr="00575F97">
        <w:rPr>
          <w:color w:val="000000"/>
          <w:sz w:val="24"/>
        </w:rPr>
        <w:t xml:space="preserve">. Homolog-based gene prediction was performed with </w:t>
      </w:r>
      <w:proofErr w:type="spellStart"/>
      <w:r w:rsidRPr="00575F97">
        <w:rPr>
          <w:color w:val="000000"/>
          <w:sz w:val="24"/>
        </w:rPr>
        <w:t>GeMoMa</w:t>
      </w:r>
      <w:proofErr w:type="spellEnd"/>
      <w:r w:rsidRPr="00575F97">
        <w:rPr>
          <w:color w:val="000000"/>
          <w:sz w:val="24"/>
        </w:rPr>
        <w:t xml:space="preserve"> 1.7.1, using model annotation of </w:t>
      </w:r>
      <w:r w:rsidRPr="00575F97">
        <w:rPr>
          <w:i/>
          <w:color w:val="000000"/>
          <w:sz w:val="24"/>
        </w:rPr>
        <w:t>Apiospora koreana</w:t>
      </w:r>
      <w:r w:rsidRPr="00575F97">
        <w:rPr>
          <w:color w:val="000000"/>
          <w:sz w:val="24"/>
        </w:rPr>
        <w:t xml:space="preserve"> KUC21332</w:t>
      </w:r>
      <w:r w:rsidR="004404B1">
        <w:rPr>
          <w:color w:val="000000"/>
          <w:sz w:val="24"/>
        </w:rPr>
        <w:t xml:space="preserve"> </w:t>
      </w:r>
      <w:r w:rsidR="00907E03">
        <w:rPr>
          <w:color w:val="000000"/>
          <w:sz w:val="24"/>
        </w:rPr>
        <w:t>[29]</w:t>
      </w:r>
      <w:r w:rsidRPr="00575F97">
        <w:rPr>
          <w:color w:val="000000"/>
          <w:sz w:val="24"/>
        </w:rPr>
        <w:t xml:space="preserve">. The structural annotations obtained by both methods were merged with the GAF function of </w:t>
      </w:r>
      <w:proofErr w:type="spellStart"/>
      <w:r w:rsidRPr="00575F97">
        <w:rPr>
          <w:color w:val="000000"/>
          <w:sz w:val="24"/>
        </w:rPr>
        <w:t>GeMoMa</w:t>
      </w:r>
      <w:proofErr w:type="spellEnd"/>
      <w:r w:rsidRPr="00575F97">
        <w:rPr>
          <w:color w:val="000000"/>
          <w:sz w:val="24"/>
        </w:rPr>
        <w:t xml:space="preserve"> with equal scoring. The merged annotations were finalized using the </w:t>
      </w:r>
      <w:proofErr w:type="spellStart"/>
      <w:r w:rsidRPr="00575F97">
        <w:rPr>
          <w:color w:val="000000"/>
          <w:sz w:val="24"/>
        </w:rPr>
        <w:t>AnnotationFinalizer</w:t>
      </w:r>
      <w:proofErr w:type="spellEnd"/>
      <w:r w:rsidRPr="00575F97">
        <w:rPr>
          <w:color w:val="000000"/>
          <w:sz w:val="24"/>
        </w:rPr>
        <w:t xml:space="preserve"> function of </w:t>
      </w:r>
      <w:proofErr w:type="spellStart"/>
      <w:r w:rsidRPr="00575F97">
        <w:rPr>
          <w:color w:val="000000"/>
          <w:sz w:val="24"/>
        </w:rPr>
        <w:t>GeMoMa</w:t>
      </w:r>
      <w:proofErr w:type="spellEnd"/>
      <w:r w:rsidRPr="00575F97">
        <w:rPr>
          <w:color w:val="000000"/>
          <w:sz w:val="24"/>
        </w:rPr>
        <w:t xml:space="preserve">. tRNA genes were annotated using </w:t>
      </w:r>
      <w:proofErr w:type="spellStart"/>
      <w:r w:rsidRPr="00575F97">
        <w:rPr>
          <w:color w:val="000000"/>
          <w:sz w:val="24"/>
        </w:rPr>
        <w:t>tRNAscan</w:t>
      </w:r>
      <w:proofErr w:type="spellEnd"/>
      <w:r w:rsidRPr="00575F97">
        <w:rPr>
          <w:color w:val="000000"/>
          <w:sz w:val="24"/>
        </w:rPr>
        <w:t xml:space="preserve">-SE 2.0.9, and rDNA regions were annotated using the </w:t>
      </w:r>
      <w:proofErr w:type="spellStart"/>
      <w:r w:rsidRPr="00575F97">
        <w:rPr>
          <w:color w:val="000000"/>
          <w:sz w:val="24"/>
        </w:rPr>
        <w:t>Rfam</w:t>
      </w:r>
      <w:proofErr w:type="spellEnd"/>
      <w:r w:rsidRPr="00575F97">
        <w:rPr>
          <w:color w:val="000000"/>
          <w:sz w:val="24"/>
        </w:rPr>
        <w:t xml:space="preserve"> database and infernal 1.1.4</w:t>
      </w:r>
      <w:r w:rsidR="004404B1">
        <w:rPr>
          <w:color w:val="000000"/>
          <w:sz w:val="24"/>
        </w:rPr>
        <w:t xml:space="preserve"> </w:t>
      </w:r>
      <w:r w:rsidR="00907E03">
        <w:rPr>
          <w:color w:val="000000"/>
          <w:sz w:val="24"/>
        </w:rPr>
        <w:t>[30, 31]</w:t>
      </w:r>
      <w:r w:rsidRPr="00575F97">
        <w:rPr>
          <w:color w:val="000000"/>
          <w:sz w:val="24"/>
        </w:rPr>
        <w:t xml:space="preserve">. For CAZyme and gene cluster analysis, protein sequences were obtained by applying the agat_sp_keep_longest_isoform.pl function of AGAT 1.4.0 and </w:t>
      </w:r>
      <w:proofErr w:type="spellStart"/>
      <w:r w:rsidRPr="00575F97">
        <w:rPr>
          <w:color w:val="000000"/>
          <w:sz w:val="24"/>
        </w:rPr>
        <w:t>gffread</w:t>
      </w:r>
      <w:proofErr w:type="spellEnd"/>
      <w:r w:rsidRPr="00575F97">
        <w:rPr>
          <w:color w:val="000000"/>
          <w:sz w:val="24"/>
        </w:rPr>
        <w:t xml:space="preserve"> 0.12.7</w:t>
      </w:r>
      <w:r w:rsidR="004404B1">
        <w:rPr>
          <w:color w:val="000000"/>
          <w:sz w:val="24"/>
        </w:rPr>
        <w:t xml:space="preserve"> </w:t>
      </w:r>
      <w:r w:rsidR="00907E03">
        <w:rPr>
          <w:color w:val="000000"/>
          <w:sz w:val="24"/>
        </w:rPr>
        <w:t>[32, 33]</w:t>
      </w:r>
      <w:r w:rsidRPr="00575F97">
        <w:rPr>
          <w:color w:val="000000"/>
          <w:sz w:val="24"/>
        </w:rPr>
        <w:t xml:space="preserve">. To validate the predicted protein-coding genes and identify potential functions, the easy-search workflow of MMseqs2 13.45111 with the “--greedy-best-hits 1” option was employed against the </w:t>
      </w:r>
      <w:proofErr w:type="spellStart"/>
      <w:r w:rsidRPr="00575F97">
        <w:rPr>
          <w:color w:val="000000"/>
          <w:sz w:val="24"/>
        </w:rPr>
        <w:t>eggNOG</w:t>
      </w:r>
      <w:proofErr w:type="spellEnd"/>
      <w:r w:rsidRPr="00575F97">
        <w:rPr>
          <w:color w:val="000000"/>
          <w:sz w:val="24"/>
        </w:rPr>
        <w:t xml:space="preserve"> 5.0.2 database with </w:t>
      </w:r>
      <w:proofErr w:type="spellStart"/>
      <w:r w:rsidRPr="00575F97">
        <w:rPr>
          <w:color w:val="000000"/>
          <w:sz w:val="24"/>
        </w:rPr>
        <w:t>eggNOG</w:t>
      </w:r>
      <w:proofErr w:type="spellEnd"/>
      <w:r w:rsidRPr="00575F97">
        <w:rPr>
          <w:color w:val="000000"/>
          <w:sz w:val="24"/>
        </w:rPr>
        <w:t>-mapper 2.1.8</w:t>
      </w:r>
      <w:r w:rsidR="00907E03">
        <w:rPr>
          <w:color w:val="000000"/>
          <w:sz w:val="24"/>
        </w:rPr>
        <w:t xml:space="preserve"> [34</w:t>
      </w:r>
      <w:r w:rsidR="00907E03">
        <w:rPr>
          <w:rFonts w:ascii="Nirmala UI" w:hAnsi="Nirmala UI" w:cs="Nirmala UI"/>
          <w:color w:val="000000"/>
          <w:sz w:val="24"/>
        </w:rPr>
        <w:t>–36]</w:t>
      </w:r>
      <w:r w:rsidRPr="00575F97">
        <w:rPr>
          <w:color w:val="000000"/>
          <w:sz w:val="24"/>
        </w:rPr>
        <w:t>.</w:t>
      </w:r>
    </w:p>
    <w:p w14:paraId="671C4E08" w14:textId="77777777" w:rsidR="009221A4" w:rsidRPr="00575F97" w:rsidRDefault="009221A4">
      <w:pPr>
        <w:widowControl/>
        <w:tabs>
          <w:tab w:val="left" w:pos="284"/>
          <w:tab w:val="right" w:pos="6235"/>
        </w:tabs>
        <w:spacing w:after="0" w:line="360" w:lineRule="auto"/>
        <w:rPr>
          <w:color w:val="000000"/>
          <w:sz w:val="24"/>
        </w:rPr>
      </w:pPr>
    </w:p>
    <w:p w14:paraId="43EA76D3" w14:textId="77777777" w:rsidR="009221A4" w:rsidRPr="00575F97" w:rsidRDefault="00177BE1">
      <w:pPr>
        <w:widowControl/>
        <w:tabs>
          <w:tab w:val="left" w:pos="45"/>
          <w:tab w:val="right" w:pos="6235"/>
        </w:tabs>
        <w:spacing w:after="0" w:line="360" w:lineRule="auto"/>
        <w:rPr>
          <w:color w:val="000000"/>
          <w:sz w:val="24"/>
        </w:rPr>
      </w:pPr>
      <w:r w:rsidRPr="00575F97">
        <w:rPr>
          <w:b/>
          <w:color w:val="000000"/>
          <w:sz w:val="24"/>
        </w:rPr>
        <w:t>Trophic lifestyle classification according to CAZyme profiles</w:t>
      </w:r>
    </w:p>
    <w:p w14:paraId="14DD6867" w14:textId="2CEC36B4" w:rsidR="009221A4" w:rsidRPr="00575F97" w:rsidRDefault="00177BE1">
      <w:pPr>
        <w:widowControl/>
        <w:tabs>
          <w:tab w:val="left" w:pos="284"/>
          <w:tab w:val="right" w:pos="6235"/>
        </w:tabs>
        <w:spacing w:after="0" w:line="360" w:lineRule="auto"/>
        <w:rPr>
          <w:color w:val="000000"/>
          <w:sz w:val="24"/>
        </w:rPr>
      </w:pPr>
      <w:r w:rsidRPr="00575F97">
        <w:rPr>
          <w:color w:val="000000"/>
          <w:sz w:val="24"/>
        </w:rPr>
        <w:t xml:space="preserve">The </w:t>
      </w:r>
      <w:proofErr w:type="spellStart"/>
      <w:r w:rsidRPr="00575F97">
        <w:rPr>
          <w:color w:val="000000"/>
          <w:sz w:val="24"/>
        </w:rPr>
        <w:t>run_dbcan</w:t>
      </w:r>
      <w:proofErr w:type="spellEnd"/>
      <w:r w:rsidRPr="00575F97">
        <w:rPr>
          <w:color w:val="000000"/>
          <w:sz w:val="24"/>
        </w:rPr>
        <w:t xml:space="preserve"> 3.0.6 function of dbCAN3 with the HMMER search option was employed to predict and annotate the presence of CAZyme-related genes</w:t>
      </w:r>
      <w:r w:rsidR="004404B1">
        <w:rPr>
          <w:color w:val="000000"/>
          <w:sz w:val="24"/>
        </w:rPr>
        <w:t xml:space="preserve"> </w:t>
      </w:r>
      <w:r w:rsidR="00907E03">
        <w:rPr>
          <w:color w:val="000000"/>
          <w:sz w:val="24"/>
        </w:rPr>
        <w:t>[37, 38]</w:t>
      </w:r>
      <w:r w:rsidRPr="00575F97">
        <w:rPr>
          <w:color w:val="000000"/>
          <w:sz w:val="24"/>
        </w:rPr>
        <w:t xml:space="preserve">. The trophic lifestyle was predicted using the CAZyme Assisted Training </w:t>
      </w:r>
      <w:proofErr w:type="gramStart"/>
      <w:r w:rsidRPr="00575F97">
        <w:rPr>
          <w:color w:val="000000"/>
          <w:sz w:val="24"/>
        </w:rPr>
        <w:t>And</w:t>
      </w:r>
      <w:proofErr w:type="gramEnd"/>
      <w:r w:rsidRPr="00575F97">
        <w:rPr>
          <w:color w:val="000000"/>
          <w:sz w:val="24"/>
        </w:rPr>
        <w:t xml:space="preserve"> Sorting of trophy (CATAStrophy) 0.1.0 prediction tool</w:t>
      </w:r>
      <w:r w:rsidR="004404B1">
        <w:rPr>
          <w:color w:val="000000"/>
          <w:sz w:val="24"/>
        </w:rPr>
        <w:t xml:space="preserve"> </w:t>
      </w:r>
      <w:r w:rsidR="00907E03">
        <w:rPr>
          <w:color w:val="000000"/>
          <w:sz w:val="24"/>
        </w:rPr>
        <w:t>[39]</w:t>
      </w:r>
      <w:r w:rsidRPr="00575F97">
        <w:rPr>
          <w:color w:val="000000"/>
          <w:sz w:val="24"/>
        </w:rPr>
        <w:t xml:space="preserve">. The CATAStrophy pipeline (https://github.com/ccdmb/catastrophy-pipeline) was employed with the options -profile </w:t>
      </w:r>
      <w:proofErr w:type="spellStart"/>
      <w:r w:rsidRPr="00575F97">
        <w:rPr>
          <w:color w:val="000000"/>
          <w:sz w:val="24"/>
        </w:rPr>
        <w:t>conda</w:t>
      </w:r>
      <w:proofErr w:type="spellEnd"/>
      <w:r w:rsidRPr="00575F97">
        <w:rPr>
          <w:color w:val="000000"/>
          <w:sz w:val="24"/>
        </w:rPr>
        <w:t xml:space="preserve"> and –</w:t>
      </w:r>
      <w:proofErr w:type="spellStart"/>
      <w:r w:rsidRPr="00575F97">
        <w:rPr>
          <w:color w:val="000000"/>
          <w:sz w:val="24"/>
        </w:rPr>
        <w:t>dbcan_version</w:t>
      </w:r>
      <w:proofErr w:type="spellEnd"/>
      <w:r w:rsidRPr="00575F97">
        <w:rPr>
          <w:color w:val="000000"/>
          <w:sz w:val="24"/>
        </w:rPr>
        <w:t xml:space="preserve"> 10. The trophic lifestyle nomenclature in CATAStrophy (including biotrophs, hemibiotrophs, necrotrophs, saprotrophs, and symbionts) was used to define the trophic lifestyles of </w:t>
      </w:r>
      <w:r w:rsidRPr="00575F97">
        <w:rPr>
          <w:i/>
          <w:color w:val="000000"/>
          <w:sz w:val="24"/>
        </w:rPr>
        <w:t>Apiospora</w:t>
      </w:r>
      <w:r w:rsidRPr="00575F97">
        <w:rPr>
          <w:color w:val="000000"/>
          <w:sz w:val="24"/>
        </w:rPr>
        <w:t xml:space="preserve"> species. </w:t>
      </w:r>
      <w:r w:rsidRPr="00575F97">
        <w:rPr>
          <w:color w:val="000000"/>
          <w:sz w:val="24"/>
        </w:rPr>
        <w:lastRenderedPageBreak/>
        <w:t>Principal components PC1 and PC2, which separated most training set species according to lifestyle, were selected for visualization.</w:t>
      </w:r>
    </w:p>
    <w:p w14:paraId="702B3C85" w14:textId="77777777" w:rsidR="009221A4" w:rsidRPr="00575F97" w:rsidRDefault="009221A4">
      <w:pPr>
        <w:widowControl/>
        <w:tabs>
          <w:tab w:val="left" w:pos="284"/>
          <w:tab w:val="right" w:pos="6235"/>
        </w:tabs>
        <w:spacing w:after="0" w:line="360" w:lineRule="auto"/>
        <w:rPr>
          <w:color w:val="000000"/>
          <w:sz w:val="24"/>
        </w:rPr>
      </w:pPr>
    </w:p>
    <w:p w14:paraId="45BDAEC1" w14:textId="77777777" w:rsidR="009221A4" w:rsidRPr="00575F97" w:rsidRDefault="00177BE1">
      <w:pPr>
        <w:widowControl/>
        <w:tabs>
          <w:tab w:val="left" w:pos="45"/>
          <w:tab w:val="right" w:pos="6235"/>
        </w:tabs>
        <w:spacing w:after="0" w:line="360" w:lineRule="auto"/>
        <w:rPr>
          <w:color w:val="000000"/>
          <w:sz w:val="24"/>
        </w:rPr>
      </w:pPr>
      <w:r w:rsidRPr="00575F97">
        <w:rPr>
          <w:b/>
          <w:color w:val="000000"/>
          <w:sz w:val="24"/>
        </w:rPr>
        <w:t>Analysis of secondary metabolite biosynthetic gene clusters (SM BGCs)</w:t>
      </w:r>
    </w:p>
    <w:p w14:paraId="18E6064C" w14:textId="7CFB6277" w:rsidR="009221A4" w:rsidRPr="00575F97" w:rsidRDefault="00177BE1">
      <w:pPr>
        <w:widowControl/>
        <w:tabs>
          <w:tab w:val="left" w:pos="284"/>
          <w:tab w:val="right" w:pos="6235"/>
        </w:tabs>
        <w:spacing w:after="0" w:line="360" w:lineRule="auto"/>
        <w:rPr>
          <w:color w:val="000000"/>
          <w:sz w:val="24"/>
        </w:rPr>
      </w:pPr>
      <w:r w:rsidRPr="00575F97">
        <w:rPr>
          <w:color w:val="000000"/>
          <w:sz w:val="24"/>
        </w:rPr>
        <w:t>The SM BGCs were predicted using antiSMASH 7.0.0 locally, with the taxon fungi option and all possible search options appended</w:t>
      </w:r>
      <w:r w:rsidR="00907E03">
        <w:rPr>
          <w:color w:val="000000"/>
          <w:sz w:val="24"/>
        </w:rPr>
        <w:t xml:space="preserve"> [40]</w:t>
      </w:r>
      <w:r w:rsidRPr="00575F97">
        <w:rPr>
          <w:color w:val="000000"/>
          <w:sz w:val="24"/>
        </w:rPr>
        <w:t>.</w:t>
      </w:r>
    </w:p>
    <w:p w14:paraId="5E6B985D" w14:textId="77777777" w:rsidR="009221A4" w:rsidRPr="00575F97" w:rsidRDefault="009221A4">
      <w:pPr>
        <w:widowControl/>
        <w:tabs>
          <w:tab w:val="left" w:pos="284"/>
          <w:tab w:val="right" w:pos="6235"/>
        </w:tabs>
        <w:spacing w:after="0" w:line="360" w:lineRule="auto"/>
        <w:ind w:firstLine="240"/>
        <w:rPr>
          <w:color w:val="000000"/>
          <w:sz w:val="24"/>
        </w:rPr>
      </w:pPr>
    </w:p>
    <w:p w14:paraId="60C10359" w14:textId="77777777" w:rsidR="009221A4" w:rsidRPr="00575F97" w:rsidRDefault="00177BE1">
      <w:pPr>
        <w:widowControl/>
        <w:tabs>
          <w:tab w:val="left" w:pos="45"/>
          <w:tab w:val="right" w:pos="6235"/>
        </w:tabs>
        <w:spacing w:after="0" w:line="360" w:lineRule="auto"/>
        <w:rPr>
          <w:b/>
          <w:color w:val="000000"/>
          <w:sz w:val="24"/>
        </w:rPr>
      </w:pPr>
      <w:r w:rsidRPr="00575F97">
        <w:rPr>
          <w:b/>
          <w:color w:val="000000"/>
          <w:sz w:val="24"/>
        </w:rPr>
        <w:t>Reconstruction of the plant hormone synthesis pathway</w:t>
      </w:r>
    </w:p>
    <w:p w14:paraId="67AA45D2" w14:textId="32AF2391" w:rsidR="009221A4" w:rsidRDefault="00177BE1">
      <w:pPr>
        <w:widowControl/>
        <w:tabs>
          <w:tab w:val="left" w:pos="284"/>
          <w:tab w:val="right" w:pos="6235"/>
        </w:tabs>
        <w:spacing w:after="0" w:line="360" w:lineRule="auto"/>
        <w:rPr>
          <w:color w:val="000000"/>
          <w:sz w:val="24"/>
        </w:rPr>
      </w:pPr>
      <w:r w:rsidRPr="00575F97">
        <w:rPr>
          <w:color w:val="000000"/>
          <w:sz w:val="24"/>
        </w:rPr>
        <w:t xml:space="preserve">Genome-scale model (GEM) of </w:t>
      </w:r>
      <w:r w:rsidRPr="00575F97">
        <w:rPr>
          <w:i/>
          <w:color w:val="000000"/>
          <w:sz w:val="24"/>
        </w:rPr>
        <w:t>Ap. hysterina</w:t>
      </w:r>
      <w:r w:rsidRPr="00575F97">
        <w:rPr>
          <w:color w:val="000000"/>
          <w:sz w:val="24"/>
        </w:rPr>
        <w:t xml:space="preserve"> KUC21437 was constructed using RAVEN Toolbox 2.8.4</w:t>
      </w:r>
      <w:r w:rsidR="004404B1">
        <w:rPr>
          <w:color w:val="000000"/>
          <w:sz w:val="24"/>
        </w:rPr>
        <w:t xml:space="preserve"> </w:t>
      </w:r>
      <w:r w:rsidR="00907E03">
        <w:rPr>
          <w:color w:val="000000"/>
          <w:sz w:val="24"/>
        </w:rPr>
        <w:t>[41]</w:t>
      </w:r>
      <w:r w:rsidRPr="00575F97">
        <w:rPr>
          <w:color w:val="000000"/>
          <w:sz w:val="24"/>
        </w:rPr>
        <w:t xml:space="preserve">. The reference GEM of the closest available species, </w:t>
      </w:r>
      <w:proofErr w:type="spellStart"/>
      <w:r w:rsidRPr="00575F97">
        <w:rPr>
          <w:i/>
          <w:color w:val="000000"/>
          <w:sz w:val="24"/>
        </w:rPr>
        <w:t>Eutypa</w:t>
      </w:r>
      <w:proofErr w:type="spellEnd"/>
      <w:r w:rsidRPr="00575F97">
        <w:rPr>
          <w:i/>
          <w:color w:val="000000"/>
          <w:sz w:val="24"/>
        </w:rPr>
        <w:t xml:space="preserve"> </w:t>
      </w:r>
      <w:proofErr w:type="spellStart"/>
      <w:r w:rsidRPr="00575F97">
        <w:rPr>
          <w:i/>
          <w:color w:val="000000"/>
          <w:sz w:val="24"/>
        </w:rPr>
        <w:t>lata</w:t>
      </w:r>
      <w:proofErr w:type="spellEnd"/>
      <w:r w:rsidRPr="00575F97">
        <w:rPr>
          <w:color w:val="000000"/>
          <w:sz w:val="24"/>
        </w:rPr>
        <w:t xml:space="preserve"> and the </w:t>
      </w:r>
      <w:proofErr w:type="spellStart"/>
      <w:r w:rsidRPr="00575F97">
        <w:rPr>
          <w:color w:val="000000"/>
          <w:sz w:val="24"/>
        </w:rPr>
        <w:t>MetaCyc</w:t>
      </w:r>
      <w:proofErr w:type="spellEnd"/>
      <w:r w:rsidRPr="00575F97">
        <w:rPr>
          <w:color w:val="000000"/>
          <w:sz w:val="24"/>
        </w:rPr>
        <w:t xml:space="preserve"> database were applied to construct the GEM </w:t>
      </w:r>
      <w:r w:rsidR="00907E03">
        <w:rPr>
          <w:color w:val="000000"/>
          <w:sz w:val="24"/>
        </w:rPr>
        <w:t>[42]</w:t>
      </w:r>
      <w:r w:rsidRPr="00575F97">
        <w:rPr>
          <w:color w:val="000000"/>
          <w:sz w:val="24"/>
        </w:rPr>
        <w:t xml:space="preserve">. To annotate missing genes for ABA synthesis, genes comprising the ABA synthesis gene cluster of </w:t>
      </w:r>
      <w:r w:rsidRPr="00575F97">
        <w:rPr>
          <w:i/>
          <w:color w:val="000000"/>
          <w:sz w:val="24"/>
        </w:rPr>
        <w:t>B. cinerea</w:t>
      </w:r>
      <w:r w:rsidRPr="00575F97">
        <w:rPr>
          <w:color w:val="000000"/>
          <w:sz w:val="24"/>
        </w:rPr>
        <w:t xml:space="preserve"> SAS56, </w:t>
      </w:r>
      <w:r w:rsidRPr="006919C5">
        <w:rPr>
          <w:i/>
          <w:color w:val="000000"/>
          <w:sz w:val="24"/>
        </w:rPr>
        <w:t>bcABA1, bcABA2, bcABA3</w:t>
      </w:r>
      <w:r w:rsidRPr="00575F97">
        <w:rPr>
          <w:color w:val="000000"/>
          <w:sz w:val="24"/>
        </w:rPr>
        <w:t xml:space="preserve">, and </w:t>
      </w:r>
      <w:r w:rsidRPr="006919C5">
        <w:rPr>
          <w:i/>
          <w:color w:val="000000"/>
          <w:sz w:val="24"/>
        </w:rPr>
        <w:t>bcABA4</w:t>
      </w:r>
      <w:r w:rsidRPr="00575F97">
        <w:rPr>
          <w:color w:val="000000"/>
          <w:sz w:val="24"/>
        </w:rPr>
        <w:t xml:space="preserve"> (XM_001553921.1, XM_001553920.1, XM_001553924.1, XM_001553919.2) were downloaded from GenBank, and </w:t>
      </w:r>
      <w:proofErr w:type="spellStart"/>
      <w:r w:rsidRPr="00575F97">
        <w:rPr>
          <w:color w:val="000000"/>
          <w:sz w:val="24"/>
        </w:rPr>
        <w:t>BLASTx</w:t>
      </w:r>
      <w:proofErr w:type="spellEnd"/>
      <w:r w:rsidR="00907E03">
        <w:rPr>
          <w:color w:val="000000"/>
          <w:sz w:val="24"/>
        </w:rPr>
        <w:t xml:space="preserve"> [43]</w:t>
      </w:r>
      <w:r w:rsidRPr="00575F97">
        <w:rPr>
          <w:color w:val="000000"/>
          <w:sz w:val="24"/>
        </w:rPr>
        <w:t xml:space="preserve"> analysis was performed against the KUC21437 genome with Geneious 9.1.8 </w:t>
      </w:r>
      <w:r w:rsidR="00907E03">
        <w:rPr>
          <w:color w:val="000000"/>
          <w:sz w:val="24"/>
        </w:rPr>
        <w:t>[44]</w:t>
      </w:r>
      <w:r w:rsidRPr="00575F97">
        <w:rPr>
          <w:color w:val="000000"/>
          <w:sz w:val="24"/>
        </w:rPr>
        <w:t xml:space="preserve">. The final ABA and GA synthesis pathways were constructed by manually combining the GEM, BLAST, and reference search results and were visualized using </w:t>
      </w:r>
      <w:proofErr w:type="spellStart"/>
      <w:r w:rsidRPr="00575F97">
        <w:rPr>
          <w:color w:val="000000"/>
          <w:sz w:val="24"/>
        </w:rPr>
        <w:t>ChemDraw</w:t>
      </w:r>
      <w:proofErr w:type="spellEnd"/>
      <w:r w:rsidRPr="00575F97">
        <w:rPr>
          <w:color w:val="000000"/>
          <w:sz w:val="24"/>
        </w:rPr>
        <w:t xml:space="preserve"> software.</w:t>
      </w:r>
    </w:p>
    <w:p w14:paraId="321C239A" w14:textId="039A2FA2" w:rsidR="0082594D" w:rsidRDefault="0082594D">
      <w:pPr>
        <w:widowControl/>
        <w:tabs>
          <w:tab w:val="left" w:pos="284"/>
          <w:tab w:val="right" w:pos="6235"/>
        </w:tabs>
        <w:spacing w:after="0" w:line="360" w:lineRule="auto"/>
        <w:rPr>
          <w:rFonts w:eastAsiaTheme="minorEastAsia"/>
          <w:b/>
          <w:color w:val="000000"/>
          <w:sz w:val="24"/>
        </w:rPr>
      </w:pPr>
    </w:p>
    <w:p w14:paraId="4D220024" w14:textId="2C6C37F3" w:rsidR="0082594D" w:rsidRDefault="0082594D">
      <w:pPr>
        <w:widowControl/>
        <w:tabs>
          <w:tab w:val="left" w:pos="284"/>
          <w:tab w:val="right" w:pos="6235"/>
        </w:tabs>
        <w:spacing w:after="0" w:line="360" w:lineRule="auto"/>
        <w:rPr>
          <w:rFonts w:eastAsiaTheme="minorEastAsia"/>
          <w:b/>
          <w:color w:val="000000"/>
          <w:sz w:val="24"/>
        </w:rPr>
      </w:pPr>
    </w:p>
    <w:p w14:paraId="7269EB54" w14:textId="30F9ACC5" w:rsidR="0082594D" w:rsidRDefault="00013273">
      <w:pPr>
        <w:widowControl/>
        <w:tabs>
          <w:tab w:val="left" w:pos="284"/>
          <w:tab w:val="right" w:pos="6235"/>
        </w:tabs>
        <w:spacing w:after="0" w:line="360" w:lineRule="auto"/>
        <w:rPr>
          <w:rFonts w:eastAsiaTheme="minorEastAsia"/>
          <w:b/>
          <w:color w:val="000000"/>
          <w:sz w:val="24"/>
        </w:rPr>
      </w:pPr>
      <w:r>
        <w:rPr>
          <w:rFonts w:eastAsiaTheme="minorEastAsia" w:hint="eastAsia"/>
          <w:b/>
          <w:color w:val="000000"/>
          <w:sz w:val="24"/>
        </w:rPr>
        <w:t>L</w:t>
      </w:r>
      <w:r>
        <w:rPr>
          <w:rFonts w:eastAsiaTheme="minorEastAsia"/>
          <w:b/>
          <w:color w:val="000000"/>
          <w:sz w:val="24"/>
        </w:rPr>
        <w:t>ist of references</w:t>
      </w:r>
    </w:p>
    <w:p w14:paraId="7565BC62" w14:textId="5DA39603" w:rsidR="00013273" w:rsidRDefault="00013273" w:rsidP="00013273">
      <w:pPr>
        <w:pStyle w:val="EndNoteBibliography"/>
        <w:spacing w:after="240" w:line="360" w:lineRule="auto"/>
        <w:ind w:left="720" w:hanging="720"/>
        <w:rPr>
          <w:sz w:val="20"/>
          <w:szCs w:val="20"/>
        </w:rPr>
      </w:pPr>
      <w:r>
        <w:rPr>
          <w:sz w:val="20"/>
          <w:szCs w:val="20"/>
        </w:rPr>
        <w:t>1</w:t>
      </w:r>
      <w:r w:rsidRPr="00523D5D">
        <w:rPr>
          <w:sz w:val="20"/>
          <w:szCs w:val="20"/>
        </w:rPr>
        <w:t>.</w:t>
      </w:r>
      <w:r w:rsidRPr="00523D5D">
        <w:rPr>
          <w:sz w:val="20"/>
          <w:szCs w:val="20"/>
        </w:rPr>
        <w:tab/>
      </w:r>
      <w:bookmarkStart w:id="1" w:name="_Hlk198110712"/>
      <w:r w:rsidRPr="00523D5D">
        <w:rPr>
          <w:sz w:val="20"/>
          <w:szCs w:val="20"/>
        </w:rPr>
        <w:t>Barra PJ, Inostroza NG, Acuña JJ, Mora ML, Crowley DE, Jorquera MA (2016) Formulation of bacterial consortia from avocado (</w:t>
      </w:r>
      <w:proofErr w:type="spellStart"/>
      <w:r w:rsidRPr="00523D5D">
        <w:rPr>
          <w:i/>
          <w:sz w:val="20"/>
          <w:szCs w:val="20"/>
        </w:rPr>
        <w:t>Persea</w:t>
      </w:r>
      <w:proofErr w:type="spellEnd"/>
      <w:r w:rsidRPr="00523D5D">
        <w:rPr>
          <w:i/>
          <w:sz w:val="20"/>
          <w:szCs w:val="20"/>
        </w:rPr>
        <w:t xml:space="preserve"> americana</w:t>
      </w:r>
      <w:r w:rsidRPr="00523D5D">
        <w:rPr>
          <w:sz w:val="20"/>
          <w:szCs w:val="20"/>
        </w:rPr>
        <w:t xml:space="preserve"> Mill.) and their effect on growth, biomass and superoxide dismutase activity of wheat seedlings under salt stress. Appl Soil </w:t>
      </w:r>
      <w:proofErr w:type="spellStart"/>
      <w:r w:rsidRPr="00523D5D">
        <w:rPr>
          <w:sz w:val="20"/>
          <w:szCs w:val="20"/>
        </w:rPr>
        <w:t>Ecol</w:t>
      </w:r>
      <w:proofErr w:type="spellEnd"/>
      <w:r w:rsidRPr="00523D5D">
        <w:rPr>
          <w:sz w:val="20"/>
          <w:szCs w:val="20"/>
        </w:rPr>
        <w:t xml:space="preserve"> 102:80–91. </w:t>
      </w:r>
      <w:hyperlink r:id="rId7" w:history="1">
        <w:r w:rsidRPr="00523D5D">
          <w:rPr>
            <w:sz w:val="20"/>
            <w:szCs w:val="20"/>
          </w:rPr>
          <w:t>https://doi.org/10.1016/j.apsoil.2016.02.014</w:t>
        </w:r>
      </w:hyperlink>
      <w:bookmarkEnd w:id="1"/>
    </w:p>
    <w:p w14:paraId="7B2CF769" w14:textId="2B6B9C1A" w:rsidR="00013273" w:rsidRPr="00523D5D" w:rsidRDefault="00013273" w:rsidP="00013273">
      <w:pPr>
        <w:pStyle w:val="EndNoteBibliography"/>
        <w:spacing w:after="240" w:line="360" w:lineRule="auto"/>
        <w:ind w:left="720" w:hanging="720"/>
        <w:rPr>
          <w:sz w:val="20"/>
          <w:szCs w:val="20"/>
        </w:rPr>
      </w:pPr>
      <w:r>
        <w:rPr>
          <w:sz w:val="20"/>
          <w:szCs w:val="20"/>
        </w:rPr>
        <w:t>2</w:t>
      </w:r>
      <w:r w:rsidRPr="00523D5D">
        <w:rPr>
          <w:sz w:val="20"/>
          <w:szCs w:val="20"/>
        </w:rPr>
        <w:t>.</w:t>
      </w:r>
      <w:r w:rsidRPr="00523D5D">
        <w:rPr>
          <w:sz w:val="20"/>
          <w:szCs w:val="20"/>
        </w:rPr>
        <w:tab/>
        <w:t xml:space="preserve">White TJ, Bruns T, Lee S, Taylor J (1990) Amplification and direct sequencing of fungal ribosomal RNA genes for phylogenetics. In: Innis MA, Gelfand DH, </w:t>
      </w:r>
      <w:proofErr w:type="spellStart"/>
      <w:r w:rsidRPr="00523D5D">
        <w:rPr>
          <w:sz w:val="20"/>
          <w:szCs w:val="20"/>
        </w:rPr>
        <w:t>Sninsky</w:t>
      </w:r>
      <w:proofErr w:type="spellEnd"/>
      <w:r w:rsidRPr="00523D5D">
        <w:rPr>
          <w:sz w:val="20"/>
          <w:szCs w:val="20"/>
        </w:rPr>
        <w:t xml:space="preserve"> JJ, White TJ (eds), PCR protocols: A guide to methods and applications. </w:t>
      </w:r>
      <w:r w:rsidR="00182B55" w:rsidRPr="00182B55">
        <w:rPr>
          <w:sz w:val="20"/>
          <w:szCs w:val="20"/>
        </w:rPr>
        <w:t>Elsevier</w:t>
      </w:r>
      <w:r w:rsidRPr="00523D5D">
        <w:rPr>
          <w:sz w:val="20"/>
          <w:szCs w:val="20"/>
        </w:rPr>
        <w:t>, New York, p</w:t>
      </w:r>
      <w:r w:rsidR="004404B1">
        <w:rPr>
          <w:sz w:val="20"/>
          <w:szCs w:val="20"/>
        </w:rPr>
        <w:t>p</w:t>
      </w:r>
      <w:r w:rsidRPr="00523D5D">
        <w:rPr>
          <w:sz w:val="20"/>
          <w:szCs w:val="20"/>
        </w:rPr>
        <w:t xml:space="preserve"> 315–322. </w:t>
      </w:r>
      <w:hyperlink r:id="rId8" w:history="1">
        <w:r w:rsidRPr="00523D5D">
          <w:rPr>
            <w:sz w:val="20"/>
            <w:szCs w:val="20"/>
          </w:rPr>
          <w:t>https://doi.org/10.1016/B978-0-12-372180-8.50042-1</w:t>
        </w:r>
      </w:hyperlink>
    </w:p>
    <w:p w14:paraId="071C74CE" w14:textId="60FB0500" w:rsidR="00013273" w:rsidRPr="00523D5D" w:rsidRDefault="00013273" w:rsidP="00013273">
      <w:pPr>
        <w:pStyle w:val="EndNoteBibliography"/>
        <w:spacing w:after="240" w:line="360" w:lineRule="auto"/>
        <w:ind w:left="720" w:hanging="720"/>
        <w:rPr>
          <w:sz w:val="20"/>
          <w:szCs w:val="20"/>
        </w:rPr>
      </w:pPr>
      <w:r>
        <w:rPr>
          <w:sz w:val="20"/>
          <w:szCs w:val="20"/>
        </w:rPr>
        <w:t>3</w:t>
      </w:r>
      <w:r w:rsidRPr="00523D5D">
        <w:rPr>
          <w:sz w:val="20"/>
          <w:szCs w:val="20"/>
        </w:rPr>
        <w:t>.</w:t>
      </w:r>
      <w:r w:rsidRPr="00523D5D">
        <w:rPr>
          <w:sz w:val="20"/>
          <w:szCs w:val="20"/>
        </w:rPr>
        <w:tab/>
      </w:r>
      <w:proofErr w:type="spellStart"/>
      <w:r w:rsidRPr="00523D5D">
        <w:rPr>
          <w:sz w:val="20"/>
          <w:szCs w:val="20"/>
        </w:rPr>
        <w:t>Bellemain</w:t>
      </w:r>
      <w:proofErr w:type="spellEnd"/>
      <w:r w:rsidRPr="00523D5D">
        <w:rPr>
          <w:sz w:val="20"/>
          <w:szCs w:val="20"/>
        </w:rPr>
        <w:t xml:space="preserve"> E, Carlsen T, Brochmann C, </w:t>
      </w:r>
      <w:proofErr w:type="spellStart"/>
      <w:r w:rsidRPr="00523D5D">
        <w:rPr>
          <w:sz w:val="20"/>
          <w:szCs w:val="20"/>
        </w:rPr>
        <w:t>Coissac</w:t>
      </w:r>
      <w:proofErr w:type="spellEnd"/>
      <w:r w:rsidRPr="00523D5D">
        <w:rPr>
          <w:sz w:val="20"/>
          <w:szCs w:val="20"/>
        </w:rPr>
        <w:t xml:space="preserve"> E, </w:t>
      </w:r>
      <w:proofErr w:type="spellStart"/>
      <w:r w:rsidRPr="00523D5D">
        <w:rPr>
          <w:sz w:val="20"/>
          <w:szCs w:val="20"/>
        </w:rPr>
        <w:t>Taberlet</w:t>
      </w:r>
      <w:proofErr w:type="spellEnd"/>
      <w:r w:rsidRPr="00523D5D">
        <w:rPr>
          <w:sz w:val="20"/>
          <w:szCs w:val="20"/>
        </w:rPr>
        <w:t xml:space="preserve"> P, </w:t>
      </w:r>
      <w:proofErr w:type="spellStart"/>
      <w:r w:rsidRPr="00523D5D">
        <w:rPr>
          <w:sz w:val="20"/>
          <w:szCs w:val="20"/>
        </w:rPr>
        <w:t>Kauserud</w:t>
      </w:r>
      <w:proofErr w:type="spellEnd"/>
      <w:r w:rsidRPr="00523D5D">
        <w:rPr>
          <w:sz w:val="20"/>
          <w:szCs w:val="20"/>
        </w:rPr>
        <w:t xml:space="preserve"> H (2010) ITS as an environmental DNA barcode for fungi: an </w:t>
      </w:r>
      <w:proofErr w:type="gramStart"/>
      <w:r w:rsidRPr="00523D5D">
        <w:rPr>
          <w:sz w:val="20"/>
          <w:szCs w:val="20"/>
        </w:rPr>
        <w:t>in silico</w:t>
      </w:r>
      <w:proofErr w:type="gramEnd"/>
      <w:r w:rsidRPr="00523D5D">
        <w:rPr>
          <w:sz w:val="20"/>
          <w:szCs w:val="20"/>
        </w:rPr>
        <w:t xml:space="preserve"> approach reveals potential PCR biases. BMC Microbiol 10:189. </w:t>
      </w:r>
      <w:hyperlink r:id="rId9" w:history="1">
        <w:r w:rsidRPr="00523D5D">
          <w:rPr>
            <w:sz w:val="20"/>
            <w:szCs w:val="20"/>
          </w:rPr>
          <w:t>https://doi.org/10.1186/1471-2180-10-189</w:t>
        </w:r>
      </w:hyperlink>
    </w:p>
    <w:p w14:paraId="51268748" w14:textId="5C2958EB" w:rsidR="00013273" w:rsidRDefault="00013273" w:rsidP="00013273">
      <w:pPr>
        <w:pStyle w:val="EndNoteBibliography"/>
        <w:spacing w:after="240" w:line="360" w:lineRule="auto"/>
        <w:ind w:left="720" w:hanging="720"/>
        <w:rPr>
          <w:sz w:val="20"/>
          <w:szCs w:val="20"/>
        </w:rPr>
      </w:pPr>
      <w:r>
        <w:rPr>
          <w:sz w:val="20"/>
          <w:szCs w:val="20"/>
        </w:rPr>
        <w:t>4</w:t>
      </w:r>
      <w:r w:rsidRPr="00523D5D">
        <w:rPr>
          <w:sz w:val="20"/>
          <w:szCs w:val="20"/>
        </w:rPr>
        <w:t>.</w:t>
      </w:r>
      <w:r w:rsidRPr="00523D5D">
        <w:rPr>
          <w:sz w:val="20"/>
          <w:szCs w:val="20"/>
        </w:rPr>
        <w:tab/>
      </w:r>
      <w:proofErr w:type="spellStart"/>
      <w:r w:rsidRPr="00523D5D">
        <w:rPr>
          <w:sz w:val="20"/>
          <w:szCs w:val="20"/>
        </w:rPr>
        <w:t>Bolyen</w:t>
      </w:r>
      <w:proofErr w:type="spellEnd"/>
      <w:r w:rsidRPr="00523D5D">
        <w:rPr>
          <w:sz w:val="20"/>
          <w:szCs w:val="20"/>
        </w:rPr>
        <w:t xml:space="preserve"> E, Rideout JR, Dillon MR, </w:t>
      </w:r>
      <w:proofErr w:type="spellStart"/>
      <w:r w:rsidRPr="00523D5D">
        <w:rPr>
          <w:sz w:val="20"/>
          <w:szCs w:val="20"/>
        </w:rPr>
        <w:t>Bokulich</w:t>
      </w:r>
      <w:proofErr w:type="spellEnd"/>
      <w:r w:rsidRPr="00523D5D">
        <w:rPr>
          <w:sz w:val="20"/>
          <w:szCs w:val="20"/>
        </w:rPr>
        <w:t xml:space="preserve"> NA, Abnet CC, Al-</w:t>
      </w:r>
      <w:proofErr w:type="spellStart"/>
      <w:r w:rsidRPr="00523D5D">
        <w:rPr>
          <w:sz w:val="20"/>
          <w:szCs w:val="20"/>
        </w:rPr>
        <w:t>Ghalith</w:t>
      </w:r>
      <w:proofErr w:type="spellEnd"/>
      <w:r w:rsidRPr="00523D5D">
        <w:rPr>
          <w:sz w:val="20"/>
          <w:szCs w:val="20"/>
        </w:rPr>
        <w:t xml:space="preserve"> GA, Alexander H, Alm EJ, Arumugam M, Asnicar F, Bai Y, Bisanz JE, Bittinger K, Brejnrod A, Brislawn CJ, Brown CT, Callahan </w:t>
      </w:r>
      <w:r w:rsidRPr="00523D5D">
        <w:rPr>
          <w:sz w:val="20"/>
          <w:szCs w:val="20"/>
        </w:rPr>
        <w:lastRenderedPageBreak/>
        <w:t xml:space="preserve">BJ, Caraballo-Rodríguez AM, Chase J, Cope EK, Da Silva RD, Diener C, </w:t>
      </w:r>
      <w:proofErr w:type="spellStart"/>
      <w:r w:rsidRPr="00523D5D">
        <w:rPr>
          <w:sz w:val="20"/>
          <w:szCs w:val="20"/>
        </w:rPr>
        <w:t>Dorrestein</w:t>
      </w:r>
      <w:proofErr w:type="spellEnd"/>
      <w:r w:rsidRPr="00523D5D">
        <w:rPr>
          <w:sz w:val="20"/>
          <w:szCs w:val="20"/>
        </w:rPr>
        <w:t xml:space="preserve"> PC, Douglas GM, Durall DM, </w:t>
      </w:r>
      <w:proofErr w:type="spellStart"/>
      <w:r w:rsidRPr="00523D5D">
        <w:rPr>
          <w:sz w:val="20"/>
          <w:szCs w:val="20"/>
        </w:rPr>
        <w:t>Duvallet</w:t>
      </w:r>
      <w:proofErr w:type="spellEnd"/>
      <w:r w:rsidRPr="00523D5D">
        <w:rPr>
          <w:sz w:val="20"/>
          <w:szCs w:val="20"/>
        </w:rPr>
        <w:t xml:space="preserve"> C, Edwardson CF, Ernst M, </w:t>
      </w:r>
      <w:proofErr w:type="spellStart"/>
      <w:r w:rsidRPr="00523D5D">
        <w:rPr>
          <w:sz w:val="20"/>
          <w:szCs w:val="20"/>
        </w:rPr>
        <w:t>Estaki</w:t>
      </w:r>
      <w:proofErr w:type="spellEnd"/>
      <w:r w:rsidRPr="00523D5D">
        <w:rPr>
          <w:sz w:val="20"/>
          <w:szCs w:val="20"/>
        </w:rPr>
        <w:t xml:space="preserve"> M, </w:t>
      </w:r>
      <w:proofErr w:type="spellStart"/>
      <w:r w:rsidRPr="00523D5D">
        <w:rPr>
          <w:sz w:val="20"/>
          <w:szCs w:val="20"/>
        </w:rPr>
        <w:t>Fouquier</w:t>
      </w:r>
      <w:proofErr w:type="spellEnd"/>
      <w:r w:rsidRPr="00523D5D">
        <w:rPr>
          <w:sz w:val="20"/>
          <w:szCs w:val="20"/>
        </w:rPr>
        <w:t xml:space="preserve"> J, </w:t>
      </w:r>
      <w:proofErr w:type="spellStart"/>
      <w:r w:rsidRPr="00523D5D">
        <w:rPr>
          <w:sz w:val="20"/>
          <w:szCs w:val="20"/>
        </w:rPr>
        <w:t>Gauglitz</w:t>
      </w:r>
      <w:proofErr w:type="spellEnd"/>
      <w:r w:rsidRPr="00523D5D">
        <w:rPr>
          <w:sz w:val="20"/>
          <w:szCs w:val="20"/>
        </w:rPr>
        <w:t xml:space="preserve"> JM, Gibbons SM, Gibson DL, Gonzalez A, Gorlick K, Guo J, Hillmann B, Holmes S, Holste H, </w:t>
      </w:r>
      <w:proofErr w:type="spellStart"/>
      <w:r w:rsidRPr="00523D5D">
        <w:rPr>
          <w:sz w:val="20"/>
          <w:szCs w:val="20"/>
        </w:rPr>
        <w:t>Huttenhower</w:t>
      </w:r>
      <w:proofErr w:type="spellEnd"/>
      <w:r w:rsidRPr="00523D5D">
        <w:rPr>
          <w:sz w:val="20"/>
          <w:szCs w:val="20"/>
        </w:rPr>
        <w:t xml:space="preserve"> C, </w:t>
      </w:r>
      <w:proofErr w:type="spellStart"/>
      <w:r w:rsidRPr="00523D5D">
        <w:rPr>
          <w:sz w:val="20"/>
          <w:szCs w:val="20"/>
        </w:rPr>
        <w:t>Huttley</w:t>
      </w:r>
      <w:proofErr w:type="spellEnd"/>
      <w:r w:rsidRPr="00523D5D">
        <w:rPr>
          <w:sz w:val="20"/>
          <w:szCs w:val="20"/>
        </w:rPr>
        <w:t xml:space="preserve"> GA, Janssen S, Jarmusch AK, Jiang L, Kaehler BD, Kang KB, Keefe CR, Keim P, Kelley ST, Knights D, Koester I, Kosciolek T, Kreps J, Langille MGI, Lee J, Ley R, Liu Y-X, </w:t>
      </w:r>
      <w:proofErr w:type="spellStart"/>
      <w:r w:rsidRPr="00523D5D">
        <w:rPr>
          <w:sz w:val="20"/>
          <w:szCs w:val="20"/>
        </w:rPr>
        <w:t>Loftfield</w:t>
      </w:r>
      <w:proofErr w:type="spellEnd"/>
      <w:r w:rsidRPr="00523D5D">
        <w:rPr>
          <w:sz w:val="20"/>
          <w:szCs w:val="20"/>
        </w:rPr>
        <w:t xml:space="preserve"> E, </w:t>
      </w:r>
      <w:proofErr w:type="spellStart"/>
      <w:r w:rsidRPr="00523D5D">
        <w:rPr>
          <w:sz w:val="20"/>
          <w:szCs w:val="20"/>
        </w:rPr>
        <w:t>Lozupone</w:t>
      </w:r>
      <w:proofErr w:type="spellEnd"/>
      <w:r w:rsidRPr="00523D5D">
        <w:rPr>
          <w:sz w:val="20"/>
          <w:szCs w:val="20"/>
        </w:rPr>
        <w:t xml:space="preserve"> C, Maher M, Marotz C, Martin BD, McDonald D, McIver LJ, Melnik AV, Metcalf JL, Morgan SC, Morton JT, </w:t>
      </w:r>
      <w:proofErr w:type="spellStart"/>
      <w:r w:rsidRPr="00523D5D">
        <w:rPr>
          <w:sz w:val="20"/>
          <w:szCs w:val="20"/>
        </w:rPr>
        <w:t>Naimey</w:t>
      </w:r>
      <w:proofErr w:type="spellEnd"/>
      <w:r w:rsidRPr="00523D5D">
        <w:rPr>
          <w:sz w:val="20"/>
          <w:szCs w:val="20"/>
        </w:rPr>
        <w:t xml:space="preserve"> AT, Navas-Molina JA, </w:t>
      </w:r>
      <w:proofErr w:type="spellStart"/>
      <w:r w:rsidRPr="00523D5D">
        <w:rPr>
          <w:sz w:val="20"/>
          <w:szCs w:val="20"/>
        </w:rPr>
        <w:t>Nothias</w:t>
      </w:r>
      <w:proofErr w:type="spellEnd"/>
      <w:r w:rsidRPr="00523D5D">
        <w:rPr>
          <w:sz w:val="20"/>
          <w:szCs w:val="20"/>
        </w:rPr>
        <w:t xml:space="preserve"> LF, Orchanian SB, Pearson T, Peoples SL, Petras D, Preuss ML, </w:t>
      </w:r>
      <w:proofErr w:type="spellStart"/>
      <w:r w:rsidRPr="00523D5D">
        <w:rPr>
          <w:sz w:val="20"/>
          <w:szCs w:val="20"/>
        </w:rPr>
        <w:t>Pruesse</w:t>
      </w:r>
      <w:proofErr w:type="spellEnd"/>
      <w:r w:rsidRPr="00523D5D">
        <w:rPr>
          <w:sz w:val="20"/>
          <w:szCs w:val="20"/>
        </w:rPr>
        <w:t xml:space="preserve"> E, Rasmussen LB, Rivers A, Robeson II MS, Rosenthal P, </w:t>
      </w:r>
      <w:proofErr w:type="spellStart"/>
      <w:r w:rsidRPr="00523D5D">
        <w:rPr>
          <w:sz w:val="20"/>
          <w:szCs w:val="20"/>
        </w:rPr>
        <w:t>Segata</w:t>
      </w:r>
      <w:proofErr w:type="spellEnd"/>
      <w:r w:rsidRPr="00523D5D">
        <w:rPr>
          <w:sz w:val="20"/>
          <w:szCs w:val="20"/>
        </w:rPr>
        <w:t xml:space="preserve"> N, Shaffer M, Shiffer A, Sinha R, Song SJ, Spear JR, Swafford AD, Thompson LR, Torres PJ, Trinh P, Tripathi A, Turnbaugh PJ, Ul-Hasan S, van der Hooft JJJ, Vargas F, Vázquez-Baeza Y, </w:t>
      </w:r>
      <w:proofErr w:type="spellStart"/>
      <w:r w:rsidRPr="00523D5D">
        <w:rPr>
          <w:sz w:val="20"/>
          <w:szCs w:val="20"/>
        </w:rPr>
        <w:t>Vogtmann</w:t>
      </w:r>
      <w:proofErr w:type="spellEnd"/>
      <w:r w:rsidRPr="00523D5D">
        <w:rPr>
          <w:sz w:val="20"/>
          <w:szCs w:val="20"/>
        </w:rPr>
        <w:t xml:space="preserve"> E, von Hippel M, Walters W, Wan Y, Wang M, Warren J, Weber KC, Williamson CHD, Willis AD, Xu ZZ, </w:t>
      </w:r>
      <w:proofErr w:type="spellStart"/>
      <w:r w:rsidRPr="00523D5D">
        <w:rPr>
          <w:sz w:val="20"/>
          <w:szCs w:val="20"/>
        </w:rPr>
        <w:t>Zaneveld</w:t>
      </w:r>
      <w:proofErr w:type="spellEnd"/>
      <w:r w:rsidRPr="00523D5D">
        <w:rPr>
          <w:sz w:val="20"/>
          <w:szCs w:val="20"/>
        </w:rPr>
        <w:t xml:space="preserve"> JR, Zhang Y, Zhu Q, Knight R, Caporaso JG (2019) Reproducible, interactive, scalable and extensible microbiome data science using QIIME 2. Nat </w:t>
      </w:r>
      <w:proofErr w:type="spellStart"/>
      <w:r w:rsidRPr="00523D5D">
        <w:rPr>
          <w:sz w:val="20"/>
          <w:szCs w:val="20"/>
        </w:rPr>
        <w:t>Biotechnol</w:t>
      </w:r>
      <w:proofErr w:type="spellEnd"/>
      <w:r w:rsidRPr="00523D5D">
        <w:rPr>
          <w:sz w:val="20"/>
          <w:szCs w:val="20"/>
        </w:rPr>
        <w:t xml:space="preserve"> 37:852–857. </w:t>
      </w:r>
      <w:hyperlink r:id="rId10" w:history="1">
        <w:r w:rsidRPr="00523D5D">
          <w:rPr>
            <w:sz w:val="20"/>
            <w:szCs w:val="20"/>
          </w:rPr>
          <w:t>https://doi.org/10.1038/s41587-019-0209-9</w:t>
        </w:r>
      </w:hyperlink>
    </w:p>
    <w:p w14:paraId="2CE5FB98" w14:textId="2CB5D167" w:rsidR="00013273" w:rsidRPr="00523D5D" w:rsidRDefault="00013273" w:rsidP="00013273">
      <w:pPr>
        <w:pStyle w:val="EndNoteBibliography"/>
        <w:spacing w:after="240" w:line="360" w:lineRule="auto"/>
        <w:ind w:left="720" w:hanging="720"/>
        <w:rPr>
          <w:sz w:val="20"/>
          <w:szCs w:val="20"/>
        </w:rPr>
      </w:pPr>
      <w:r>
        <w:rPr>
          <w:sz w:val="20"/>
          <w:szCs w:val="20"/>
        </w:rPr>
        <w:t>5</w:t>
      </w:r>
      <w:r w:rsidRPr="00523D5D">
        <w:rPr>
          <w:sz w:val="20"/>
          <w:szCs w:val="20"/>
        </w:rPr>
        <w:t>.</w:t>
      </w:r>
      <w:r w:rsidRPr="00523D5D">
        <w:rPr>
          <w:sz w:val="20"/>
          <w:szCs w:val="20"/>
        </w:rPr>
        <w:tab/>
        <w:t xml:space="preserve">Callahan BJ, McMurdie PJ, Rosen MJ, Han AW, Johnson AJA, Holmes SP (2016) DADA2: high-resolution sample inference from Illumina amplicon data. Nat Methods 13:581–583. </w:t>
      </w:r>
      <w:hyperlink r:id="rId11" w:history="1">
        <w:r w:rsidRPr="00523D5D">
          <w:rPr>
            <w:sz w:val="20"/>
            <w:szCs w:val="20"/>
          </w:rPr>
          <w:t>https://doi.org/10.1038/nmeth.3869</w:t>
        </w:r>
      </w:hyperlink>
    </w:p>
    <w:p w14:paraId="0DF1CB6A" w14:textId="422C4AD3" w:rsidR="00013273" w:rsidRDefault="00013273" w:rsidP="00013273">
      <w:pPr>
        <w:pStyle w:val="EndNoteBibliography"/>
        <w:spacing w:after="240" w:line="360" w:lineRule="auto"/>
        <w:ind w:left="720" w:hanging="720"/>
        <w:rPr>
          <w:sz w:val="20"/>
          <w:szCs w:val="20"/>
        </w:rPr>
      </w:pPr>
      <w:r>
        <w:rPr>
          <w:sz w:val="20"/>
          <w:szCs w:val="20"/>
        </w:rPr>
        <w:t>6</w:t>
      </w:r>
      <w:r w:rsidRPr="00523D5D">
        <w:rPr>
          <w:sz w:val="20"/>
          <w:szCs w:val="20"/>
        </w:rPr>
        <w:t>.</w:t>
      </w:r>
      <w:r w:rsidRPr="00523D5D">
        <w:rPr>
          <w:sz w:val="20"/>
          <w:szCs w:val="20"/>
        </w:rPr>
        <w:tab/>
        <w:t xml:space="preserve">Rognes T, </w:t>
      </w:r>
      <w:proofErr w:type="spellStart"/>
      <w:r w:rsidRPr="00523D5D">
        <w:rPr>
          <w:sz w:val="20"/>
          <w:szCs w:val="20"/>
        </w:rPr>
        <w:t>Flouri</w:t>
      </w:r>
      <w:proofErr w:type="spellEnd"/>
      <w:r w:rsidRPr="00523D5D">
        <w:rPr>
          <w:sz w:val="20"/>
          <w:szCs w:val="20"/>
        </w:rPr>
        <w:t xml:space="preserve"> T, Nichols B, Quince C, Mahé F (2016) VSEARCH: a versatile open source tool for metagenomics. </w:t>
      </w:r>
      <w:proofErr w:type="spellStart"/>
      <w:r w:rsidRPr="00523D5D">
        <w:rPr>
          <w:sz w:val="20"/>
          <w:szCs w:val="20"/>
        </w:rPr>
        <w:t>PeerJ</w:t>
      </w:r>
      <w:proofErr w:type="spellEnd"/>
      <w:r w:rsidRPr="00523D5D">
        <w:rPr>
          <w:sz w:val="20"/>
          <w:szCs w:val="20"/>
        </w:rPr>
        <w:t xml:space="preserve"> </w:t>
      </w:r>
      <w:proofErr w:type="gramStart"/>
      <w:r w:rsidRPr="00523D5D">
        <w:rPr>
          <w:sz w:val="20"/>
          <w:szCs w:val="20"/>
        </w:rPr>
        <w:t>4:e</w:t>
      </w:r>
      <w:proofErr w:type="gramEnd"/>
      <w:r w:rsidRPr="00523D5D">
        <w:rPr>
          <w:sz w:val="20"/>
          <w:szCs w:val="20"/>
        </w:rPr>
        <w:t xml:space="preserve">2584. </w:t>
      </w:r>
      <w:hyperlink r:id="rId12" w:history="1">
        <w:r w:rsidRPr="00523D5D">
          <w:rPr>
            <w:sz w:val="20"/>
            <w:szCs w:val="20"/>
          </w:rPr>
          <w:t>https://doi.org/10.7717/peerj.2584</w:t>
        </w:r>
      </w:hyperlink>
    </w:p>
    <w:p w14:paraId="6FBEF99E" w14:textId="2EC84AD7" w:rsidR="00013273" w:rsidRPr="00523D5D" w:rsidRDefault="00013273" w:rsidP="00013273">
      <w:pPr>
        <w:pStyle w:val="EndNoteBibliography"/>
        <w:spacing w:after="240" w:line="360" w:lineRule="auto"/>
        <w:ind w:left="720" w:hanging="720"/>
        <w:rPr>
          <w:sz w:val="20"/>
          <w:szCs w:val="20"/>
        </w:rPr>
      </w:pPr>
      <w:r>
        <w:rPr>
          <w:sz w:val="20"/>
          <w:szCs w:val="20"/>
        </w:rPr>
        <w:t>7</w:t>
      </w:r>
      <w:r w:rsidRPr="00523D5D">
        <w:rPr>
          <w:sz w:val="20"/>
          <w:szCs w:val="20"/>
        </w:rPr>
        <w:t>.</w:t>
      </w:r>
      <w:r w:rsidRPr="00523D5D">
        <w:rPr>
          <w:sz w:val="20"/>
          <w:szCs w:val="20"/>
        </w:rPr>
        <w:tab/>
        <w:t xml:space="preserve">Katoh K, </w:t>
      </w:r>
      <w:proofErr w:type="spellStart"/>
      <w:r w:rsidRPr="00523D5D">
        <w:rPr>
          <w:sz w:val="20"/>
          <w:szCs w:val="20"/>
        </w:rPr>
        <w:t>Standley</w:t>
      </w:r>
      <w:proofErr w:type="spellEnd"/>
      <w:r w:rsidRPr="00523D5D">
        <w:rPr>
          <w:sz w:val="20"/>
          <w:szCs w:val="20"/>
        </w:rPr>
        <w:t xml:space="preserve"> DM (2013) MAFFT multiple sequence alignment software version 7: improvements in performance and usability. Mol Biol </w:t>
      </w:r>
      <w:proofErr w:type="spellStart"/>
      <w:r w:rsidRPr="00523D5D">
        <w:rPr>
          <w:sz w:val="20"/>
          <w:szCs w:val="20"/>
        </w:rPr>
        <w:t>Evol</w:t>
      </w:r>
      <w:proofErr w:type="spellEnd"/>
      <w:r w:rsidRPr="00523D5D">
        <w:rPr>
          <w:sz w:val="20"/>
          <w:szCs w:val="20"/>
        </w:rPr>
        <w:t xml:space="preserve"> 30:772–780. </w:t>
      </w:r>
      <w:hyperlink r:id="rId13" w:history="1">
        <w:r w:rsidRPr="00523D5D">
          <w:rPr>
            <w:sz w:val="20"/>
            <w:szCs w:val="20"/>
          </w:rPr>
          <w:t>https://doi.org/10.1093/molbev/mst010</w:t>
        </w:r>
      </w:hyperlink>
    </w:p>
    <w:p w14:paraId="0C7B18DD" w14:textId="7898F800" w:rsidR="00013273" w:rsidRPr="00523D5D" w:rsidRDefault="00013273" w:rsidP="00013273">
      <w:pPr>
        <w:pStyle w:val="EndNoteBibliography"/>
        <w:spacing w:after="240" w:line="360" w:lineRule="auto"/>
        <w:ind w:left="720" w:hanging="720"/>
        <w:rPr>
          <w:sz w:val="20"/>
          <w:szCs w:val="20"/>
        </w:rPr>
      </w:pPr>
      <w:r>
        <w:rPr>
          <w:sz w:val="20"/>
          <w:szCs w:val="20"/>
        </w:rPr>
        <w:t>8</w:t>
      </w:r>
      <w:r w:rsidRPr="00523D5D">
        <w:rPr>
          <w:sz w:val="20"/>
          <w:szCs w:val="20"/>
        </w:rPr>
        <w:t>.</w:t>
      </w:r>
      <w:r w:rsidRPr="00523D5D">
        <w:rPr>
          <w:sz w:val="20"/>
          <w:szCs w:val="20"/>
        </w:rPr>
        <w:tab/>
        <w:t xml:space="preserve">Stamatakis A (2014) </w:t>
      </w:r>
      <w:proofErr w:type="spellStart"/>
      <w:r w:rsidRPr="00523D5D">
        <w:rPr>
          <w:sz w:val="20"/>
          <w:szCs w:val="20"/>
        </w:rPr>
        <w:t>RAxML</w:t>
      </w:r>
      <w:proofErr w:type="spellEnd"/>
      <w:r w:rsidRPr="00523D5D">
        <w:rPr>
          <w:sz w:val="20"/>
          <w:szCs w:val="20"/>
        </w:rPr>
        <w:t xml:space="preserve"> version 8: a tool for phylogenetic analysis and post-analysis of large phylogenies. Bioinformatics 30:1312–1313. </w:t>
      </w:r>
      <w:hyperlink r:id="rId14" w:history="1">
        <w:r w:rsidRPr="00523D5D">
          <w:rPr>
            <w:sz w:val="20"/>
            <w:szCs w:val="20"/>
          </w:rPr>
          <w:t>https://doi.org/10.1093/bioinformatics/btu033</w:t>
        </w:r>
      </w:hyperlink>
    </w:p>
    <w:p w14:paraId="69759081" w14:textId="755F74D3" w:rsidR="00013273" w:rsidRPr="00523D5D" w:rsidRDefault="00013273" w:rsidP="00013273">
      <w:pPr>
        <w:pStyle w:val="EndNoteBibliography"/>
        <w:spacing w:after="240" w:line="360" w:lineRule="auto"/>
        <w:ind w:left="720" w:hanging="720"/>
        <w:rPr>
          <w:sz w:val="20"/>
          <w:szCs w:val="20"/>
        </w:rPr>
      </w:pPr>
      <w:r>
        <w:rPr>
          <w:sz w:val="20"/>
          <w:szCs w:val="20"/>
        </w:rPr>
        <w:t>9</w:t>
      </w:r>
      <w:r w:rsidRPr="00523D5D">
        <w:rPr>
          <w:sz w:val="20"/>
          <w:szCs w:val="20"/>
        </w:rPr>
        <w:t>.</w:t>
      </w:r>
      <w:r w:rsidRPr="00523D5D">
        <w:rPr>
          <w:sz w:val="20"/>
          <w:szCs w:val="20"/>
        </w:rPr>
        <w:tab/>
        <w:t xml:space="preserve">Oksanen J, Simpson G, Blanchet F, Kindt R, Legendre P, Minchin P, O’Hara R, Solymos P, Stevens M, </w:t>
      </w:r>
      <w:proofErr w:type="spellStart"/>
      <w:r w:rsidRPr="00523D5D">
        <w:rPr>
          <w:sz w:val="20"/>
          <w:szCs w:val="20"/>
        </w:rPr>
        <w:t>Szoecs</w:t>
      </w:r>
      <w:proofErr w:type="spellEnd"/>
      <w:r w:rsidRPr="00523D5D">
        <w:rPr>
          <w:sz w:val="20"/>
          <w:szCs w:val="20"/>
        </w:rPr>
        <w:t xml:space="preserve"> E, Wagner H, Barbour M, Bedward M, Bolker B, </w:t>
      </w:r>
      <w:proofErr w:type="spellStart"/>
      <w:r w:rsidRPr="00523D5D">
        <w:rPr>
          <w:sz w:val="20"/>
          <w:szCs w:val="20"/>
        </w:rPr>
        <w:t>Borcard</w:t>
      </w:r>
      <w:proofErr w:type="spellEnd"/>
      <w:r w:rsidRPr="00523D5D">
        <w:rPr>
          <w:sz w:val="20"/>
          <w:szCs w:val="20"/>
        </w:rPr>
        <w:t xml:space="preserve"> D, Carvalho G, Chirico M, De Caceres M, Durand S, Evangelista H, </w:t>
      </w:r>
      <w:proofErr w:type="spellStart"/>
      <w:r w:rsidRPr="00523D5D">
        <w:rPr>
          <w:sz w:val="20"/>
          <w:szCs w:val="20"/>
        </w:rPr>
        <w:t>FitzJohn</w:t>
      </w:r>
      <w:proofErr w:type="spellEnd"/>
      <w:r w:rsidRPr="00523D5D">
        <w:rPr>
          <w:sz w:val="20"/>
          <w:szCs w:val="20"/>
        </w:rPr>
        <w:t xml:space="preserve"> R, Friendly M, </w:t>
      </w:r>
      <w:proofErr w:type="spellStart"/>
      <w:r w:rsidRPr="00523D5D">
        <w:rPr>
          <w:sz w:val="20"/>
          <w:szCs w:val="20"/>
        </w:rPr>
        <w:t>Furneaux</w:t>
      </w:r>
      <w:proofErr w:type="spellEnd"/>
      <w:r w:rsidRPr="00523D5D">
        <w:rPr>
          <w:sz w:val="20"/>
          <w:szCs w:val="20"/>
        </w:rPr>
        <w:t xml:space="preserve"> B, Hannigan G, Hill M, Lahti L, McGlinn D, Ouellette M, Ribeiro Cunha E, Smith T, Stier A, Ter Braak C, Weedon J (2024) </w:t>
      </w:r>
      <w:r w:rsidR="00E2209C">
        <w:rPr>
          <w:sz w:val="20"/>
          <w:szCs w:val="20"/>
        </w:rPr>
        <w:t>v</w:t>
      </w:r>
      <w:r w:rsidRPr="00523D5D">
        <w:rPr>
          <w:sz w:val="20"/>
          <w:szCs w:val="20"/>
        </w:rPr>
        <w:t>egan: community Ecology Package. R package version 2.6-8. https://CRAN.R-project.org/package=vegan</w:t>
      </w:r>
    </w:p>
    <w:p w14:paraId="08A6DF07" w14:textId="03F83D7F" w:rsidR="00013273" w:rsidRDefault="00013273" w:rsidP="00013273">
      <w:pPr>
        <w:pStyle w:val="EndNoteBibliography"/>
        <w:spacing w:after="240" w:line="360" w:lineRule="auto"/>
        <w:ind w:left="720" w:hanging="720"/>
        <w:rPr>
          <w:sz w:val="20"/>
          <w:szCs w:val="20"/>
        </w:rPr>
      </w:pPr>
      <w:r>
        <w:rPr>
          <w:sz w:val="20"/>
          <w:szCs w:val="20"/>
        </w:rPr>
        <w:t>10</w:t>
      </w:r>
      <w:r w:rsidRPr="00523D5D">
        <w:rPr>
          <w:sz w:val="20"/>
          <w:szCs w:val="20"/>
        </w:rPr>
        <w:t>.</w:t>
      </w:r>
      <w:r w:rsidRPr="00523D5D">
        <w:rPr>
          <w:sz w:val="20"/>
          <w:szCs w:val="20"/>
        </w:rPr>
        <w:tab/>
      </w:r>
      <w:proofErr w:type="spellStart"/>
      <w:r w:rsidRPr="00523D5D">
        <w:rPr>
          <w:sz w:val="20"/>
          <w:szCs w:val="20"/>
        </w:rPr>
        <w:t>Segata</w:t>
      </w:r>
      <w:proofErr w:type="spellEnd"/>
      <w:r w:rsidRPr="00523D5D">
        <w:rPr>
          <w:sz w:val="20"/>
          <w:szCs w:val="20"/>
        </w:rPr>
        <w:t xml:space="preserve"> N, Izard J, Waldron L, Gevers D, </w:t>
      </w:r>
      <w:proofErr w:type="spellStart"/>
      <w:r w:rsidRPr="00523D5D">
        <w:rPr>
          <w:sz w:val="20"/>
          <w:szCs w:val="20"/>
        </w:rPr>
        <w:t>Miropolsky</w:t>
      </w:r>
      <w:proofErr w:type="spellEnd"/>
      <w:r w:rsidRPr="00523D5D">
        <w:rPr>
          <w:sz w:val="20"/>
          <w:szCs w:val="20"/>
        </w:rPr>
        <w:t xml:space="preserve"> L, Garrett WS, </w:t>
      </w:r>
      <w:proofErr w:type="spellStart"/>
      <w:r w:rsidRPr="00523D5D">
        <w:rPr>
          <w:sz w:val="20"/>
          <w:szCs w:val="20"/>
        </w:rPr>
        <w:t>Huttenhower</w:t>
      </w:r>
      <w:proofErr w:type="spellEnd"/>
      <w:r w:rsidRPr="00523D5D">
        <w:rPr>
          <w:sz w:val="20"/>
          <w:szCs w:val="20"/>
        </w:rPr>
        <w:t xml:space="preserve"> C (2011) Metagenomic biomarker discovery and explanation. Genome Biol </w:t>
      </w:r>
      <w:proofErr w:type="gramStart"/>
      <w:r w:rsidRPr="00523D5D">
        <w:rPr>
          <w:sz w:val="20"/>
          <w:szCs w:val="20"/>
        </w:rPr>
        <w:t>12:R</w:t>
      </w:r>
      <w:proofErr w:type="gramEnd"/>
      <w:r w:rsidRPr="00523D5D">
        <w:rPr>
          <w:sz w:val="20"/>
          <w:szCs w:val="20"/>
        </w:rPr>
        <w:t xml:space="preserve">60. </w:t>
      </w:r>
      <w:hyperlink r:id="rId15" w:history="1">
        <w:r w:rsidRPr="00523D5D">
          <w:rPr>
            <w:sz w:val="20"/>
            <w:szCs w:val="20"/>
          </w:rPr>
          <w:t>https://doi.org/10.1186/gb-2011-12-6-r60</w:t>
        </w:r>
      </w:hyperlink>
    </w:p>
    <w:p w14:paraId="1313190D" w14:textId="3EAFA114" w:rsidR="00E2209C" w:rsidRPr="004404B1" w:rsidRDefault="00E2209C" w:rsidP="00E2209C">
      <w:pPr>
        <w:pStyle w:val="EndNoteBibliography"/>
        <w:spacing w:after="240" w:line="360" w:lineRule="auto"/>
        <w:ind w:left="720" w:hanging="720"/>
        <w:rPr>
          <w:color w:val="000000" w:themeColor="text1"/>
          <w:sz w:val="20"/>
          <w:szCs w:val="20"/>
        </w:rPr>
      </w:pPr>
      <w:r>
        <w:rPr>
          <w:sz w:val="20"/>
          <w:szCs w:val="20"/>
        </w:rPr>
        <w:t>11</w:t>
      </w:r>
      <w:r w:rsidRPr="00523D5D">
        <w:rPr>
          <w:sz w:val="20"/>
          <w:szCs w:val="20"/>
        </w:rPr>
        <w:t>.</w:t>
      </w:r>
      <w:r w:rsidRPr="00523D5D">
        <w:rPr>
          <w:sz w:val="20"/>
          <w:szCs w:val="20"/>
        </w:rPr>
        <w:tab/>
        <w:t xml:space="preserve">Kolde R (2019) pheatmap: Pretty </w:t>
      </w:r>
      <w:r>
        <w:rPr>
          <w:sz w:val="20"/>
          <w:szCs w:val="20"/>
        </w:rPr>
        <w:t>H</w:t>
      </w:r>
      <w:r w:rsidRPr="00523D5D">
        <w:rPr>
          <w:sz w:val="20"/>
          <w:szCs w:val="20"/>
        </w:rPr>
        <w:t xml:space="preserve">eatmaps. R package version 1.0.12. </w:t>
      </w:r>
      <w:hyperlink r:id="rId16" w:history="1">
        <w:r w:rsidRPr="004404B1">
          <w:rPr>
            <w:rStyle w:val="af3"/>
            <w:color w:val="000000" w:themeColor="text1"/>
            <w:sz w:val="20"/>
            <w:szCs w:val="20"/>
          </w:rPr>
          <w:t>https://CRAN.R-project.org/package=pheatmap</w:t>
        </w:r>
      </w:hyperlink>
    </w:p>
    <w:p w14:paraId="72C343AB" w14:textId="1646F3EA" w:rsidR="00E2209C" w:rsidRDefault="00E2209C" w:rsidP="00E2209C">
      <w:pPr>
        <w:pStyle w:val="EndNoteBibliography"/>
        <w:spacing w:after="240" w:line="360" w:lineRule="auto"/>
        <w:ind w:left="720" w:hanging="720"/>
        <w:rPr>
          <w:sz w:val="20"/>
          <w:szCs w:val="20"/>
        </w:rPr>
      </w:pPr>
      <w:r>
        <w:rPr>
          <w:sz w:val="20"/>
          <w:szCs w:val="20"/>
        </w:rPr>
        <w:t>12</w:t>
      </w:r>
      <w:r w:rsidRPr="00523D5D">
        <w:rPr>
          <w:sz w:val="20"/>
          <w:szCs w:val="20"/>
        </w:rPr>
        <w:t>.</w:t>
      </w:r>
      <w:r w:rsidRPr="00523D5D">
        <w:rPr>
          <w:sz w:val="20"/>
          <w:szCs w:val="20"/>
        </w:rPr>
        <w:tab/>
        <w:t xml:space="preserve">De Cáceres MD, Legendre P (2009) Associations between species and groups of sites: indices and statistical inference. Ecology 90:3566–3574. </w:t>
      </w:r>
      <w:hyperlink r:id="rId17" w:history="1">
        <w:r w:rsidRPr="00523D5D">
          <w:rPr>
            <w:sz w:val="20"/>
            <w:szCs w:val="20"/>
          </w:rPr>
          <w:t>https://doi.org/10.1890/08-1823.1</w:t>
        </w:r>
      </w:hyperlink>
    </w:p>
    <w:p w14:paraId="403A13DF" w14:textId="1ABC8BA2" w:rsidR="00E2209C" w:rsidRDefault="00E2209C" w:rsidP="00E2209C">
      <w:pPr>
        <w:pStyle w:val="EndNoteBibliography"/>
        <w:spacing w:after="240" w:line="360" w:lineRule="auto"/>
        <w:ind w:left="720" w:hanging="720"/>
        <w:rPr>
          <w:sz w:val="20"/>
          <w:szCs w:val="20"/>
        </w:rPr>
      </w:pPr>
      <w:r>
        <w:rPr>
          <w:sz w:val="20"/>
          <w:szCs w:val="20"/>
        </w:rPr>
        <w:lastRenderedPageBreak/>
        <w:t>13</w:t>
      </w:r>
      <w:r w:rsidRPr="00523D5D">
        <w:rPr>
          <w:sz w:val="20"/>
          <w:szCs w:val="20"/>
        </w:rPr>
        <w:t>.</w:t>
      </w:r>
      <w:r w:rsidRPr="00523D5D">
        <w:rPr>
          <w:sz w:val="20"/>
          <w:szCs w:val="20"/>
        </w:rPr>
        <w:tab/>
        <w:t>R Core Team R (2013) R: A language and environment for statistical computing</w:t>
      </w:r>
    </w:p>
    <w:p w14:paraId="5E37900D" w14:textId="16C5FE7D" w:rsidR="00E2209C" w:rsidRDefault="00E2209C" w:rsidP="00E2209C">
      <w:pPr>
        <w:pStyle w:val="EndNoteBibliography"/>
        <w:spacing w:after="240" w:line="360" w:lineRule="auto"/>
        <w:ind w:left="720" w:hanging="720"/>
        <w:rPr>
          <w:sz w:val="20"/>
          <w:szCs w:val="20"/>
        </w:rPr>
      </w:pPr>
      <w:r>
        <w:rPr>
          <w:sz w:val="20"/>
          <w:szCs w:val="20"/>
        </w:rPr>
        <w:t>14</w:t>
      </w:r>
      <w:r w:rsidRPr="00523D5D">
        <w:rPr>
          <w:sz w:val="20"/>
          <w:szCs w:val="20"/>
        </w:rPr>
        <w:t>.</w:t>
      </w:r>
      <w:r w:rsidRPr="00523D5D">
        <w:rPr>
          <w:sz w:val="20"/>
          <w:szCs w:val="20"/>
        </w:rPr>
        <w:tab/>
        <w:t xml:space="preserve">Kwon SL, Cho M, Lee YM, Lee H, Kim C, Kim G-H, </w:t>
      </w:r>
      <w:r w:rsidRPr="004F5F99">
        <w:rPr>
          <w:sz w:val="20"/>
          <w:szCs w:val="20"/>
        </w:rPr>
        <w:t>Kim J-J (2022) Diversity</w:t>
      </w:r>
      <w:r w:rsidRPr="00523D5D">
        <w:rPr>
          <w:sz w:val="20"/>
          <w:szCs w:val="20"/>
        </w:rPr>
        <w:t xml:space="preserve"> of the bambusicolous fungus </w:t>
      </w:r>
      <w:r w:rsidRPr="00523D5D">
        <w:rPr>
          <w:i/>
          <w:sz w:val="20"/>
          <w:szCs w:val="20"/>
        </w:rPr>
        <w:t>Apiospora</w:t>
      </w:r>
      <w:r w:rsidRPr="00523D5D">
        <w:rPr>
          <w:sz w:val="20"/>
          <w:szCs w:val="20"/>
        </w:rPr>
        <w:t xml:space="preserve"> in Korea: discovery of new </w:t>
      </w:r>
      <w:r w:rsidRPr="00523D5D">
        <w:rPr>
          <w:i/>
          <w:sz w:val="20"/>
          <w:szCs w:val="20"/>
        </w:rPr>
        <w:t>Apiospora</w:t>
      </w:r>
      <w:r w:rsidRPr="00523D5D">
        <w:rPr>
          <w:sz w:val="20"/>
          <w:szCs w:val="20"/>
        </w:rPr>
        <w:t xml:space="preserve"> species. Mycobiology 50:302–316. </w:t>
      </w:r>
      <w:hyperlink r:id="rId18" w:history="1">
        <w:r w:rsidRPr="00523D5D">
          <w:rPr>
            <w:sz w:val="20"/>
            <w:szCs w:val="20"/>
          </w:rPr>
          <w:t>https://doi.org/10.1080/12298093.2022.2133808</w:t>
        </w:r>
      </w:hyperlink>
    </w:p>
    <w:p w14:paraId="5A511D0B" w14:textId="2A6E3049" w:rsidR="00E2209C" w:rsidRDefault="00E2209C" w:rsidP="00E2209C">
      <w:pPr>
        <w:pStyle w:val="EndNoteBibliography"/>
        <w:spacing w:after="240" w:line="360" w:lineRule="auto"/>
        <w:ind w:left="720" w:hanging="720"/>
        <w:rPr>
          <w:sz w:val="20"/>
          <w:szCs w:val="20"/>
        </w:rPr>
      </w:pPr>
      <w:r>
        <w:rPr>
          <w:sz w:val="20"/>
          <w:szCs w:val="20"/>
        </w:rPr>
        <w:t>15</w:t>
      </w:r>
      <w:r w:rsidRPr="00523D5D">
        <w:rPr>
          <w:sz w:val="20"/>
          <w:szCs w:val="20"/>
        </w:rPr>
        <w:t>.</w:t>
      </w:r>
      <w:r w:rsidRPr="00523D5D">
        <w:rPr>
          <w:sz w:val="20"/>
          <w:szCs w:val="20"/>
        </w:rPr>
        <w:tab/>
        <w:t xml:space="preserve">Hong J-H, Jang S, Heo YM, Min M, Lee H, Lee YM, Lee H, Kim J-J (2015) Investigation of marine-derived fungal diversity and their exploitable biological activities. Mar Drugs 13:4137–4155. </w:t>
      </w:r>
      <w:hyperlink r:id="rId19" w:history="1">
        <w:r w:rsidRPr="00523D5D">
          <w:rPr>
            <w:sz w:val="20"/>
            <w:szCs w:val="20"/>
          </w:rPr>
          <w:t>https://doi.org/10.3390/md13074137</w:t>
        </w:r>
      </w:hyperlink>
    </w:p>
    <w:p w14:paraId="751BE82D" w14:textId="79A32B9A" w:rsidR="00E2209C" w:rsidRPr="00523D5D" w:rsidRDefault="00E2209C" w:rsidP="00E2209C">
      <w:pPr>
        <w:pStyle w:val="EndNoteBibliography"/>
        <w:spacing w:after="240" w:line="360" w:lineRule="auto"/>
        <w:ind w:left="720" w:hanging="720"/>
        <w:rPr>
          <w:sz w:val="20"/>
          <w:szCs w:val="20"/>
        </w:rPr>
      </w:pPr>
      <w:r>
        <w:rPr>
          <w:sz w:val="20"/>
          <w:szCs w:val="20"/>
        </w:rPr>
        <w:t>16</w:t>
      </w:r>
      <w:r w:rsidRPr="00523D5D">
        <w:rPr>
          <w:sz w:val="20"/>
          <w:szCs w:val="20"/>
        </w:rPr>
        <w:t>.</w:t>
      </w:r>
      <w:r w:rsidRPr="00523D5D">
        <w:rPr>
          <w:sz w:val="20"/>
          <w:szCs w:val="20"/>
        </w:rPr>
        <w:tab/>
        <w:t xml:space="preserve">Williamson B, </w:t>
      </w:r>
      <w:proofErr w:type="spellStart"/>
      <w:r w:rsidRPr="00523D5D">
        <w:rPr>
          <w:sz w:val="20"/>
          <w:szCs w:val="20"/>
        </w:rPr>
        <w:t>Tudzynski</w:t>
      </w:r>
      <w:proofErr w:type="spellEnd"/>
      <w:r w:rsidRPr="00523D5D">
        <w:rPr>
          <w:sz w:val="20"/>
          <w:szCs w:val="20"/>
        </w:rPr>
        <w:t xml:space="preserve"> B, </w:t>
      </w:r>
      <w:proofErr w:type="spellStart"/>
      <w:r w:rsidRPr="00523D5D">
        <w:rPr>
          <w:sz w:val="20"/>
          <w:szCs w:val="20"/>
        </w:rPr>
        <w:t>Tudzynski</w:t>
      </w:r>
      <w:proofErr w:type="spellEnd"/>
      <w:r w:rsidRPr="00523D5D">
        <w:rPr>
          <w:sz w:val="20"/>
          <w:szCs w:val="20"/>
        </w:rPr>
        <w:t xml:space="preserve"> P, Van Kan JAL (2007) </w:t>
      </w:r>
      <w:r w:rsidRPr="00523D5D">
        <w:rPr>
          <w:i/>
          <w:sz w:val="20"/>
          <w:szCs w:val="20"/>
        </w:rPr>
        <w:t>Botrytis cinerea</w:t>
      </w:r>
      <w:r w:rsidRPr="00523D5D">
        <w:rPr>
          <w:sz w:val="20"/>
          <w:szCs w:val="20"/>
        </w:rPr>
        <w:t xml:space="preserve">: the cause of grey </w:t>
      </w:r>
      <w:proofErr w:type="spellStart"/>
      <w:r w:rsidRPr="00523D5D">
        <w:rPr>
          <w:sz w:val="20"/>
          <w:szCs w:val="20"/>
        </w:rPr>
        <w:t>mould</w:t>
      </w:r>
      <w:proofErr w:type="spellEnd"/>
      <w:r w:rsidRPr="00523D5D">
        <w:rPr>
          <w:sz w:val="20"/>
          <w:szCs w:val="20"/>
        </w:rPr>
        <w:t xml:space="preserve"> disease. Mol Plant </w:t>
      </w:r>
      <w:proofErr w:type="spellStart"/>
      <w:r w:rsidRPr="00523D5D">
        <w:rPr>
          <w:sz w:val="20"/>
          <w:szCs w:val="20"/>
        </w:rPr>
        <w:t>Pathol</w:t>
      </w:r>
      <w:proofErr w:type="spellEnd"/>
      <w:r w:rsidRPr="00523D5D">
        <w:rPr>
          <w:sz w:val="20"/>
          <w:szCs w:val="20"/>
        </w:rPr>
        <w:t xml:space="preserve"> 8:561–580. </w:t>
      </w:r>
      <w:hyperlink r:id="rId20" w:history="1">
        <w:r w:rsidRPr="00523D5D">
          <w:rPr>
            <w:sz w:val="20"/>
            <w:szCs w:val="20"/>
          </w:rPr>
          <w:t>https://doi.org/10.1111/j.1364-3703.2007.00417.x</w:t>
        </w:r>
      </w:hyperlink>
    </w:p>
    <w:p w14:paraId="4AA702F4" w14:textId="794EFC19" w:rsidR="00E2209C" w:rsidRPr="00523D5D" w:rsidRDefault="00E2209C" w:rsidP="00E2209C">
      <w:pPr>
        <w:pStyle w:val="EndNoteBibliography"/>
        <w:spacing w:after="240" w:line="360" w:lineRule="auto"/>
        <w:ind w:left="720" w:hanging="720"/>
        <w:rPr>
          <w:sz w:val="20"/>
          <w:szCs w:val="20"/>
        </w:rPr>
      </w:pPr>
      <w:r>
        <w:rPr>
          <w:sz w:val="20"/>
          <w:szCs w:val="20"/>
        </w:rPr>
        <w:t>17</w:t>
      </w:r>
      <w:r w:rsidRPr="00523D5D">
        <w:rPr>
          <w:sz w:val="20"/>
          <w:szCs w:val="20"/>
        </w:rPr>
        <w:t>.</w:t>
      </w:r>
      <w:r w:rsidRPr="00523D5D">
        <w:rPr>
          <w:sz w:val="20"/>
          <w:szCs w:val="20"/>
        </w:rPr>
        <w:tab/>
        <w:t xml:space="preserve">Dean R, Van Kan JAL, Pretorius ZA, Hammond‐Kosack KE, Di Pietro A, </w:t>
      </w:r>
      <w:proofErr w:type="spellStart"/>
      <w:r w:rsidRPr="00523D5D">
        <w:rPr>
          <w:sz w:val="20"/>
          <w:szCs w:val="20"/>
        </w:rPr>
        <w:t>Spanu</w:t>
      </w:r>
      <w:proofErr w:type="spellEnd"/>
      <w:r w:rsidRPr="00523D5D">
        <w:rPr>
          <w:sz w:val="20"/>
          <w:szCs w:val="20"/>
        </w:rPr>
        <w:t xml:space="preserve"> PD, Rudd JJ, Dickman M, Kahmann R, Ellis J, Foster GD (2012) The top 10 fungal pathogens in molecular plant pathology. Mol Plant </w:t>
      </w:r>
      <w:proofErr w:type="spellStart"/>
      <w:r w:rsidRPr="00523D5D">
        <w:rPr>
          <w:sz w:val="20"/>
          <w:szCs w:val="20"/>
        </w:rPr>
        <w:t>Pathol</w:t>
      </w:r>
      <w:proofErr w:type="spellEnd"/>
      <w:r w:rsidRPr="00523D5D">
        <w:rPr>
          <w:sz w:val="20"/>
          <w:szCs w:val="20"/>
        </w:rPr>
        <w:t xml:space="preserve"> 13:414–430. </w:t>
      </w:r>
      <w:hyperlink r:id="rId21" w:history="1">
        <w:r w:rsidRPr="00523D5D">
          <w:rPr>
            <w:sz w:val="20"/>
            <w:szCs w:val="20"/>
          </w:rPr>
          <w:t>https://doi.org/10.1111/j.1364-3703.2011.00783.x</w:t>
        </w:r>
      </w:hyperlink>
    </w:p>
    <w:p w14:paraId="0429272E" w14:textId="44C0BB68" w:rsidR="00E2209C" w:rsidRDefault="00E2209C" w:rsidP="00E2209C">
      <w:pPr>
        <w:pStyle w:val="EndNoteBibliography"/>
        <w:spacing w:after="240" w:line="360" w:lineRule="auto"/>
        <w:ind w:left="720" w:hanging="720"/>
        <w:rPr>
          <w:sz w:val="20"/>
          <w:szCs w:val="20"/>
        </w:rPr>
      </w:pPr>
      <w:r>
        <w:rPr>
          <w:sz w:val="20"/>
          <w:szCs w:val="20"/>
        </w:rPr>
        <w:t>18</w:t>
      </w:r>
      <w:r w:rsidRPr="00523D5D">
        <w:rPr>
          <w:sz w:val="20"/>
          <w:szCs w:val="20"/>
        </w:rPr>
        <w:t>.</w:t>
      </w:r>
      <w:r w:rsidRPr="00523D5D">
        <w:rPr>
          <w:sz w:val="20"/>
          <w:szCs w:val="20"/>
        </w:rPr>
        <w:tab/>
        <w:t xml:space="preserve">Huang L, He J, Tian C-M, Li D-W (2023) Bambusicolous fungi, diseases, and insect pests of bamboo. </w:t>
      </w:r>
      <w:r>
        <w:rPr>
          <w:sz w:val="20"/>
          <w:szCs w:val="20"/>
        </w:rPr>
        <w:t xml:space="preserve">In: </w:t>
      </w:r>
      <w:r w:rsidRPr="00523D5D">
        <w:rPr>
          <w:sz w:val="20"/>
          <w:szCs w:val="20"/>
        </w:rPr>
        <w:t>Forest Microbiol</w:t>
      </w:r>
      <w:r>
        <w:rPr>
          <w:sz w:val="20"/>
          <w:szCs w:val="20"/>
        </w:rPr>
        <w:t>ogy. Elsevier, Amsterdam</w:t>
      </w:r>
      <w:r w:rsidR="00182B55">
        <w:rPr>
          <w:sz w:val="20"/>
          <w:szCs w:val="20"/>
        </w:rPr>
        <w:t>, p</w:t>
      </w:r>
      <w:r>
        <w:rPr>
          <w:sz w:val="20"/>
          <w:szCs w:val="20"/>
        </w:rPr>
        <w:t xml:space="preserve">p </w:t>
      </w:r>
      <w:r w:rsidRPr="00523D5D">
        <w:rPr>
          <w:sz w:val="20"/>
          <w:szCs w:val="20"/>
        </w:rPr>
        <w:t xml:space="preserve">415–440. </w:t>
      </w:r>
      <w:hyperlink r:id="rId22" w:history="1">
        <w:r w:rsidRPr="00523D5D">
          <w:rPr>
            <w:sz w:val="20"/>
            <w:szCs w:val="20"/>
          </w:rPr>
          <w:t>https://doi.org/10.1016/B978-0-443-18694-3.00006-7</w:t>
        </w:r>
      </w:hyperlink>
    </w:p>
    <w:p w14:paraId="6B80C668" w14:textId="4FE386C8" w:rsidR="00E2209C" w:rsidRDefault="00E2209C" w:rsidP="00E2209C">
      <w:pPr>
        <w:pStyle w:val="EndNoteBibliography"/>
        <w:spacing w:after="240" w:line="360" w:lineRule="auto"/>
        <w:ind w:left="720" w:hanging="720"/>
        <w:rPr>
          <w:sz w:val="20"/>
          <w:szCs w:val="20"/>
        </w:rPr>
      </w:pPr>
      <w:r>
        <w:rPr>
          <w:sz w:val="20"/>
          <w:szCs w:val="20"/>
        </w:rPr>
        <w:t>19</w:t>
      </w:r>
      <w:r w:rsidRPr="00523D5D">
        <w:rPr>
          <w:sz w:val="20"/>
          <w:szCs w:val="20"/>
        </w:rPr>
        <w:t>.</w:t>
      </w:r>
      <w:r w:rsidRPr="00523D5D">
        <w:rPr>
          <w:sz w:val="20"/>
          <w:szCs w:val="20"/>
        </w:rPr>
        <w:tab/>
        <w:t xml:space="preserve">Kohler A, Murat C, Costa M (2011) High quality genomic DNA extraction using CTAB and Qiagen genomic-tip. INRA Nancy Equipe </w:t>
      </w:r>
      <w:proofErr w:type="spellStart"/>
      <w:r w:rsidRPr="00523D5D">
        <w:rPr>
          <w:sz w:val="20"/>
          <w:szCs w:val="20"/>
        </w:rPr>
        <w:t>Ecogénomique</w:t>
      </w:r>
      <w:proofErr w:type="spellEnd"/>
      <w:r w:rsidRPr="00523D5D">
        <w:rPr>
          <w:sz w:val="20"/>
          <w:szCs w:val="20"/>
        </w:rPr>
        <w:t xml:space="preserve">, </w:t>
      </w:r>
      <w:proofErr w:type="spellStart"/>
      <w:r w:rsidRPr="00523D5D">
        <w:rPr>
          <w:sz w:val="20"/>
          <w:szCs w:val="20"/>
        </w:rPr>
        <w:t>Champenoux</w:t>
      </w:r>
      <w:proofErr w:type="spellEnd"/>
      <w:r w:rsidRPr="00523D5D">
        <w:rPr>
          <w:sz w:val="20"/>
          <w:szCs w:val="20"/>
        </w:rPr>
        <w:t>, France</w:t>
      </w:r>
    </w:p>
    <w:p w14:paraId="01192913" w14:textId="6B254ED4" w:rsidR="00E2209C" w:rsidRDefault="00E2209C" w:rsidP="00E2209C">
      <w:pPr>
        <w:pStyle w:val="EndNoteBibliography"/>
        <w:spacing w:after="240" w:line="360" w:lineRule="auto"/>
        <w:ind w:left="720" w:hanging="720"/>
        <w:rPr>
          <w:sz w:val="20"/>
          <w:szCs w:val="20"/>
        </w:rPr>
      </w:pPr>
      <w:r>
        <w:rPr>
          <w:sz w:val="20"/>
          <w:szCs w:val="20"/>
        </w:rPr>
        <w:t>20</w:t>
      </w:r>
      <w:r w:rsidRPr="00523D5D">
        <w:rPr>
          <w:sz w:val="20"/>
          <w:szCs w:val="20"/>
        </w:rPr>
        <w:t>.</w:t>
      </w:r>
      <w:r w:rsidRPr="00523D5D">
        <w:rPr>
          <w:sz w:val="20"/>
          <w:szCs w:val="20"/>
        </w:rPr>
        <w:tab/>
        <w:t xml:space="preserve">Sim SB, Corpuz RL, Simmonds TJ, Geib SM (2022) HiFiAdapterFilt, a memory efficient read processing pipeline, prevents occurrence of adapter sequence in PacBio HiFi reads and their negative impacts on genome assembly. BMC Genomics 23:157. </w:t>
      </w:r>
      <w:hyperlink r:id="rId23" w:history="1">
        <w:r w:rsidRPr="00523D5D">
          <w:rPr>
            <w:sz w:val="20"/>
            <w:szCs w:val="20"/>
          </w:rPr>
          <w:t>https://doi.org/10.1186/s12864-022-08375-1</w:t>
        </w:r>
      </w:hyperlink>
    </w:p>
    <w:p w14:paraId="7B99AF1F" w14:textId="3C78D110" w:rsidR="00E2209C" w:rsidRDefault="00E2209C" w:rsidP="00E2209C">
      <w:pPr>
        <w:pStyle w:val="EndNoteBibliography"/>
        <w:spacing w:after="240" w:line="360" w:lineRule="auto"/>
        <w:ind w:left="720" w:hanging="720"/>
        <w:rPr>
          <w:rStyle w:val="af3"/>
          <w:sz w:val="20"/>
          <w:szCs w:val="20"/>
        </w:rPr>
      </w:pPr>
      <w:r>
        <w:rPr>
          <w:sz w:val="20"/>
          <w:szCs w:val="20"/>
        </w:rPr>
        <w:t>21</w:t>
      </w:r>
      <w:r w:rsidRPr="00523D5D">
        <w:rPr>
          <w:sz w:val="20"/>
          <w:szCs w:val="20"/>
        </w:rPr>
        <w:t>.</w:t>
      </w:r>
      <w:r w:rsidRPr="00523D5D">
        <w:rPr>
          <w:sz w:val="20"/>
          <w:szCs w:val="20"/>
        </w:rPr>
        <w:tab/>
        <w:t xml:space="preserve">Kolmogorov M, Yuan J, Lin Y, Pevzner PA (2019) Assembly of long, error-prone reads using repeat graphs. Nat </w:t>
      </w:r>
      <w:proofErr w:type="spellStart"/>
      <w:r w:rsidRPr="00523D5D">
        <w:rPr>
          <w:sz w:val="20"/>
          <w:szCs w:val="20"/>
        </w:rPr>
        <w:t>Biotechnol</w:t>
      </w:r>
      <w:proofErr w:type="spellEnd"/>
      <w:r w:rsidRPr="00523D5D">
        <w:rPr>
          <w:sz w:val="20"/>
          <w:szCs w:val="20"/>
        </w:rPr>
        <w:t xml:space="preserve"> 37:540–546</w:t>
      </w:r>
      <w:r w:rsidRPr="004F5F99">
        <w:rPr>
          <w:color w:val="000000" w:themeColor="text1"/>
          <w:sz w:val="20"/>
          <w:szCs w:val="20"/>
        </w:rPr>
        <w:t xml:space="preserve">. </w:t>
      </w:r>
      <w:hyperlink r:id="rId24" w:history="1">
        <w:r w:rsidRPr="004F5F99">
          <w:rPr>
            <w:rStyle w:val="af3"/>
            <w:color w:val="000000" w:themeColor="text1"/>
            <w:sz w:val="20"/>
            <w:szCs w:val="20"/>
          </w:rPr>
          <w:t>https://doi.org/10.1038/s41587-019-0072-8</w:t>
        </w:r>
      </w:hyperlink>
    </w:p>
    <w:p w14:paraId="6E20A9BF" w14:textId="4A9DE016" w:rsidR="00E2209C" w:rsidRDefault="00E2209C" w:rsidP="00E2209C">
      <w:pPr>
        <w:pStyle w:val="EndNoteBibliography"/>
        <w:spacing w:after="240" w:line="360" w:lineRule="auto"/>
        <w:ind w:left="720" w:hanging="720"/>
        <w:rPr>
          <w:sz w:val="20"/>
          <w:szCs w:val="20"/>
        </w:rPr>
      </w:pPr>
      <w:r>
        <w:rPr>
          <w:sz w:val="20"/>
          <w:szCs w:val="20"/>
        </w:rPr>
        <w:t>22</w:t>
      </w:r>
      <w:r w:rsidRPr="00523D5D">
        <w:rPr>
          <w:sz w:val="20"/>
          <w:szCs w:val="20"/>
        </w:rPr>
        <w:t>.</w:t>
      </w:r>
      <w:r w:rsidRPr="00523D5D">
        <w:rPr>
          <w:sz w:val="20"/>
          <w:szCs w:val="20"/>
        </w:rPr>
        <w:tab/>
        <w:t xml:space="preserve">Chen S, Zhou Y, Chen Y, Gu J (2018) </w:t>
      </w:r>
      <w:proofErr w:type="spellStart"/>
      <w:r w:rsidRPr="00523D5D">
        <w:rPr>
          <w:sz w:val="20"/>
          <w:szCs w:val="20"/>
        </w:rPr>
        <w:t>fastp</w:t>
      </w:r>
      <w:proofErr w:type="spellEnd"/>
      <w:r w:rsidRPr="00523D5D">
        <w:rPr>
          <w:sz w:val="20"/>
          <w:szCs w:val="20"/>
        </w:rPr>
        <w:t xml:space="preserve">: an ultra-fast all-in-one FASTQ preprocessor. Bioinformatics </w:t>
      </w:r>
      <w:proofErr w:type="gramStart"/>
      <w:r w:rsidRPr="00523D5D">
        <w:rPr>
          <w:sz w:val="20"/>
          <w:szCs w:val="20"/>
        </w:rPr>
        <w:t>34:i</w:t>
      </w:r>
      <w:proofErr w:type="gramEnd"/>
      <w:r w:rsidRPr="00523D5D">
        <w:rPr>
          <w:sz w:val="20"/>
          <w:szCs w:val="20"/>
        </w:rPr>
        <w:t xml:space="preserve">884–i890. </w:t>
      </w:r>
      <w:hyperlink r:id="rId25" w:history="1">
        <w:r w:rsidRPr="00523D5D">
          <w:rPr>
            <w:sz w:val="20"/>
            <w:szCs w:val="20"/>
          </w:rPr>
          <w:t>https://doi.org/10.1093/bioinformatics/bty560</w:t>
        </w:r>
      </w:hyperlink>
    </w:p>
    <w:p w14:paraId="1B6C9C14" w14:textId="613A1A96" w:rsidR="00E2209C" w:rsidRDefault="00E2209C" w:rsidP="00E2209C">
      <w:pPr>
        <w:pStyle w:val="EndNoteBibliography"/>
        <w:spacing w:after="240" w:line="360" w:lineRule="auto"/>
        <w:ind w:left="720" w:hanging="720"/>
        <w:rPr>
          <w:sz w:val="20"/>
          <w:szCs w:val="20"/>
        </w:rPr>
      </w:pPr>
      <w:r>
        <w:rPr>
          <w:sz w:val="20"/>
          <w:szCs w:val="20"/>
        </w:rPr>
        <w:t>23</w:t>
      </w:r>
      <w:r w:rsidRPr="00523D5D">
        <w:rPr>
          <w:sz w:val="20"/>
          <w:szCs w:val="20"/>
        </w:rPr>
        <w:t>.</w:t>
      </w:r>
      <w:r w:rsidRPr="00523D5D">
        <w:rPr>
          <w:sz w:val="20"/>
          <w:szCs w:val="20"/>
        </w:rPr>
        <w:tab/>
      </w:r>
      <w:proofErr w:type="spellStart"/>
      <w:r w:rsidRPr="00523D5D">
        <w:rPr>
          <w:sz w:val="20"/>
          <w:szCs w:val="20"/>
        </w:rPr>
        <w:t>Vaser</w:t>
      </w:r>
      <w:proofErr w:type="spellEnd"/>
      <w:r w:rsidRPr="00523D5D">
        <w:rPr>
          <w:sz w:val="20"/>
          <w:szCs w:val="20"/>
        </w:rPr>
        <w:t xml:space="preserve"> R, </w:t>
      </w:r>
      <w:proofErr w:type="spellStart"/>
      <w:r w:rsidRPr="00523D5D">
        <w:rPr>
          <w:sz w:val="20"/>
          <w:szCs w:val="20"/>
        </w:rPr>
        <w:t>Sović</w:t>
      </w:r>
      <w:proofErr w:type="spellEnd"/>
      <w:r w:rsidRPr="00523D5D">
        <w:rPr>
          <w:sz w:val="20"/>
          <w:szCs w:val="20"/>
        </w:rPr>
        <w:t xml:space="preserve"> I, Nagarajan N, Šikić M (2017) Fast and accurate de novo genome assembly from long uncorrected reads. Genome Res 27:737–746. </w:t>
      </w:r>
      <w:hyperlink r:id="rId26" w:history="1">
        <w:r w:rsidRPr="00523D5D">
          <w:rPr>
            <w:sz w:val="20"/>
            <w:szCs w:val="20"/>
          </w:rPr>
          <w:t>https://doi.org/10.1101/gr.214270.116</w:t>
        </w:r>
      </w:hyperlink>
    </w:p>
    <w:p w14:paraId="5B988A1D" w14:textId="3B8B2531" w:rsidR="00E2209C" w:rsidRDefault="00E2209C" w:rsidP="00E2209C">
      <w:pPr>
        <w:pStyle w:val="EndNoteBibliography"/>
        <w:spacing w:after="240" w:line="360" w:lineRule="auto"/>
        <w:ind w:left="720" w:hanging="720"/>
        <w:rPr>
          <w:sz w:val="20"/>
          <w:szCs w:val="20"/>
        </w:rPr>
      </w:pPr>
      <w:r>
        <w:rPr>
          <w:sz w:val="20"/>
          <w:szCs w:val="20"/>
        </w:rPr>
        <w:t>24</w:t>
      </w:r>
      <w:r w:rsidRPr="00523D5D">
        <w:rPr>
          <w:sz w:val="20"/>
          <w:szCs w:val="20"/>
        </w:rPr>
        <w:t>.</w:t>
      </w:r>
      <w:r w:rsidRPr="00523D5D">
        <w:rPr>
          <w:sz w:val="20"/>
          <w:szCs w:val="20"/>
        </w:rPr>
        <w:tab/>
        <w:t xml:space="preserve">Aury J-M, </w:t>
      </w:r>
      <w:proofErr w:type="spellStart"/>
      <w:r w:rsidRPr="00523D5D">
        <w:rPr>
          <w:sz w:val="20"/>
          <w:szCs w:val="20"/>
        </w:rPr>
        <w:t>Istace</w:t>
      </w:r>
      <w:proofErr w:type="spellEnd"/>
      <w:r w:rsidRPr="00523D5D">
        <w:rPr>
          <w:sz w:val="20"/>
          <w:szCs w:val="20"/>
        </w:rPr>
        <w:t xml:space="preserve"> B (2021) </w:t>
      </w:r>
      <w:proofErr w:type="spellStart"/>
      <w:r w:rsidRPr="00523D5D">
        <w:rPr>
          <w:sz w:val="20"/>
          <w:szCs w:val="20"/>
        </w:rPr>
        <w:t>Hapo</w:t>
      </w:r>
      <w:proofErr w:type="spellEnd"/>
      <w:r w:rsidRPr="00523D5D">
        <w:rPr>
          <w:sz w:val="20"/>
          <w:szCs w:val="20"/>
        </w:rPr>
        <w:t xml:space="preserve">-G, haplotype-aware polishing of genome assemblies with accurate reads. NAR </w:t>
      </w:r>
      <w:proofErr w:type="spellStart"/>
      <w:r w:rsidRPr="00523D5D">
        <w:rPr>
          <w:sz w:val="20"/>
          <w:szCs w:val="20"/>
        </w:rPr>
        <w:t>Genom</w:t>
      </w:r>
      <w:proofErr w:type="spellEnd"/>
      <w:r w:rsidRPr="00523D5D">
        <w:rPr>
          <w:sz w:val="20"/>
          <w:szCs w:val="20"/>
        </w:rPr>
        <w:t xml:space="preserve"> </w:t>
      </w:r>
      <w:proofErr w:type="spellStart"/>
      <w:r w:rsidRPr="00523D5D">
        <w:rPr>
          <w:sz w:val="20"/>
          <w:szCs w:val="20"/>
        </w:rPr>
        <w:t>Bioinform</w:t>
      </w:r>
      <w:proofErr w:type="spellEnd"/>
      <w:r w:rsidRPr="00523D5D">
        <w:rPr>
          <w:sz w:val="20"/>
          <w:szCs w:val="20"/>
        </w:rPr>
        <w:t xml:space="preserve"> </w:t>
      </w:r>
      <w:proofErr w:type="gramStart"/>
      <w:r w:rsidRPr="00523D5D">
        <w:rPr>
          <w:sz w:val="20"/>
          <w:szCs w:val="20"/>
        </w:rPr>
        <w:t>3:lqab</w:t>
      </w:r>
      <w:proofErr w:type="gramEnd"/>
      <w:r w:rsidRPr="00523D5D">
        <w:rPr>
          <w:sz w:val="20"/>
          <w:szCs w:val="20"/>
        </w:rPr>
        <w:t xml:space="preserve">034. </w:t>
      </w:r>
      <w:hyperlink r:id="rId27" w:history="1">
        <w:r w:rsidRPr="00523D5D">
          <w:rPr>
            <w:sz w:val="20"/>
            <w:szCs w:val="20"/>
          </w:rPr>
          <w:t>https://doi.org/10.1093/nargab/lqab034</w:t>
        </w:r>
      </w:hyperlink>
    </w:p>
    <w:p w14:paraId="039A9E8D" w14:textId="67B6F2FE" w:rsidR="00F51222" w:rsidRDefault="00F51222" w:rsidP="00F51222">
      <w:pPr>
        <w:pStyle w:val="EndNoteBibliography"/>
        <w:spacing w:after="240" w:line="360" w:lineRule="auto"/>
        <w:ind w:left="720" w:hanging="720"/>
        <w:rPr>
          <w:sz w:val="20"/>
          <w:szCs w:val="20"/>
        </w:rPr>
      </w:pPr>
      <w:r>
        <w:rPr>
          <w:sz w:val="20"/>
          <w:szCs w:val="20"/>
        </w:rPr>
        <w:t>25</w:t>
      </w:r>
      <w:r w:rsidRPr="00523D5D">
        <w:rPr>
          <w:sz w:val="20"/>
          <w:szCs w:val="20"/>
        </w:rPr>
        <w:t>.</w:t>
      </w:r>
      <w:r w:rsidRPr="00523D5D">
        <w:rPr>
          <w:sz w:val="20"/>
          <w:szCs w:val="20"/>
        </w:rPr>
        <w:tab/>
        <w:t xml:space="preserve">Davey JW, Davis SJ, Mottram JC, Ashton PD (2020) Tapestry: validate and edit small eukaryotic genome assemblies with long reads. bioRxiv:059402. </w:t>
      </w:r>
      <w:hyperlink r:id="rId28" w:history="1">
        <w:r w:rsidRPr="00523D5D">
          <w:rPr>
            <w:sz w:val="20"/>
            <w:szCs w:val="20"/>
          </w:rPr>
          <w:t>https://doi.org/10.1101/2020.04.24.059402</w:t>
        </w:r>
      </w:hyperlink>
    </w:p>
    <w:p w14:paraId="1C68B0C1" w14:textId="33C4F48C" w:rsidR="00F51222" w:rsidRPr="00523D5D" w:rsidRDefault="00F51222" w:rsidP="00F51222">
      <w:pPr>
        <w:pStyle w:val="EndNoteBibliography"/>
        <w:spacing w:after="240" w:line="360" w:lineRule="auto"/>
        <w:ind w:left="720" w:hanging="720"/>
        <w:rPr>
          <w:sz w:val="20"/>
          <w:szCs w:val="20"/>
        </w:rPr>
      </w:pPr>
      <w:r>
        <w:rPr>
          <w:sz w:val="20"/>
          <w:szCs w:val="20"/>
        </w:rPr>
        <w:lastRenderedPageBreak/>
        <w:t>2</w:t>
      </w:r>
      <w:r w:rsidRPr="00523D5D">
        <w:rPr>
          <w:sz w:val="20"/>
          <w:szCs w:val="20"/>
        </w:rPr>
        <w:t>6.</w:t>
      </w:r>
      <w:r w:rsidRPr="00523D5D">
        <w:rPr>
          <w:sz w:val="20"/>
          <w:szCs w:val="20"/>
        </w:rPr>
        <w:tab/>
        <w:t xml:space="preserve">Smit A, Hubley R, Green P (2015). </w:t>
      </w:r>
      <w:proofErr w:type="spellStart"/>
      <w:r w:rsidRPr="00523D5D">
        <w:rPr>
          <w:sz w:val="20"/>
          <w:szCs w:val="20"/>
        </w:rPr>
        <w:t>RepeatMasker</w:t>
      </w:r>
      <w:proofErr w:type="spellEnd"/>
      <w:r w:rsidRPr="00523D5D">
        <w:rPr>
          <w:sz w:val="20"/>
          <w:szCs w:val="20"/>
        </w:rPr>
        <w:t xml:space="preserve"> Open-4.0. http://www.repeatmasker.org</w:t>
      </w:r>
    </w:p>
    <w:p w14:paraId="7751A0D2" w14:textId="13CE526E" w:rsidR="00F51222" w:rsidRPr="00523D5D" w:rsidRDefault="00F51222" w:rsidP="00F51222">
      <w:pPr>
        <w:pStyle w:val="EndNoteBibliography"/>
        <w:spacing w:after="240" w:line="360" w:lineRule="auto"/>
        <w:ind w:left="720" w:hanging="720"/>
        <w:rPr>
          <w:sz w:val="20"/>
          <w:szCs w:val="20"/>
        </w:rPr>
      </w:pPr>
      <w:r>
        <w:rPr>
          <w:sz w:val="20"/>
          <w:szCs w:val="20"/>
        </w:rPr>
        <w:t>2</w:t>
      </w:r>
      <w:r w:rsidRPr="00523D5D">
        <w:rPr>
          <w:sz w:val="20"/>
          <w:szCs w:val="20"/>
        </w:rPr>
        <w:t>7.</w:t>
      </w:r>
      <w:r w:rsidRPr="00523D5D">
        <w:rPr>
          <w:sz w:val="20"/>
          <w:szCs w:val="20"/>
        </w:rPr>
        <w:tab/>
        <w:t xml:space="preserve">Flynn JM, Hubley R, Goubert C, Rosen J, Clark AG, </w:t>
      </w:r>
      <w:proofErr w:type="spellStart"/>
      <w:r w:rsidRPr="00523D5D">
        <w:rPr>
          <w:sz w:val="20"/>
          <w:szCs w:val="20"/>
        </w:rPr>
        <w:t>Feschotte</w:t>
      </w:r>
      <w:proofErr w:type="spellEnd"/>
      <w:r w:rsidRPr="00523D5D">
        <w:rPr>
          <w:sz w:val="20"/>
          <w:szCs w:val="20"/>
        </w:rPr>
        <w:t xml:space="preserve"> C, Smit AF (2020) RepeatModeler2 for automated genomic discovery of transposable element families. Proc Natl </w:t>
      </w:r>
      <w:proofErr w:type="spellStart"/>
      <w:r w:rsidRPr="00523D5D">
        <w:rPr>
          <w:sz w:val="20"/>
          <w:szCs w:val="20"/>
        </w:rPr>
        <w:t>Acad</w:t>
      </w:r>
      <w:proofErr w:type="spellEnd"/>
      <w:r w:rsidRPr="00523D5D">
        <w:rPr>
          <w:sz w:val="20"/>
          <w:szCs w:val="20"/>
        </w:rPr>
        <w:t xml:space="preserve"> Sci U S A 117:9451–9457. </w:t>
      </w:r>
      <w:hyperlink r:id="rId29" w:history="1">
        <w:r w:rsidRPr="00523D5D">
          <w:rPr>
            <w:sz w:val="20"/>
            <w:szCs w:val="20"/>
          </w:rPr>
          <w:t>https://doi.org/10.1073/pnas.1921046117</w:t>
        </w:r>
      </w:hyperlink>
    </w:p>
    <w:p w14:paraId="119387C9" w14:textId="576DCD08" w:rsidR="00F51222" w:rsidRPr="00523D5D" w:rsidRDefault="00F51222" w:rsidP="00F51222">
      <w:pPr>
        <w:pStyle w:val="EndNoteBibliography"/>
        <w:spacing w:after="240" w:line="360" w:lineRule="auto"/>
        <w:ind w:left="720" w:hanging="720"/>
        <w:rPr>
          <w:sz w:val="20"/>
          <w:szCs w:val="20"/>
        </w:rPr>
      </w:pPr>
      <w:r>
        <w:rPr>
          <w:sz w:val="20"/>
          <w:szCs w:val="20"/>
        </w:rPr>
        <w:t>2</w:t>
      </w:r>
      <w:r w:rsidRPr="00523D5D">
        <w:rPr>
          <w:sz w:val="20"/>
          <w:szCs w:val="20"/>
        </w:rPr>
        <w:t>8.</w:t>
      </w:r>
      <w:r w:rsidRPr="00523D5D">
        <w:rPr>
          <w:sz w:val="20"/>
          <w:szCs w:val="20"/>
        </w:rPr>
        <w:tab/>
      </w:r>
      <w:proofErr w:type="spellStart"/>
      <w:r w:rsidRPr="00523D5D">
        <w:rPr>
          <w:sz w:val="20"/>
          <w:szCs w:val="20"/>
        </w:rPr>
        <w:t>Brůna</w:t>
      </w:r>
      <w:proofErr w:type="spellEnd"/>
      <w:r w:rsidRPr="00523D5D">
        <w:rPr>
          <w:sz w:val="20"/>
          <w:szCs w:val="20"/>
        </w:rPr>
        <w:t xml:space="preserve"> T, Hoff KJ, Lomsadze A, Stanke M, </w:t>
      </w:r>
      <w:proofErr w:type="spellStart"/>
      <w:r w:rsidRPr="00523D5D">
        <w:rPr>
          <w:sz w:val="20"/>
          <w:szCs w:val="20"/>
        </w:rPr>
        <w:t>Borodovsky</w:t>
      </w:r>
      <w:proofErr w:type="spellEnd"/>
      <w:r w:rsidRPr="00523D5D">
        <w:rPr>
          <w:sz w:val="20"/>
          <w:szCs w:val="20"/>
        </w:rPr>
        <w:t xml:space="preserve"> M (2021) BRAKER2: automatic eukaryotic genome annotation with </w:t>
      </w:r>
      <w:proofErr w:type="spellStart"/>
      <w:r w:rsidRPr="00523D5D">
        <w:rPr>
          <w:sz w:val="20"/>
          <w:szCs w:val="20"/>
        </w:rPr>
        <w:t>GeneMark</w:t>
      </w:r>
      <w:proofErr w:type="spellEnd"/>
      <w:r w:rsidRPr="00523D5D">
        <w:rPr>
          <w:sz w:val="20"/>
          <w:szCs w:val="20"/>
        </w:rPr>
        <w:t xml:space="preserve">-EP+ and AUGUSTUS supported by a protein database. NAR </w:t>
      </w:r>
      <w:proofErr w:type="spellStart"/>
      <w:r w:rsidRPr="00523D5D">
        <w:rPr>
          <w:sz w:val="20"/>
          <w:szCs w:val="20"/>
        </w:rPr>
        <w:t>Genom</w:t>
      </w:r>
      <w:proofErr w:type="spellEnd"/>
      <w:r w:rsidRPr="00523D5D">
        <w:rPr>
          <w:sz w:val="20"/>
          <w:szCs w:val="20"/>
        </w:rPr>
        <w:t xml:space="preserve"> </w:t>
      </w:r>
      <w:proofErr w:type="spellStart"/>
      <w:r w:rsidRPr="00523D5D">
        <w:rPr>
          <w:sz w:val="20"/>
          <w:szCs w:val="20"/>
        </w:rPr>
        <w:t>Bioinform</w:t>
      </w:r>
      <w:proofErr w:type="spellEnd"/>
      <w:r w:rsidRPr="00523D5D">
        <w:rPr>
          <w:sz w:val="20"/>
          <w:szCs w:val="20"/>
        </w:rPr>
        <w:t xml:space="preserve"> </w:t>
      </w:r>
      <w:proofErr w:type="gramStart"/>
      <w:r w:rsidRPr="00523D5D">
        <w:rPr>
          <w:sz w:val="20"/>
          <w:szCs w:val="20"/>
        </w:rPr>
        <w:t>3:lqaa</w:t>
      </w:r>
      <w:proofErr w:type="gramEnd"/>
      <w:r w:rsidRPr="00523D5D">
        <w:rPr>
          <w:sz w:val="20"/>
          <w:szCs w:val="20"/>
        </w:rPr>
        <w:t xml:space="preserve">108. </w:t>
      </w:r>
      <w:hyperlink r:id="rId30" w:history="1">
        <w:r w:rsidRPr="00523D5D">
          <w:rPr>
            <w:sz w:val="20"/>
            <w:szCs w:val="20"/>
          </w:rPr>
          <w:t>https://doi.org/10.1093/nargab/lqaa108</w:t>
        </w:r>
      </w:hyperlink>
    </w:p>
    <w:p w14:paraId="63CCE848" w14:textId="2DEB3E70" w:rsidR="00F51222" w:rsidRPr="00523D5D" w:rsidRDefault="00F51222" w:rsidP="00F51222">
      <w:pPr>
        <w:pStyle w:val="EndNoteBibliography"/>
        <w:spacing w:after="240" w:line="360" w:lineRule="auto"/>
        <w:ind w:left="720" w:hanging="720"/>
        <w:rPr>
          <w:sz w:val="20"/>
          <w:szCs w:val="20"/>
        </w:rPr>
      </w:pPr>
      <w:r>
        <w:rPr>
          <w:sz w:val="20"/>
          <w:szCs w:val="20"/>
        </w:rPr>
        <w:t>2</w:t>
      </w:r>
      <w:r w:rsidRPr="00523D5D">
        <w:rPr>
          <w:sz w:val="20"/>
          <w:szCs w:val="20"/>
        </w:rPr>
        <w:t>9.</w:t>
      </w:r>
      <w:r w:rsidRPr="00523D5D">
        <w:rPr>
          <w:sz w:val="20"/>
          <w:szCs w:val="20"/>
        </w:rPr>
        <w:tab/>
      </w:r>
      <w:proofErr w:type="spellStart"/>
      <w:r w:rsidRPr="00523D5D">
        <w:rPr>
          <w:sz w:val="20"/>
          <w:szCs w:val="20"/>
        </w:rPr>
        <w:t>Keilwagen</w:t>
      </w:r>
      <w:proofErr w:type="spellEnd"/>
      <w:r w:rsidRPr="00523D5D">
        <w:rPr>
          <w:sz w:val="20"/>
          <w:szCs w:val="20"/>
        </w:rPr>
        <w:t xml:space="preserve"> J, Hartung F, Grau J (2019) </w:t>
      </w:r>
      <w:proofErr w:type="spellStart"/>
      <w:r w:rsidRPr="00523D5D">
        <w:rPr>
          <w:sz w:val="20"/>
          <w:szCs w:val="20"/>
        </w:rPr>
        <w:t>GeMoMa</w:t>
      </w:r>
      <w:proofErr w:type="spellEnd"/>
      <w:r w:rsidRPr="00523D5D">
        <w:rPr>
          <w:sz w:val="20"/>
          <w:szCs w:val="20"/>
        </w:rPr>
        <w:t xml:space="preserve">: homology-based gene prediction utilizing intron position conservation and RNA-seq data. In: Methods Mol Biol Kollmar M (ed.). Humana Press, New York 1962:161–177. </w:t>
      </w:r>
      <w:hyperlink r:id="rId31" w:history="1">
        <w:r w:rsidRPr="00523D5D">
          <w:rPr>
            <w:sz w:val="20"/>
            <w:szCs w:val="20"/>
          </w:rPr>
          <w:t>https://doi.org/10.1007/978-1-4939-9173-0_9</w:t>
        </w:r>
      </w:hyperlink>
    </w:p>
    <w:p w14:paraId="46F8102F" w14:textId="574DD602" w:rsidR="00F51222" w:rsidRPr="00523D5D" w:rsidRDefault="00F51222" w:rsidP="00F51222">
      <w:pPr>
        <w:pStyle w:val="EndNoteBibliography"/>
        <w:spacing w:after="240" w:line="360" w:lineRule="auto"/>
        <w:ind w:left="720" w:hanging="720"/>
        <w:rPr>
          <w:sz w:val="20"/>
          <w:szCs w:val="20"/>
        </w:rPr>
      </w:pPr>
      <w:r>
        <w:rPr>
          <w:sz w:val="20"/>
          <w:szCs w:val="20"/>
        </w:rPr>
        <w:t>3</w:t>
      </w:r>
      <w:r w:rsidRPr="00523D5D">
        <w:rPr>
          <w:sz w:val="20"/>
          <w:szCs w:val="20"/>
        </w:rPr>
        <w:t>0.</w:t>
      </w:r>
      <w:r w:rsidRPr="00523D5D">
        <w:rPr>
          <w:sz w:val="20"/>
          <w:szCs w:val="20"/>
        </w:rPr>
        <w:tab/>
        <w:t xml:space="preserve">Lowe TM, Eddy SR (1997) </w:t>
      </w:r>
      <w:proofErr w:type="spellStart"/>
      <w:r w:rsidRPr="00523D5D">
        <w:rPr>
          <w:sz w:val="20"/>
          <w:szCs w:val="20"/>
        </w:rPr>
        <w:t>TRNAscan</w:t>
      </w:r>
      <w:proofErr w:type="spellEnd"/>
      <w:r w:rsidRPr="00523D5D">
        <w:rPr>
          <w:sz w:val="20"/>
          <w:szCs w:val="20"/>
        </w:rPr>
        <w:t xml:space="preserve">-SE: a program for improved detection of transfer RNA genes in genomic sequence. Nucleic Acids Res 25:955–964. </w:t>
      </w:r>
      <w:hyperlink r:id="rId32" w:history="1">
        <w:r w:rsidRPr="00523D5D">
          <w:rPr>
            <w:sz w:val="20"/>
            <w:szCs w:val="20"/>
          </w:rPr>
          <w:t>https://doi.org/10.1093/nar/25.5.955</w:t>
        </w:r>
      </w:hyperlink>
    </w:p>
    <w:p w14:paraId="3591C8D8" w14:textId="4C563BB2" w:rsidR="00F51222" w:rsidRDefault="00F51222" w:rsidP="00F51222">
      <w:pPr>
        <w:pStyle w:val="EndNoteBibliography"/>
        <w:spacing w:after="240" w:line="360" w:lineRule="auto"/>
        <w:ind w:left="720" w:hanging="720"/>
        <w:rPr>
          <w:sz w:val="20"/>
          <w:szCs w:val="20"/>
        </w:rPr>
      </w:pPr>
      <w:r>
        <w:rPr>
          <w:sz w:val="20"/>
          <w:szCs w:val="20"/>
        </w:rPr>
        <w:t>3</w:t>
      </w:r>
      <w:r w:rsidRPr="00523D5D">
        <w:rPr>
          <w:sz w:val="20"/>
          <w:szCs w:val="20"/>
        </w:rPr>
        <w:t>1.</w:t>
      </w:r>
      <w:r w:rsidRPr="00523D5D">
        <w:rPr>
          <w:sz w:val="20"/>
          <w:szCs w:val="20"/>
        </w:rPr>
        <w:tab/>
        <w:t xml:space="preserve">Nawrocki EP, Eddy SR (2013) Infernal 1.1: 100-fold faster RNA homology searches. Bioinformatics 29:2933–2935. </w:t>
      </w:r>
      <w:hyperlink r:id="rId33" w:history="1">
        <w:r w:rsidRPr="00523D5D">
          <w:rPr>
            <w:sz w:val="20"/>
            <w:szCs w:val="20"/>
          </w:rPr>
          <w:t>https://doi.org/10.1093/bioinformatics/btt509</w:t>
        </w:r>
      </w:hyperlink>
    </w:p>
    <w:p w14:paraId="7560DEFF" w14:textId="70AB693F" w:rsidR="00F51222" w:rsidRDefault="00F51222" w:rsidP="00F51222">
      <w:pPr>
        <w:pStyle w:val="EndNoteBibliography"/>
        <w:spacing w:after="240" w:line="360" w:lineRule="auto"/>
        <w:ind w:left="720" w:hanging="720"/>
        <w:rPr>
          <w:sz w:val="20"/>
          <w:szCs w:val="20"/>
        </w:rPr>
      </w:pPr>
      <w:r>
        <w:rPr>
          <w:sz w:val="20"/>
          <w:szCs w:val="20"/>
        </w:rPr>
        <w:t>32</w:t>
      </w:r>
      <w:r w:rsidRPr="00523D5D">
        <w:rPr>
          <w:sz w:val="20"/>
          <w:szCs w:val="20"/>
        </w:rPr>
        <w:t>.</w:t>
      </w:r>
      <w:r w:rsidRPr="00523D5D">
        <w:rPr>
          <w:sz w:val="20"/>
          <w:szCs w:val="20"/>
        </w:rPr>
        <w:tab/>
      </w:r>
      <w:proofErr w:type="spellStart"/>
      <w:r w:rsidRPr="00523D5D">
        <w:rPr>
          <w:sz w:val="20"/>
          <w:szCs w:val="20"/>
        </w:rPr>
        <w:t>Dainat</w:t>
      </w:r>
      <w:proofErr w:type="spellEnd"/>
      <w:r w:rsidRPr="00523D5D">
        <w:rPr>
          <w:sz w:val="20"/>
          <w:szCs w:val="20"/>
        </w:rPr>
        <w:t xml:space="preserve"> J, </w:t>
      </w:r>
      <w:proofErr w:type="spellStart"/>
      <w:r w:rsidRPr="00523D5D">
        <w:rPr>
          <w:sz w:val="20"/>
          <w:szCs w:val="20"/>
        </w:rPr>
        <w:t>Hereñú</w:t>
      </w:r>
      <w:proofErr w:type="spellEnd"/>
      <w:r w:rsidRPr="00523D5D">
        <w:rPr>
          <w:sz w:val="20"/>
          <w:szCs w:val="20"/>
        </w:rPr>
        <w:t xml:space="preserve"> D, </w:t>
      </w:r>
      <w:proofErr w:type="spellStart"/>
      <w:r w:rsidRPr="00523D5D">
        <w:rPr>
          <w:sz w:val="20"/>
          <w:szCs w:val="20"/>
        </w:rPr>
        <w:t>Pucholt</w:t>
      </w:r>
      <w:proofErr w:type="spellEnd"/>
      <w:r w:rsidRPr="00523D5D">
        <w:rPr>
          <w:sz w:val="20"/>
          <w:szCs w:val="20"/>
        </w:rPr>
        <w:t xml:space="preserve"> P (2020) AGAT: another </w:t>
      </w:r>
      <w:proofErr w:type="spellStart"/>
      <w:r w:rsidRPr="00523D5D">
        <w:rPr>
          <w:sz w:val="20"/>
          <w:szCs w:val="20"/>
        </w:rPr>
        <w:t>Gff</w:t>
      </w:r>
      <w:proofErr w:type="spellEnd"/>
      <w:r w:rsidRPr="00523D5D">
        <w:rPr>
          <w:sz w:val="20"/>
          <w:szCs w:val="20"/>
        </w:rPr>
        <w:t xml:space="preserve"> Analysis Toolkit to handle annotations in any GTF. GFF format Zenodo</w:t>
      </w:r>
      <w:r w:rsidR="004F5F99">
        <w:rPr>
          <w:sz w:val="20"/>
          <w:szCs w:val="20"/>
        </w:rPr>
        <w:t>.</w:t>
      </w:r>
      <w:r w:rsidR="004F5F99" w:rsidRPr="00523D5D">
        <w:rPr>
          <w:sz w:val="20"/>
          <w:szCs w:val="20"/>
        </w:rPr>
        <w:t xml:space="preserve"> </w:t>
      </w:r>
      <w:r w:rsidRPr="004404B1">
        <w:rPr>
          <w:sz w:val="20"/>
          <w:szCs w:val="20"/>
        </w:rPr>
        <w:t>https:///10.5281/zenodo.3552717</w:t>
      </w:r>
    </w:p>
    <w:p w14:paraId="4385F9A8" w14:textId="7E76430E" w:rsidR="00F51222" w:rsidRDefault="00F51222" w:rsidP="00F51222">
      <w:pPr>
        <w:pStyle w:val="EndNoteBibliography"/>
        <w:spacing w:after="240" w:line="360" w:lineRule="auto"/>
        <w:ind w:left="720" w:hanging="720"/>
        <w:rPr>
          <w:sz w:val="20"/>
          <w:szCs w:val="20"/>
        </w:rPr>
      </w:pPr>
      <w:r>
        <w:rPr>
          <w:sz w:val="20"/>
          <w:szCs w:val="20"/>
        </w:rPr>
        <w:t>33</w:t>
      </w:r>
      <w:r w:rsidRPr="00523D5D">
        <w:rPr>
          <w:sz w:val="20"/>
          <w:szCs w:val="20"/>
        </w:rPr>
        <w:t>.</w:t>
      </w:r>
      <w:r w:rsidRPr="00523D5D">
        <w:rPr>
          <w:sz w:val="20"/>
          <w:szCs w:val="20"/>
        </w:rPr>
        <w:tab/>
        <w:t xml:space="preserve">Pertea G, Pertea M (2020) GFF Utilities: </w:t>
      </w:r>
      <w:proofErr w:type="spellStart"/>
      <w:r w:rsidRPr="00523D5D">
        <w:rPr>
          <w:sz w:val="20"/>
          <w:szCs w:val="20"/>
        </w:rPr>
        <w:t>GffRead</w:t>
      </w:r>
      <w:proofErr w:type="spellEnd"/>
      <w:r w:rsidRPr="00523D5D">
        <w:rPr>
          <w:sz w:val="20"/>
          <w:szCs w:val="20"/>
        </w:rPr>
        <w:t xml:space="preserve"> and </w:t>
      </w:r>
      <w:proofErr w:type="spellStart"/>
      <w:r w:rsidRPr="00523D5D">
        <w:rPr>
          <w:sz w:val="20"/>
          <w:szCs w:val="20"/>
        </w:rPr>
        <w:t>GffCompare</w:t>
      </w:r>
      <w:proofErr w:type="spellEnd"/>
      <w:r w:rsidRPr="00523D5D">
        <w:rPr>
          <w:sz w:val="20"/>
          <w:szCs w:val="20"/>
        </w:rPr>
        <w:t xml:space="preserve">. F1000Res </w:t>
      </w:r>
      <w:proofErr w:type="gramStart"/>
      <w:r w:rsidRPr="00523D5D">
        <w:rPr>
          <w:sz w:val="20"/>
          <w:szCs w:val="20"/>
        </w:rPr>
        <w:t>9:ISCB</w:t>
      </w:r>
      <w:proofErr w:type="gramEnd"/>
      <w:r w:rsidRPr="00523D5D">
        <w:rPr>
          <w:sz w:val="20"/>
          <w:szCs w:val="20"/>
        </w:rPr>
        <w:t xml:space="preserve"> Comm J-304. </w:t>
      </w:r>
      <w:hyperlink r:id="rId34" w:history="1">
        <w:r w:rsidRPr="00523D5D">
          <w:rPr>
            <w:sz w:val="20"/>
            <w:szCs w:val="20"/>
          </w:rPr>
          <w:t>https://doi.org/10.12688/f1000research.23297.2</w:t>
        </w:r>
      </w:hyperlink>
    </w:p>
    <w:p w14:paraId="41E6D7DF" w14:textId="6AFB29BD" w:rsidR="00F51222" w:rsidRPr="00523D5D" w:rsidRDefault="00F51222" w:rsidP="00F51222">
      <w:pPr>
        <w:pStyle w:val="EndNoteBibliography"/>
        <w:spacing w:after="240" w:line="360" w:lineRule="auto"/>
        <w:ind w:left="720" w:hanging="720"/>
        <w:rPr>
          <w:sz w:val="20"/>
          <w:szCs w:val="20"/>
        </w:rPr>
      </w:pPr>
      <w:r>
        <w:rPr>
          <w:sz w:val="20"/>
          <w:szCs w:val="20"/>
        </w:rPr>
        <w:t>3</w:t>
      </w:r>
      <w:r w:rsidRPr="00523D5D">
        <w:rPr>
          <w:sz w:val="20"/>
          <w:szCs w:val="20"/>
        </w:rPr>
        <w:t>4.</w:t>
      </w:r>
      <w:r w:rsidRPr="00523D5D">
        <w:rPr>
          <w:sz w:val="20"/>
          <w:szCs w:val="20"/>
        </w:rPr>
        <w:tab/>
      </w:r>
      <w:proofErr w:type="spellStart"/>
      <w:r w:rsidRPr="00523D5D">
        <w:rPr>
          <w:sz w:val="20"/>
          <w:szCs w:val="20"/>
        </w:rPr>
        <w:t>Steinegger</w:t>
      </w:r>
      <w:proofErr w:type="spellEnd"/>
      <w:r w:rsidRPr="00523D5D">
        <w:rPr>
          <w:sz w:val="20"/>
          <w:szCs w:val="20"/>
        </w:rPr>
        <w:t xml:space="preserve"> M, </w:t>
      </w:r>
      <w:proofErr w:type="spellStart"/>
      <w:r w:rsidRPr="00523D5D">
        <w:rPr>
          <w:sz w:val="20"/>
          <w:szCs w:val="20"/>
        </w:rPr>
        <w:t>Söding</w:t>
      </w:r>
      <w:proofErr w:type="spellEnd"/>
      <w:r w:rsidRPr="00523D5D">
        <w:rPr>
          <w:sz w:val="20"/>
          <w:szCs w:val="20"/>
        </w:rPr>
        <w:t xml:space="preserve"> J (2017) MMseqs2 enables sensitive protein sequence searching for the analysis of massive data sets. Nat </w:t>
      </w:r>
      <w:proofErr w:type="spellStart"/>
      <w:r w:rsidRPr="00523D5D">
        <w:rPr>
          <w:sz w:val="20"/>
          <w:szCs w:val="20"/>
        </w:rPr>
        <w:t>Biotechnol</w:t>
      </w:r>
      <w:proofErr w:type="spellEnd"/>
      <w:r w:rsidRPr="00523D5D">
        <w:rPr>
          <w:sz w:val="20"/>
          <w:szCs w:val="20"/>
        </w:rPr>
        <w:t xml:space="preserve"> 35:1026–1028. </w:t>
      </w:r>
      <w:hyperlink r:id="rId35" w:history="1">
        <w:r w:rsidRPr="00523D5D">
          <w:rPr>
            <w:sz w:val="20"/>
            <w:szCs w:val="20"/>
          </w:rPr>
          <w:t>https://doi.org/10.1038/nbt.3988</w:t>
        </w:r>
      </w:hyperlink>
    </w:p>
    <w:p w14:paraId="4FF46911" w14:textId="125082E7" w:rsidR="00F51222" w:rsidRPr="00523D5D" w:rsidRDefault="00F51222" w:rsidP="00F51222">
      <w:pPr>
        <w:pStyle w:val="EndNoteBibliography"/>
        <w:spacing w:after="240" w:line="360" w:lineRule="auto"/>
        <w:ind w:left="720" w:hanging="720"/>
        <w:rPr>
          <w:sz w:val="20"/>
          <w:szCs w:val="20"/>
        </w:rPr>
      </w:pPr>
      <w:r>
        <w:rPr>
          <w:sz w:val="20"/>
          <w:szCs w:val="20"/>
        </w:rPr>
        <w:t>35</w:t>
      </w:r>
      <w:r w:rsidRPr="00523D5D">
        <w:rPr>
          <w:sz w:val="20"/>
          <w:szCs w:val="20"/>
        </w:rPr>
        <w:t>.</w:t>
      </w:r>
      <w:r w:rsidRPr="00523D5D">
        <w:rPr>
          <w:sz w:val="20"/>
          <w:szCs w:val="20"/>
        </w:rPr>
        <w:tab/>
        <w:t>Huerta-</w:t>
      </w:r>
      <w:proofErr w:type="spellStart"/>
      <w:r w:rsidRPr="00523D5D">
        <w:rPr>
          <w:sz w:val="20"/>
          <w:szCs w:val="20"/>
        </w:rPr>
        <w:t>Cepas</w:t>
      </w:r>
      <w:proofErr w:type="spellEnd"/>
      <w:r w:rsidRPr="00523D5D">
        <w:rPr>
          <w:sz w:val="20"/>
          <w:szCs w:val="20"/>
        </w:rPr>
        <w:t xml:space="preserve"> J, </w:t>
      </w:r>
      <w:proofErr w:type="spellStart"/>
      <w:r w:rsidRPr="00523D5D">
        <w:rPr>
          <w:sz w:val="20"/>
          <w:szCs w:val="20"/>
        </w:rPr>
        <w:t>Szklarczyk</w:t>
      </w:r>
      <w:proofErr w:type="spellEnd"/>
      <w:r w:rsidRPr="00523D5D">
        <w:rPr>
          <w:sz w:val="20"/>
          <w:szCs w:val="20"/>
        </w:rPr>
        <w:t xml:space="preserve"> D, Heller D, Hernández-Plaza A, Forslund SK, Cook H, Mende DR, </w:t>
      </w:r>
      <w:proofErr w:type="spellStart"/>
      <w:r w:rsidRPr="00523D5D">
        <w:rPr>
          <w:sz w:val="20"/>
          <w:szCs w:val="20"/>
        </w:rPr>
        <w:t>Letunic</w:t>
      </w:r>
      <w:proofErr w:type="spellEnd"/>
      <w:r w:rsidRPr="00523D5D">
        <w:rPr>
          <w:sz w:val="20"/>
          <w:szCs w:val="20"/>
        </w:rPr>
        <w:t xml:space="preserve"> I, </w:t>
      </w:r>
      <w:proofErr w:type="spellStart"/>
      <w:r w:rsidRPr="00523D5D">
        <w:rPr>
          <w:sz w:val="20"/>
          <w:szCs w:val="20"/>
        </w:rPr>
        <w:t>Rattei</w:t>
      </w:r>
      <w:proofErr w:type="spellEnd"/>
      <w:r w:rsidRPr="00523D5D">
        <w:rPr>
          <w:sz w:val="20"/>
          <w:szCs w:val="20"/>
        </w:rPr>
        <w:t xml:space="preserve"> T, Jensen LJ, von Mering C, Bork P (2019) </w:t>
      </w:r>
      <w:proofErr w:type="spellStart"/>
      <w:r w:rsidRPr="00523D5D">
        <w:rPr>
          <w:sz w:val="20"/>
          <w:szCs w:val="20"/>
        </w:rPr>
        <w:t>eggNOG</w:t>
      </w:r>
      <w:proofErr w:type="spellEnd"/>
      <w:r w:rsidRPr="00523D5D">
        <w:rPr>
          <w:sz w:val="20"/>
          <w:szCs w:val="20"/>
        </w:rPr>
        <w:t xml:space="preserve"> 5.0: a hierarchical, functionally and phylogenetically annotated </w:t>
      </w:r>
      <w:proofErr w:type="spellStart"/>
      <w:r w:rsidRPr="00523D5D">
        <w:rPr>
          <w:sz w:val="20"/>
          <w:szCs w:val="20"/>
        </w:rPr>
        <w:t>orthology</w:t>
      </w:r>
      <w:proofErr w:type="spellEnd"/>
      <w:r w:rsidRPr="00523D5D">
        <w:rPr>
          <w:sz w:val="20"/>
          <w:szCs w:val="20"/>
        </w:rPr>
        <w:t xml:space="preserve"> resource based on 5090 organisms and 2502 viruses. Nucleic Acids Res 47</w:t>
      </w:r>
      <w:r w:rsidR="004F5F99">
        <w:rPr>
          <w:sz w:val="20"/>
          <w:szCs w:val="20"/>
        </w:rPr>
        <w:t xml:space="preserve">. </w:t>
      </w:r>
      <w:r w:rsidRPr="00523D5D">
        <w:rPr>
          <w:sz w:val="20"/>
          <w:szCs w:val="20"/>
        </w:rPr>
        <w:t xml:space="preserve">D309–D314. </w:t>
      </w:r>
      <w:hyperlink r:id="rId36" w:history="1">
        <w:r w:rsidRPr="00523D5D">
          <w:rPr>
            <w:sz w:val="20"/>
            <w:szCs w:val="20"/>
          </w:rPr>
          <w:t>https://doi.org/10.1093/nar/gky1085</w:t>
        </w:r>
      </w:hyperlink>
    </w:p>
    <w:p w14:paraId="022F757C" w14:textId="4B97C5ED" w:rsidR="00F51222" w:rsidRDefault="00F51222" w:rsidP="00F51222">
      <w:pPr>
        <w:pStyle w:val="EndNoteBibliography"/>
        <w:spacing w:after="240" w:line="360" w:lineRule="auto"/>
        <w:ind w:left="720" w:hanging="720"/>
        <w:rPr>
          <w:sz w:val="20"/>
          <w:szCs w:val="20"/>
        </w:rPr>
      </w:pPr>
      <w:r>
        <w:rPr>
          <w:sz w:val="20"/>
          <w:szCs w:val="20"/>
        </w:rPr>
        <w:t>36</w:t>
      </w:r>
      <w:r w:rsidRPr="00523D5D">
        <w:rPr>
          <w:sz w:val="20"/>
          <w:szCs w:val="20"/>
        </w:rPr>
        <w:t>.</w:t>
      </w:r>
      <w:r w:rsidRPr="00523D5D">
        <w:rPr>
          <w:sz w:val="20"/>
          <w:szCs w:val="20"/>
        </w:rPr>
        <w:tab/>
      </w:r>
      <w:proofErr w:type="spellStart"/>
      <w:r w:rsidRPr="00523D5D">
        <w:rPr>
          <w:sz w:val="20"/>
          <w:szCs w:val="20"/>
        </w:rPr>
        <w:t>Cantalapiedra</w:t>
      </w:r>
      <w:proofErr w:type="spellEnd"/>
      <w:r w:rsidRPr="00523D5D">
        <w:rPr>
          <w:sz w:val="20"/>
          <w:szCs w:val="20"/>
        </w:rPr>
        <w:t xml:space="preserve"> CP, Hernández-Plaza A, </w:t>
      </w:r>
      <w:proofErr w:type="spellStart"/>
      <w:r w:rsidRPr="00523D5D">
        <w:rPr>
          <w:sz w:val="20"/>
          <w:szCs w:val="20"/>
        </w:rPr>
        <w:t>Letunic</w:t>
      </w:r>
      <w:proofErr w:type="spellEnd"/>
      <w:r w:rsidRPr="00523D5D">
        <w:rPr>
          <w:sz w:val="20"/>
          <w:szCs w:val="20"/>
        </w:rPr>
        <w:t xml:space="preserve"> I, Bork P, Huerta-</w:t>
      </w:r>
      <w:proofErr w:type="spellStart"/>
      <w:r w:rsidRPr="00523D5D">
        <w:rPr>
          <w:sz w:val="20"/>
          <w:szCs w:val="20"/>
        </w:rPr>
        <w:t>Cepas</w:t>
      </w:r>
      <w:proofErr w:type="spellEnd"/>
      <w:r w:rsidRPr="00523D5D">
        <w:rPr>
          <w:sz w:val="20"/>
          <w:szCs w:val="20"/>
        </w:rPr>
        <w:t xml:space="preserve"> J (2021) </w:t>
      </w:r>
      <w:proofErr w:type="spellStart"/>
      <w:r w:rsidRPr="00523D5D">
        <w:rPr>
          <w:sz w:val="20"/>
          <w:szCs w:val="20"/>
        </w:rPr>
        <w:t>eggNOG</w:t>
      </w:r>
      <w:proofErr w:type="spellEnd"/>
      <w:r w:rsidRPr="00523D5D">
        <w:rPr>
          <w:sz w:val="20"/>
          <w:szCs w:val="20"/>
        </w:rPr>
        <w:t xml:space="preserve">-mapper v2: functional annotation, </w:t>
      </w:r>
      <w:proofErr w:type="spellStart"/>
      <w:r w:rsidRPr="00523D5D">
        <w:rPr>
          <w:sz w:val="20"/>
          <w:szCs w:val="20"/>
        </w:rPr>
        <w:t>orthology</w:t>
      </w:r>
      <w:proofErr w:type="spellEnd"/>
      <w:r w:rsidRPr="00523D5D">
        <w:rPr>
          <w:sz w:val="20"/>
          <w:szCs w:val="20"/>
        </w:rPr>
        <w:t xml:space="preserve"> assignments, and domain prediction at the metagenomic scale. Mol Biol </w:t>
      </w:r>
      <w:proofErr w:type="spellStart"/>
      <w:r w:rsidRPr="00523D5D">
        <w:rPr>
          <w:sz w:val="20"/>
          <w:szCs w:val="20"/>
        </w:rPr>
        <w:t>Evol</w:t>
      </w:r>
      <w:proofErr w:type="spellEnd"/>
      <w:r w:rsidRPr="00523D5D">
        <w:rPr>
          <w:sz w:val="20"/>
          <w:szCs w:val="20"/>
        </w:rPr>
        <w:t xml:space="preserve"> 38:5825–5829. </w:t>
      </w:r>
      <w:hyperlink r:id="rId37" w:history="1">
        <w:r w:rsidRPr="00523D5D">
          <w:rPr>
            <w:sz w:val="20"/>
            <w:szCs w:val="20"/>
          </w:rPr>
          <w:t>https://doi.org/10.1093/molbev/msab293</w:t>
        </w:r>
      </w:hyperlink>
    </w:p>
    <w:p w14:paraId="0DE2DF91" w14:textId="1D1FA17E" w:rsidR="00F51222" w:rsidRDefault="00F51222" w:rsidP="00F51222">
      <w:pPr>
        <w:pStyle w:val="EndNoteBibliography"/>
        <w:spacing w:after="240" w:line="360" w:lineRule="auto"/>
        <w:ind w:left="720" w:hanging="720"/>
        <w:rPr>
          <w:sz w:val="20"/>
          <w:szCs w:val="20"/>
        </w:rPr>
      </w:pPr>
      <w:r>
        <w:rPr>
          <w:sz w:val="20"/>
          <w:szCs w:val="20"/>
        </w:rPr>
        <w:t>37</w:t>
      </w:r>
      <w:r w:rsidRPr="00523D5D">
        <w:rPr>
          <w:sz w:val="20"/>
          <w:szCs w:val="20"/>
        </w:rPr>
        <w:t>.</w:t>
      </w:r>
      <w:r w:rsidRPr="00523D5D">
        <w:rPr>
          <w:sz w:val="20"/>
          <w:szCs w:val="20"/>
        </w:rPr>
        <w:tab/>
        <w:t xml:space="preserve">Zhang H, Yohe T, Huang L, Entwistle S, Wu P, Yang Z, Busk PK, Xu Y, Yin Y (2018) dbCAN2: a meta server for automated carbohydrate-active enzyme annotation. Nucleic Acids Res </w:t>
      </w:r>
      <w:proofErr w:type="gramStart"/>
      <w:r w:rsidRPr="00523D5D">
        <w:rPr>
          <w:sz w:val="20"/>
          <w:szCs w:val="20"/>
        </w:rPr>
        <w:t>46:W</w:t>
      </w:r>
      <w:proofErr w:type="gramEnd"/>
      <w:r w:rsidRPr="00523D5D">
        <w:rPr>
          <w:sz w:val="20"/>
          <w:szCs w:val="20"/>
        </w:rPr>
        <w:t xml:space="preserve">95–W101. </w:t>
      </w:r>
      <w:hyperlink r:id="rId38" w:history="1">
        <w:r w:rsidRPr="00523D5D">
          <w:rPr>
            <w:sz w:val="20"/>
            <w:szCs w:val="20"/>
          </w:rPr>
          <w:t>https://doi.org/10.1093/nar/gky418</w:t>
        </w:r>
      </w:hyperlink>
    </w:p>
    <w:p w14:paraId="7E797ABC" w14:textId="7250DB56" w:rsidR="00F51222" w:rsidRDefault="00F51222" w:rsidP="00F51222">
      <w:pPr>
        <w:pStyle w:val="EndNoteBibliography"/>
        <w:spacing w:after="240" w:line="360" w:lineRule="auto"/>
        <w:ind w:left="720" w:hanging="720"/>
        <w:rPr>
          <w:sz w:val="20"/>
          <w:szCs w:val="20"/>
        </w:rPr>
      </w:pPr>
      <w:r>
        <w:rPr>
          <w:sz w:val="20"/>
          <w:szCs w:val="20"/>
        </w:rPr>
        <w:t>38</w:t>
      </w:r>
      <w:r w:rsidRPr="00523D5D">
        <w:rPr>
          <w:sz w:val="20"/>
          <w:szCs w:val="20"/>
        </w:rPr>
        <w:t>.</w:t>
      </w:r>
      <w:r w:rsidRPr="00523D5D">
        <w:rPr>
          <w:sz w:val="20"/>
          <w:szCs w:val="20"/>
        </w:rPr>
        <w:tab/>
        <w:t xml:space="preserve">Zheng J, Ge Q, Yan Y, Zhang X, Huang L, Yin Y (2023) dbCAN3: automated carbohydrate-active </w:t>
      </w:r>
      <w:r w:rsidRPr="00523D5D">
        <w:rPr>
          <w:sz w:val="20"/>
          <w:szCs w:val="20"/>
        </w:rPr>
        <w:lastRenderedPageBreak/>
        <w:t xml:space="preserve">enzyme and substrate annotation. Nucleic Acids Res </w:t>
      </w:r>
      <w:proofErr w:type="gramStart"/>
      <w:r w:rsidRPr="00523D5D">
        <w:rPr>
          <w:sz w:val="20"/>
          <w:szCs w:val="20"/>
        </w:rPr>
        <w:t>51:W</w:t>
      </w:r>
      <w:proofErr w:type="gramEnd"/>
      <w:r w:rsidRPr="00523D5D">
        <w:rPr>
          <w:sz w:val="20"/>
          <w:szCs w:val="20"/>
        </w:rPr>
        <w:t xml:space="preserve">115–W121. </w:t>
      </w:r>
      <w:hyperlink r:id="rId39" w:history="1">
        <w:r w:rsidRPr="00523D5D">
          <w:rPr>
            <w:sz w:val="20"/>
            <w:szCs w:val="20"/>
          </w:rPr>
          <w:t>https://doi.org/10.1093/nar/gkad328</w:t>
        </w:r>
      </w:hyperlink>
    </w:p>
    <w:p w14:paraId="2481C43B" w14:textId="581E79CC" w:rsidR="00F51222" w:rsidRDefault="00F51222" w:rsidP="00F51222">
      <w:pPr>
        <w:pStyle w:val="EndNoteBibliography"/>
        <w:spacing w:after="240" w:line="360" w:lineRule="auto"/>
        <w:ind w:left="720" w:hanging="720"/>
        <w:rPr>
          <w:sz w:val="20"/>
          <w:szCs w:val="20"/>
        </w:rPr>
      </w:pPr>
      <w:r>
        <w:rPr>
          <w:sz w:val="20"/>
          <w:szCs w:val="20"/>
        </w:rPr>
        <w:t>39</w:t>
      </w:r>
      <w:r w:rsidRPr="00523D5D">
        <w:rPr>
          <w:sz w:val="20"/>
          <w:szCs w:val="20"/>
        </w:rPr>
        <w:t>.</w:t>
      </w:r>
      <w:r w:rsidRPr="00523D5D">
        <w:rPr>
          <w:sz w:val="20"/>
          <w:szCs w:val="20"/>
        </w:rPr>
        <w:tab/>
        <w:t>Hane JK, Paxman J, Jones DA</w:t>
      </w:r>
      <w:r w:rsidR="00182B55">
        <w:rPr>
          <w:sz w:val="20"/>
          <w:szCs w:val="20"/>
        </w:rPr>
        <w:t>B</w:t>
      </w:r>
      <w:r w:rsidRPr="00523D5D">
        <w:rPr>
          <w:sz w:val="20"/>
          <w:szCs w:val="20"/>
        </w:rPr>
        <w:t xml:space="preserve">, Oliver RP, </w:t>
      </w:r>
      <w:r w:rsidR="00182B55">
        <w:rPr>
          <w:sz w:val="20"/>
          <w:szCs w:val="20"/>
        </w:rPr>
        <w:t>d</w:t>
      </w:r>
      <w:r w:rsidRPr="00523D5D">
        <w:rPr>
          <w:sz w:val="20"/>
          <w:szCs w:val="20"/>
        </w:rPr>
        <w:t>e Wit P (20</w:t>
      </w:r>
      <w:r w:rsidR="004F5F99">
        <w:rPr>
          <w:sz w:val="20"/>
          <w:szCs w:val="20"/>
        </w:rPr>
        <w:t>19</w:t>
      </w:r>
      <w:r w:rsidRPr="00523D5D">
        <w:rPr>
          <w:sz w:val="20"/>
          <w:szCs w:val="20"/>
        </w:rPr>
        <w:t xml:space="preserve">) </w:t>
      </w:r>
      <w:r w:rsidR="004404B1">
        <w:rPr>
          <w:sz w:val="20"/>
          <w:szCs w:val="20"/>
        </w:rPr>
        <w:t>“</w:t>
      </w:r>
      <w:r w:rsidRPr="00523D5D">
        <w:rPr>
          <w:sz w:val="20"/>
          <w:szCs w:val="20"/>
        </w:rPr>
        <w:t>CATAStrophy,</w:t>
      </w:r>
      <w:r w:rsidR="004404B1">
        <w:rPr>
          <w:sz w:val="20"/>
          <w:szCs w:val="20"/>
        </w:rPr>
        <w:t>”</w:t>
      </w:r>
      <w:r w:rsidRPr="00523D5D">
        <w:rPr>
          <w:sz w:val="20"/>
          <w:szCs w:val="20"/>
        </w:rPr>
        <w:t xml:space="preserve"> a genome-informed trophic classification of filamentous plant pathogens–how many different types of filamentous plant pathogens are there? Front Microbiol 10:3088. </w:t>
      </w:r>
      <w:hyperlink r:id="rId40" w:history="1">
        <w:r w:rsidRPr="00523D5D">
          <w:rPr>
            <w:sz w:val="20"/>
            <w:szCs w:val="20"/>
          </w:rPr>
          <w:t>https://doi.org/10.3389/fmicb.2019.03088</w:t>
        </w:r>
      </w:hyperlink>
    </w:p>
    <w:p w14:paraId="2D897605" w14:textId="15F351B3" w:rsidR="00F51222" w:rsidRDefault="00F51222" w:rsidP="00F51222">
      <w:pPr>
        <w:pStyle w:val="EndNoteBibliography"/>
        <w:spacing w:after="240" w:line="360" w:lineRule="auto"/>
        <w:ind w:left="720" w:hanging="720"/>
        <w:rPr>
          <w:sz w:val="20"/>
          <w:szCs w:val="20"/>
        </w:rPr>
      </w:pPr>
      <w:r w:rsidRPr="00523D5D">
        <w:rPr>
          <w:sz w:val="20"/>
          <w:szCs w:val="20"/>
        </w:rPr>
        <w:t>4</w:t>
      </w:r>
      <w:r>
        <w:rPr>
          <w:sz w:val="20"/>
          <w:szCs w:val="20"/>
        </w:rPr>
        <w:t>0</w:t>
      </w:r>
      <w:r w:rsidRPr="00523D5D">
        <w:rPr>
          <w:sz w:val="20"/>
          <w:szCs w:val="20"/>
        </w:rPr>
        <w:t>.</w:t>
      </w:r>
      <w:r w:rsidRPr="00523D5D">
        <w:rPr>
          <w:sz w:val="20"/>
          <w:szCs w:val="20"/>
        </w:rPr>
        <w:tab/>
        <w:t xml:space="preserve">Blin K, Shaw S, Augustijn HE, Reitz ZL, Biermann F, </w:t>
      </w:r>
      <w:proofErr w:type="spellStart"/>
      <w:r w:rsidRPr="00523D5D">
        <w:rPr>
          <w:sz w:val="20"/>
          <w:szCs w:val="20"/>
        </w:rPr>
        <w:t>Alanjary</w:t>
      </w:r>
      <w:proofErr w:type="spellEnd"/>
      <w:r w:rsidRPr="00523D5D">
        <w:rPr>
          <w:sz w:val="20"/>
          <w:szCs w:val="20"/>
        </w:rPr>
        <w:t xml:space="preserve"> M, Fetter A, Terlouw BR, Metcalf WW, Helfrich EJN, van Wezel GP, Medema MH, Weber T (2023) antiSMASH 7.0: new and improved predictions for detection, regulation, chemical structures and </w:t>
      </w:r>
      <w:proofErr w:type="spellStart"/>
      <w:r w:rsidRPr="00523D5D">
        <w:rPr>
          <w:sz w:val="20"/>
          <w:szCs w:val="20"/>
        </w:rPr>
        <w:t>visualisation</w:t>
      </w:r>
      <w:proofErr w:type="spellEnd"/>
      <w:r w:rsidRPr="00523D5D">
        <w:rPr>
          <w:sz w:val="20"/>
          <w:szCs w:val="20"/>
        </w:rPr>
        <w:t xml:space="preserve">. Nucleic Acids Res </w:t>
      </w:r>
      <w:proofErr w:type="gramStart"/>
      <w:r w:rsidRPr="00523D5D">
        <w:rPr>
          <w:sz w:val="20"/>
          <w:szCs w:val="20"/>
        </w:rPr>
        <w:t>51:W</w:t>
      </w:r>
      <w:proofErr w:type="gramEnd"/>
      <w:r w:rsidRPr="00523D5D">
        <w:rPr>
          <w:sz w:val="20"/>
          <w:szCs w:val="20"/>
        </w:rPr>
        <w:t xml:space="preserve">46–W50. </w:t>
      </w:r>
      <w:hyperlink r:id="rId41" w:history="1">
        <w:r w:rsidRPr="00523D5D">
          <w:rPr>
            <w:sz w:val="20"/>
            <w:szCs w:val="20"/>
          </w:rPr>
          <w:t>https://doi.org/10.1093/nar/gkad344</w:t>
        </w:r>
      </w:hyperlink>
    </w:p>
    <w:p w14:paraId="2559C07A" w14:textId="0371B978" w:rsidR="00A24F9E" w:rsidRDefault="00A24F9E" w:rsidP="00A24F9E">
      <w:pPr>
        <w:pStyle w:val="EndNoteBibliography"/>
        <w:spacing w:after="240" w:line="360" w:lineRule="auto"/>
        <w:ind w:left="720" w:hanging="720"/>
        <w:rPr>
          <w:sz w:val="20"/>
          <w:szCs w:val="20"/>
        </w:rPr>
      </w:pPr>
      <w:r w:rsidRPr="00523D5D">
        <w:rPr>
          <w:sz w:val="20"/>
          <w:szCs w:val="20"/>
        </w:rPr>
        <w:t>4</w:t>
      </w:r>
      <w:r>
        <w:rPr>
          <w:sz w:val="20"/>
          <w:szCs w:val="20"/>
        </w:rPr>
        <w:t>1</w:t>
      </w:r>
      <w:r w:rsidRPr="00523D5D">
        <w:rPr>
          <w:sz w:val="20"/>
          <w:szCs w:val="20"/>
        </w:rPr>
        <w:t>.</w:t>
      </w:r>
      <w:r w:rsidRPr="00523D5D">
        <w:rPr>
          <w:sz w:val="20"/>
          <w:szCs w:val="20"/>
        </w:rPr>
        <w:tab/>
        <w:t xml:space="preserve">Wang H, </w:t>
      </w:r>
      <w:proofErr w:type="spellStart"/>
      <w:r w:rsidRPr="00523D5D">
        <w:rPr>
          <w:sz w:val="20"/>
          <w:szCs w:val="20"/>
        </w:rPr>
        <w:t>Marcišauskas</w:t>
      </w:r>
      <w:proofErr w:type="spellEnd"/>
      <w:r w:rsidRPr="00523D5D">
        <w:rPr>
          <w:sz w:val="20"/>
          <w:szCs w:val="20"/>
        </w:rPr>
        <w:t xml:space="preserve"> S, Sánchez BJ, </w:t>
      </w:r>
      <w:proofErr w:type="spellStart"/>
      <w:r w:rsidRPr="00523D5D">
        <w:rPr>
          <w:sz w:val="20"/>
          <w:szCs w:val="20"/>
        </w:rPr>
        <w:t>Domenzain</w:t>
      </w:r>
      <w:proofErr w:type="spellEnd"/>
      <w:r w:rsidRPr="00523D5D">
        <w:rPr>
          <w:sz w:val="20"/>
          <w:szCs w:val="20"/>
        </w:rPr>
        <w:t xml:space="preserve"> I, Hermansson D, Agren R, Nielsen J, </w:t>
      </w:r>
      <w:proofErr w:type="spellStart"/>
      <w:r w:rsidRPr="00523D5D">
        <w:rPr>
          <w:sz w:val="20"/>
          <w:szCs w:val="20"/>
        </w:rPr>
        <w:t>Kerkhoven</w:t>
      </w:r>
      <w:proofErr w:type="spellEnd"/>
      <w:r w:rsidRPr="00523D5D">
        <w:rPr>
          <w:sz w:val="20"/>
          <w:szCs w:val="20"/>
        </w:rPr>
        <w:t xml:space="preserve"> EJ (2018a) RAVEN 2.0: A versatile toolbox for metabolic network reconstruction and a case study on </w:t>
      </w:r>
      <w:r w:rsidRPr="00523D5D">
        <w:rPr>
          <w:i/>
          <w:sz w:val="20"/>
          <w:szCs w:val="20"/>
        </w:rPr>
        <w:t xml:space="preserve">Streptomyces </w:t>
      </w:r>
      <w:proofErr w:type="spellStart"/>
      <w:r w:rsidRPr="00523D5D">
        <w:rPr>
          <w:i/>
          <w:sz w:val="20"/>
          <w:szCs w:val="20"/>
        </w:rPr>
        <w:t>coelicolor</w:t>
      </w:r>
      <w:proofErr w:type="spellEnd"/>
      <w:r w:rsidRPr="00523D5D">
        <w:rPr>
          <w:sz w:val="20"/>
          <w:szCs w:val="20"/>
        </w:rPr>
        <w:t xml:space="preserve">. PLOS Comp Biol </w:t>
      </w:r>
      <w:proofErr w:type="gramStart"/>
      <w:r w:rsidRPr="00523D5D">
        <w:rPr>
          <w:sz w:val="20"/>
          <w:szCs w:val="20"/>
        </w:rPr>
        <w:t>14:e</w:t>
      </w:r>
      <w:proofErr w:type="gramEnd"/>
      <w:r w:rsidRPr="00523D5D">
        <w:rPr>
          <w:sz w:val="20"/>
          <w:szCs w:val="20"/>
        </w:rPr>
        <w:t xml:space="preserve">1006541. </w:t>
      </w:r>
      <w:hyperlink r:id="rId42" w:history="1">
        <w:r w:rsidRPr="00523D5D">
          <w:rPr>
            <w:sz w:val="20"/>
            <w:szCs w:val="20"/>
          </w:rPr>
          <w:t>https://doi.org/10.1371/journal.pcbi.1006541</w:t>
        </w:r>
      </w:hyperlink>
    </w:p>
    <w:p w14:paraId="3CE4D60F" w14:textId="5CC411AF" w:rsidR="00A24F9E" w:rsidRDefault="00A24F9E" w:rsidP="00A24F9E">
      <w:pPr>
        <w:pStyle w:val="EndNoteBibliography"/>
        <w:spacing w:after="240" w:line="360" w:lineRule="auto"/>
        <w:ind w:left="720" w:hanging="720"/>
        <w:rPr>
          <w:sz w:val="20"/>
          <w:szCs w:val="20"/>
        </w:rPr>
      </w:pPr>
      <w:r w:rsidRPr="00523D5D">
        <w:rPr>
          <w:sz w:val="20"/>
          <w:szCs w:val="20"/>
        </w:rPr>
        <w:t>4</w:t>
      </w:r>
      <w:r>
        <w:rPr>
          <w:sz w:val="20"/>
          <w:szCs w:val="20"/>
        </w:rPr>
        <w:t>2</w:t>
      </w:r>
      <w:r w:rsidRPr="00523D5D">
        <w:rPr>
          <w:sz w:val="20"/>
          <w:szCs w:val="20"/>
        </w:rPr>
        <w:t>.</w:t>
      </w:r>
      <w:r w:rsidRPr="00523D5D">
        <w:rPr>
          <w:sz w:val="20"/>
          <w:szCs w:val="20"/>
        </w:rPr>
        <w:tab/>
        <w:t xml:space="preserve">Caspi R, Billington R, Keseler IM, Kothari A, </w:t>
      </w:r>
      <w:proofErr w:type="spellStart"/>
      <w:r w:rsidRPr="00523D5D">
        <w:rPr>
          <w:sz w:val="20"/>
          <w:szCs w:val="20"/>
        </w:rPr>
        <w:t>Krummenacker</w:t>
      </w:r>
      <w:proofErr w:type="spellEnd"/>
      <w:r w:rsidRPr="00523D5D">
        <w:rPr>
          <w:sz w:val="20"/>
          <w:szCs w:val="20"/>
        </w:rPr>
        <w:t xml:space="preserve"> M, Midford PE, Ong WK, Paley S, </w:t>
      </w:r>
      <w:proofErr w:type="spellStart"/>
      <w:r w:rsidRPr="00523D5D">
        <w:rPr>
          <w:sz w:val="20"/>
          <w:szCs w:val="20"/>
        </w:rPr>
        <w:t>Subhraveti</w:t>
      </w:r>
      <w:proofErr w:type="spellEnd"/>
      <w:r w:rsidRPr="00523D5D">
        <w:rPr>
          <w:sz w:val="20"/>
          <w:szCs w:val="20"/>
        </w:rPr>
        <w:t xml:space="preserve"> P, Karp PD (2020) The </w:t>
      </w:r>
      <w:proofErr w:type="spellStart"/>
      <w:r w:rsidRPr="00523D5D">
        <w:rPr>
          <w:sz w:val="20"/>
          <w:szCs w:val="20"/>
        </w:rPr>
        <w:t>MetaCyc</w:t>
      </w:r>
      <w:proofErr w:type="spellEnd"/>
      <w:r w:rsidRPr="00523D5D">
        <w:rPr>
          <w:sz w:val="20"/>
          <w:szCs w:val="20"/>
        </w:rPr>
        <w:t xml:space="preserve"> database of metabolic pathways and enzymes-a 2019 update. Nucleic Acids Res </w:t>
      </w:r>
      <w:proofErr w:type="gramStart"/>
      <w:r w:rsidRPr="00523D5D">
        <w:rPr>
          <w:sz w:val="20"/>
          <w:szCs w:val="20"/>
        </w:rPr>
        <w:t>48:D</w:t>
      </w:r>
      <w:proofErr w:type="gramEnd"/>
      <w:r w:rsidRPr="00523D5D">
        <w:rPr>
          <w:sz w:val="20"/>
          <w:szCs w:val="20"/>
        </w:rPr>
        <w:t xml:space="preserve">445–D453. </w:t>
      </w:r>
      <w:hyperlink r:id="rId43" w:history="1">
        <w:r w:rsidRPr="00523D5D">
          <w:rPr>
            <w:sz w:val="20"/>
            <w:szCs w:val="20"/>
          </w:rPr>
          <w:t>https://doi.org/10.1093/nar/gkz862</w:t>
        </w:r>
      </w:hyperlink>
    </w:p>
    <w:p w14:paraId="0B0F1A9B" w14:textId="75D91FE2" w:rsidR="001A00A5" w:rsidRDefault="001A00A5" w:rsidP="001A00A5">
      <w:pPr>
        <w:pStyle w:val="EndNoteBibliography"/>
        <w:spacing w:after="240" w:line="360" w:lineRule="auto"/>
        <w:ind w:left="720" w:hanging="720"/>
        <w:rPr>
          <w:sz w:val="20"/>
          <w:szCs w:val="20"/>
        </w:rPr>
      </w:pPr>
      <w:r w:rsidRPr="00523D5D">
        <w:rPr>
          <w:sz w:val="20"/>
          <w:szCs w:val="20"/>
        </w:rPr>
        <w:t>4</w:t>
      </w:r>
      <w:r>
        <w:rPr>
          <w:sz w:val="20"/>
          <w:szCs w:val="20"/>
        </w:rPr>
        <w:t>3</w:t>
      </w:r>
      <w:r w:rsidRPr="00523D5D">
        <w:rPr>
          <w:sz w:val="20"/>
          <w:szCs w:val="20"/>
        </w:rPr>
        <w:t>.</w:t>
      </w:r>
      <w:r w:rsidRPr="00523D5D">
        <w:rPr>
          <w:sz w:val="20"/>
          <w:szCs w:val="20"/>
        </w:rPr>
        <w:tab/>
        <w:t xml:space="preserve">Altschul SF, Gish W, Miller W, Myers EW, Lipman DJ (1990) Basic local alignment search tool. J Mol Biol 215:403–410. </w:t>
      </w:r>
      <w:hyperlink r:id="rId44" w:history="1">
        <w:r w:rsidRPr="00523D5D">
          <w:rPr>
            <w:sz w:val="20"/>
            <w:szCs w:val="20"/>
          </w:rPr>
          <w:t>https://doi.org/10.1016/S0022-2836(05)80360-2</w:t>
        </w:r>
      </w:hyperlink>
    </w:p>
    <w:p w14:paraId="616D21BE" w14:textId="6AC26196" w:rsidR="00474295" w:rsidRPr="00523D5D" w:rsidRDefault="00474295" w:rsidP="00474295">
      <w:pPr>
        <w:pStyle w:val="EndNoteBibliography"/>
        <w:spacing w:after="240" w:line="360" w:lineRule="auto"/>
        <w:ind w:left="720" w:hanging="720"/>
        <w:rPr>
          <w:sz w:val="20"/>
          <w:szCs w:val="20"/>
        </w:rPr>
      </w:pPr>
      <w:r w:rsidRPr="00523D5D">
        <w:rPr>
          <w:sz w:val="20"/>
          <w:szCs w:val="20"/>
        </w:rPr>
        <w:t>4</w:t>
      </w:r>
      <w:r>
        <w:rPr>
          <w:sz w:val="20"/>
          <w:szCs w:val="20"/>
        </w:rPr>
        <w:t>4</w:t>
      </w:r>
      <w:r w:rsidRPr="00523D5D">
        <w:rPr>
          <w:sz w:val="20"/>
          <w:szCs w:val="20"/>
        </w:rPr>
        <w:t>.</w:t>
      </w:r>
      <w:r w:rsidRPr="00523D5D">
        <w:rPr>
          <w:sz w:val="20"/>
          <w:szCs w:val="20"/>
        </w:rPr>
        <w:tab/>
        <w:t xml:space="preserve">Siewers V, </w:t>
      </w:r>
      <w:proofErr w:type="spellStart"/>
      <w:r w:rsidRPr="00523D5D">
        <w:rPr>
          <w:sz w:val="20"/>
          <w:szCs w:val="20"/>
        </w:rPr>
        <w:t>Kokkelink</w:t>
      </w:r>
      <w:proofErr w:type="spellEnd"/>
      <w:r w:rsidRPr="00523D5D">
        <w:rPr>
          <w:sz w:val="20"/>
          <w:szCs w:val="20"/>
        </w:rPr>
        <w:t xml:space="preserve"> L, Smedsgaard J, </w:t>
      </w:r>
      <w:proofErr w:type="spellStart"/>
      <w:r w:rsidRPr="00523D5D">
        <w:rPr>
          <w:sz w:val="20"/>
          <w:szCs w:val="20"/>
        </w:rPr>
        <w:t>Tudzynski</w:t>
      </w:r>
      <w:proofErr w:type="spellEnd"/>
      <w:r w:rsidRPr="00523D5D">
        <w:rPr>
          <w:sz w:val="20"/>
          <w:szCs w:val="20"/>
        </w:rPr>
        <w:t xml:space="preserve"> P (2006) Identification of an abscisic acid gene cluster in the grey mold </w:t>
      </w:r>
      <w:r w:rsidRPr="00523D5D">
        <w:rPr>
          <w:i/>
          <w:sz w:val="20"/>
          <w:szCs w:val="20"/>
        </w:rPr>
        <w:t>Botrytis cinerea</w:t>
      </w:r>
      <w:r w:rsidRPr="00523D5D">
        <w:rPr>
          <w:sz w:val="20"/>
          <w:szCs w:val="20"/>
        </w:rPr>
        <w:t xml:space="preserve">. Appl Environ Microbiol 72:4619–4626. </w:t>
      </w:r>
      <w:hyperlink r:id="rId45" w:history="1">
        <w:r w:rsidRPr="00523D5D">
          <w:rPr>
            <w:sz w:val="20"/>
            <w:szCs w:val="20"/>
          </w:rPr>
          <w:t>https://doi.org/10.1128/AEM.02919-05</w:t>
        </w:r>
      </w:hyperlink>
    </w:p>
    <w:p w14:paraId="25A90D3A" w14:textId="77777777" w:rsidR="00474295" w:rsidRPr="00F748B7" w:rsidRDefault="00474295" w:rsidP="001A00A5">
      <w:pPr>
        <w:pStyle w:val="EndNoteBibliography"/>
        <w:spacing w:after="240" w:line="360" w:lineRule="auto"/>
        <w:ind w:left="720" w:hanging="720"/>
        <w:rPr>
          <w:rFonts w:eastAsiaTheme="minorEastAsia"/>
          <w:sz w:val="20"/>
          <w:szCs w:val="20"/>
        </w:rPr>
      </w:pPr>
    </w:p>
    <w:p w14:paraId="56FB746C" w14:textId="77777777" w:rsidR="009221A4" w:rsidRPr="004F5F99" w:rsidRDefault="009221A4">
      <w:pPr>
        <w:rPr>
          <w:rFonts w:eastAsiaTheme="minorEastAsia"/>
        </w:rPr>
      </w:pPr>
    </w:p>
    <w:sectPr w:rsidR="009221A4" w:rsidRPr="004F5F99">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D817" w14:textId="77777777" w:rsidR="00723F5E" w:rsidRDefault="00723F5E" w:rsidP="0082594D">
      <w:pPr>
        <w:spacing w:after="0" w:line="240" w:lineRule="auto"/>
      </w:pPr>
      <w:r>
        <w:separator/>
      </w:r>
    </w:p>
  </w:endnote>
  <w:endnote w:type="continuationSeparator" w:id="0">
    <w:p w14:paraId="0A0E0870" w14:textId="77777777" w:rsidR="00723F5E" w:rsidRDefault="00723F5E" w:rsidP="0082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4D9A" w14:textId="77777777" w:rsidR="00723F5E" w:rsidRDefault="00723F5E" w:rsidP="0082594D">
      <w:pPr>
        <w:spacing w:after="0" w:line="240" w:lineRule="auto"/>
      </w:pPr>
      <w:r>
        <w:separator/>
      </w:r>
    </w:p>
  </w:footnote>
  <w:footnote w:type="continuationSeparator" w:id="0">
    <w:p w14:paraId="2A4785E1" w14:textId="77777777" w:rsidR="00723F5E" w:rsidRDefault="00723F5E" w:rsidP="00825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21CC0"/>
    <w:multiLevelType w:val="hybridMultilevel"/>
    <w:tmpl w:val="F6A0D9B6"/>
    <w:lvl w:ilvl="0" w:tplc="A4942C6E">
      <w:start w:val="1"/>
      <w:numFmt w:val="decimal"/>
      <w:lvlText w:val="%1."/>
      <w:lvlJc w:val="left"/>
      <w:pPr>
        <w:ind w:left="800" w:hanging="400"/>
      </w:pPr>
      <w:rPr>
        <w:rFonts w:ascii="Times New Roman" w:hAnsi="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6321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A4"/>
    <w:rsid w:val="00003A67"/>
    <w:rsid w:val="00013273"/>
    <w:rsid w:val="000F56F1"/>
    <w:rsid w:val="00177BE1"/>
    <w:rsid w:val="00182B55"/>
    <w:rsid w:val="001870D4"/>
    <w:rsid w:val="001A00A5"/>
    <w:rsid w:val="001B64C1"/>
    <w:rsid w:val="001D29A1"/>
    <w:rsid w:val="003D1E74"/>
    <w:rsid w:val="004029AC"/>
    <w:rsid w:val="004404B1"/>
    <w:rsid w:val="00474295"/>
    <w:rsid w:val="004C54CE"/>
    <w:rsid w:val="004F5F99"/>
    <w:rsid w:val="00514AA4"/>
    <w:rsid w:val="0054229B"/>
    <w:rsid w:val="00575F97"/>
    <w:rsid w:val="006919C5"/>
    <w:rsid w:val="00723F5E"/>
    <w:rsid w:val="0082594D"/>
    <w:rsid w:val="00907E03"/>
    <w:rsid w:val="009221A4"/>
    <w:rsid w:val="00932573"/>
    <w:rsid w:val="0098407B"/>
    <w:rsid w:val="009C248D"/>
    <w:rsid w:val="00A24F9E"/>
    <w:rsid w:val="00AE7C9F"/>
    <w:rsid w:val="00B336FD"/>
    <w:rsid w:val="00B534CB"/>
    <w:rsid w:val="00E2209C"/>
    <w:rsid w:val="00F31D30"/>
    <w:rsid w:val="00F4778C"/>
    <w:rsid w:val="00F51222"/>
    <w:rsid w:val="00F748B7"/>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3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annotation text" w:uiPriority="0"/>
    <w:lsdException w:name="annotation reference"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nhideWhenUsed="1"/>
  </w:latentStyles>
  <w:style w:type="paragraph" w:default="1" w:styleId="a">
    <w:name w:val="Normal"/>
    <w:qFormat/>
    <w:pPr>
      <w:widowControl w:val="0"/>
      <w:spacing w:line="259" w:lineRule="auto"/>
      <w:jc w:val="both"/>
    </w:pPr>
    <w:rPr>
      <w:rFonts w:ascii="Times New Roman" w:eastAsia="Times New Roman" w:hAnsi="Times New Roman" w:cs="Times New Roman"/>
    </w:rPr>
  </w:style>
  <w:style w:type="paragraph" w:styleId="1">
    <w:name w:val="heading 1"/>
    <w:basedOn w:val="a"/>
    <w:next w:val="a"/>
    <w:qFormat/>
    <w:pPr>
      <w:keepNext/>
      <w:keepLines/>
      <w:spacing w:before="280" w:after="80" w:line="240" w:lineRule="auto"/>
      <w:jc w:val="left"/>
      <w:outlineLvl w:val="0"/>
    </w:pPr>
    <w:rPr>
      <w:rFonts w:ascii="맑은 고딕" w:eastAsia="맑은 고딕" w:hAnsi="맑은 고딕" w:cs="맑은 고딕"/>
      <w:color w:val="000000"/>
      <w:sz w:val="32"/>
    </w:rPr>
  </w:style>
  <w:style w:type="paragraph" w:styleId="2">
    <w:name w:val="heading 2"/>
    <w:basedOn w:val="a"/>
    <w:next w:val="a"/>
    <w:qFormat/>
    <w:pPr>
      <w:keepNext/>
      <w:keepLines/>
      <w:spacing w:before="160" w:after="80" w:line="240" w:lineRule="auto"/>
      <w:jc w:val="left"/>
      <w:outlineLvl w:val="1"/>
    </w:pPr>
    <w:rPr>
      <w:rFonts w:ascii="맑은 고딕" w:eastAsia="맑은 고딕" w:hAnsi="맑은 고딕" w:cs="맑은 고딕"/>
      <w:color w:val="000000"/>
      <w:sz w:val="28"/>
    </w:rPr>
  </w:style>
  <w:style w:type="paragraph" w:styleId="3">
    <w:name w:val="heading 3"/>
    <w:basedOn w:val="a"/>
    <w:next w:val="a"/>
    <w:qFormat/>
    <w:pPr>
      <w:keepNext/>
      <w:keepLines/>
      <w:spacing w:before="160" w:after="80" w:line="240" w:lineRule="auto"/>
      <w:jc w:val="left"/>
      <w:outlineLvl w:val="2"/>
    </w:pPr>
    <w:rPr>
      <w:rFonts w:ascii="맑은 고딕" w:eastAsia="맑은 고딕" w:hAnsi="맑은 고딕" w:cs="맑은 고딕"/>
      <w:color w:val="000000"/>
      <w:sz w:val="24"/>
    </w:rPr>
  </w:style>
  <w:style w:type="paragraph" w:styleId="4">
    <w:name w:val="heading 4"/>
    <w:basedOn w:val="a"/>
    <w:next w:val="a"/>
    <w:pPr>
      <w:keepNext/>
      <w:keepLines/>
      <w:spacing w:before="80" w:after="40" w:line="240" w:lineRule="auto"/>
      <w:jc w:val="left"/>
      <w:outlineLvl w:val="3"/>
    </w:pPr>
    <w:rPr>
      <w:rFonts w:ascii="맑은 고딕" w:eastAsia="맑은 고딕" w:hAnsi="맑은 고딕" w:cs="맑은 고딕"/>
      <w:color w:val="000000"/>
    </w:rPr>
  </w:style>
  <w:style w:type="paragraph" w:styleId="5">
    <w:name w:val="heading 5"/>
    <w:basedOn w:val="a"/>
    <w:next w:val="a"/>
    <w:pPr>
      <w:keepNext/>
      <w:keepLines/>
      <w:spacing w:before="80" w:after="40" w:line="240" w:lineRule="auto"/>
      <w:ind w:left="100"/>
      <w:jc w:val="left"/>
      <w:outlineLvl w:val="4"/>
    </w:pPr>
    <w:rPr>
      <w:rFonts w:ascii="맑은 고딕" w:eastAsia="맑은 고딕" w:hAnsi="맑은 고딕" w:cs="맑은 고딕"/>
      <w:color w:val="000000"/>
    </w:rPr>
  </w:style>
  <w:style w:type="paragraph" w:styleId="6">
    <w:name w:val="heading 6"/>
    <w:basedOn w:val="a"/>
    <w:next w:val="a"/>
    <w:pPr>
      <w:keepNext/>
      <w:keepLines/>
      <w:spacing w:before="80" w:after="40" w:line="240" w:lineRule="auto"/>
      <w:ind w:left="200"/>
      <w:jc w:val="left"/>
      <w:outlineLvl w:val="5"/>
    </w:pPr>
    <w:rPr>
      <w:rFonts w:ascii="맑은 고딕" w:eastAsia="맑은 고딕" w:hAnsi="맑은 고딕" w:cs="맑은 고딕"/>
      <w:color w:val="000000"/>
    </w:rPr>
  </w:style>
  <w:style w:type="paragraph" w:styleId="7">
    <w:name w:val="heading 7"/>
    <w:basedOn w:val="a"/>
    <w:next w:val="a"/>
    <w:pPr>
      <w:keepNext/>
      <w:keepLines/>
      <w:spacing w:before="80" w:after="40" w:line="240" w:lineRule="auto"/>
      <w:ind w:left="300"/>
      <w:jc w:val="left"/>
      <w:outlineLvl w:val="6"/>
    </w:pPr>
    <w:rPr>
      <w:rFonts w:ascii="맑은 고딕" w:eastAsia="맑은 고딕" w:hAnsi="맑은 고딕" w:cs="맑은 고딕"/>
      <w:color w:val="000000"/>
    </w:rPr>
  </w:style>
  <w:style w:type="paragraph" w:styleId="8">
    <w:name w:val="heading 8"/>
    <w:basedOn w:val="a"/>
    <w:next w:val="a"/>
    <w:pPr>
      <w:keepNext/>
      <w:keepLines/>
      <w:spacing w:before="80" w:after="40" w:line="240" w:lineRule="auto"/>
      <w:ind w:left="400"/>
      <w:jc w:val="left"/>
      <w:outlineLvl w:val="7"/>
    </w:pPr>
    <w:rPr>
      <w:rFonts w:ascii="맑은 고딕" w:eastAsia="맑은 고딕" w:hAnsi="맑은 고딕" w:cs="맑은 고딕"/>
      <w:color w:val="000000"/>
    </w:rPr>
  </w:style>
  <w:style w:type="paragraph" w:styleId="9">
    <w:name w:val="heading 9"/>
    <w:basedOn w:val="a"/>
    <w:next w:val="a"/>
    <w:pPr>
      <w:keepNext/>
      <w:keepLines/>
      <w:spacing w:before="80" w:after="40" w:line="240" w:lineRule="auto"/>
      <w:ind w:left="500"/>
      <w:jc w:val="left"/>
      <w:outlineLvl w:val="8"/>
    </w:pPr>
    <w:rPr>
      <w:rFonts w:ascii="맑은 고딕" w:eastAsia="맑은 고딕" w:hAnsi="맑은 고딕" w:cs="맑은 고딕"/>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pPr>
      <w:spacing w:line="305" w:lineRule="auto"/>
    </w:pPr>
    <w:rPr>
      <w:rFonts w:ascii="Calibri" w:eastAsia="Calibri" w:hAnsi="Calibri" w:cs="Calibri"/>
      <w:sz w:val="26"/>
    </w:rPr>
  </w:style>
  <w:style w:type="paragraph" w:styleId="20">
    <w:name w:val="toc 2"/>
    <w:basedOn w:val="a"/>
    <w:pPr>
      <w:spacing w:line="330" w:lineRule="auto"/>
    </w:pPr>
    <w:rPr>
      <w:rFonts w:ascii="Calibri" w:eastAsia="Calibri" w:hAnsi="Calibri" w:cs="Calibri"/>
      <w:sz w:val="24"/>
    </w:rPr>
  </w:style>
  <w:style w:type="paragraph" w:styleId="30">
    <w:name w:val="toc 3"/>
    <w:basedOn w:val="a"/>
    <w:pPr>
      <w:spacing w:line="360" w:lineRule="auto"/>
    </w:pPr>
    <w:rPr>
      <w:rFonts w:ascii="Calibri" w:eastAsia="Calibri" w:hAnsi="Calibri" w:cs="Calibri"/>
    </w:rPr>
  </w:style>
  <w:style w:type="paragraph" w:styleId="40">
    <w:name w:val="toc 4"/>
    <w:basedOn w:val="a"/>
    <w:pPr>
      <w:spacing w:line="330" w:lineRule="exact"/>
    </w:pPr>
    <w:rPr>
      <w:rFonts w:ascii="Calibri" w:eastAsia="Calibri" w:hAnsi="Calibri" w:cs="Calibri"/>
    </w:rPr>
  </w:style>
  <w:style w:type="paragraph" w:styleId="50">
    <w:name w:val="toc 5"/>
    <w:basedOn w:val="a"/>
    <w:pPr>
      <w:spacing w:line="330" w:lineRule="exact"/>
    </w:pPr>
    <w:rPr>
      <w:rFonts w:ascii="Calibri" w:eastAsia="Calibri" w:hAnsi="Calibri" w:cs="Calibri"/>
    </w:rPr>
  </w:style>
  <w:style w:type="paragraph" w:styleId="60">
    <w:name w:val="toc 6"/>
    <w:basedOn w:val="a"/>
    <w:pPr>
      <w:spacing w:line="330" w:lineRule="exact"/>
    </w:pPr>
    <w:rPr>
      <w:rFonts w:ascii="Calibri" w:eastAsia="Calibri" w:hAnsi="Calibri" w:cs="Calibri"/>
    </w:rPr>
  </w:style>
  <w:style w:type="paragraph" w:styleId="70">
    <w:name w:val="toc 7"/>
    <w:basedOn w:val="a"/>
    <w:pPr>
      <w:spacing w:line="330" w:lineRule="exact"/>
    </w:pPr>
    <w:rPr>
      <w:rFonts w:ascii="Calibri" w:eastAsia="Calibri" w:hAnsi="Calibri" w:cs="Calibri"/>
    </w:rPr>
  </w:style>
  <w:style w:type="paragraph" w:styleId="80">
    <w:name w:val="toc 8"/>
    <w:basedOn w:val="a"/>
    <w:pPr>
      <w:spacing w:line="330" w:lineRule="exact"/>
    </w:pPr>
    <w:rPr>
      <w:rFonts w:ascii="Calibri" w:eastAsia="Calibri" w:hAnsi="Calibri" w:cs="Calibri"/>
    </w:rPr>
  </w:style>
  <w:style w:type="paragraph" w:styleId="90">
    <w:name w:val="toc 9"/>
    <w:basedOn w:val="a"/>
    <w:pPr>
      <w:spacing w:line="330" w:lineRule="exact"/>
    </w:pPr>
    <w:rPr>
      <w:rFonts w:ascii="Calibri" w:eastAsia="Calibri" w:hAnsi="Calibri" w:cs="Calibri"/>
    </w:rPr>
  </w:style>
  <w:style w:type="table" w:styleId="a3">
    <w:name w:val="Table Grid"/>
    <w:basedOn w:val="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rPr>
      <w:sz w:val="16"/>
    </w:rPr>
  </w:style>
  <w:style w:type="character" w:styleId="a5">
    <w:name w:val="endnote reference"/>
    <w:basedOn w:val="a0"/>
    <w:rPr>
      <w:vertAlign w:val="superscript"/>
    </w:rPr>
  </w:style>
  <w:style w:type="character" w:styleId="a6">
    <w:name w:val="footnote reference"/>
    <w:basedOn w:val="a0"/>
    <w:rPr>
      <w:vertAlign w:val="superscript"/>
    </w:rPr>
  </w:style>
  <w:style w:type="paragraph" w:styleId="a7">
    <w:name w:val="Title"/>
    <w:basedOn w:val="a"/>
    <w:next w:val="a"/>
    <w:qFormat/>
    <w:pPr>
      <w:spacing w:after="80" w:line="240" w:lineRule="auto"/>
      <w:contextualSpacing/>
      <w:jc w:val="center"/>
    </w:pPr>
    <w:rPr>
      <w:rFonts w:ascii="맑은 고딕" w:eastAsia="맑은 고딕" w:hAnsi="맑은 고딕" w:cs="맑은 고딕"/>
      <w:sz w:val="56"/>
    </w:rPr>
  </w:style>
  <w:style w:type="paragraph" w:styleId="a8">
    <w:name w:val="Subtitle"/>
    <w:basedOn w:val="a"/>
    <w:next w:val="a"/>
    <w:qFormat/>
    <w:pPr>
      <w:spacing w:line="240" w:lineRule="auto"/>
      <w:jc w:val="center"/>
    </w:pPr>
    <w:rPr>
      <w:rFonts w:ascii="맑은 고딕" w:eastAsia="맑은 고딕" w:hAnsi="맑은 고딕" w:cs="맑은 고딕"/>
      <w:color w:val="595959"/>
      <w:sz w:val="28"/>
    </w:rPr>
  </w:style>
  <w:style w:type="paragraph" w:styleId="a9">
    <w:name w:val="Quote"/>
    <w:basedOn w:val="a"/>
    <w:next w:val="a"/>
    <w:qFormat/>
    <w:pPr>
      <w:spacing w:before="160" w:line="240" w:lineRule="auto"/>
      <w:jc w:val="center"/>
    </w:pPr>
    <w:rPr>
      <w:i/>
      <w:color w:val="404040"/>
    </w:rPr>
  </w:style>
  <w:style w:type="paragraph" w:styleId="aa">
    <w:name w:val="List Paragraph"/>
    <w:basedOn w:val="a"/>
    <w:pPr>
      <w:spacing w:line="240" w:lineRule="auto"/>
      <w:ind w:left="720"/>
      <w:contextualSpacing/>
      <w:jc w:val="left"/>
    </w:pPr>
  </w:style>
  <w:style w:type="character" w:styleId="ab">
    <w:name w:val="Intense Emphasis"/>
    <w:basedOn w:val="a0"/>
    <w:qFormat/>
    <w:rPr>
      <w:i/>
      <w:color w:val="0F4761"/>
    </w:rPr>
  </w:style>
  <w:style w:type="paragraph" w:styleId="ac">
    <w:name w:val="Intense Quote"/>
    <w:basedOn w:val="a"/>
    <w:next w:val="a"/>
    <w:qFormat/>
    <w:pPr>
      <w:pBdr>
        <w:top w:val="single" w:sz="4" w:space="10" w:color="0F4761"/>
        <w:bottom w:val="single" w:sz="4" w:space="10" w:color="0F4761"/>
      </w:pBdr>
      <w:spacing w:before="360" w:after="360" w:line="240" w:lineRule="auto"/>
      <w:ind w:left="864" w:right="864"/>
      <w:jc w:val="center"/>
    </w:pPr>
    <w:rPr>
      <w:i/>
      <w:color w:val="0F4761"/>
    </w:rPr>
  </w:style>
  <w:style w:type="character" w:styleId="ad">
    <w:name w:val="Intense Reference"/>
    <w:basedOn w:val="a0"/>
    <w:rPr>
      <w:b/>
      <w:color w:val="0F4761"/>
    </w:rPr>
  </w:style>
  <w:style w:type="paragraph" w:customStyle="1" w:styleId="ae">
    <w:name w:val="테이블 주석"/>
    <w:basedOn w:val="a"/>
    <w:pPr>
      <w:widowControl/>
      <w:spacing w:after="0" w:line="240" w:lineRule="auto"/>
      <w:jc w:val="left"/>
    </w:pPr>
    <w:rPr>
      <w:sz w:val="20"/>
      <w:vertAlign w:val="superscript"/>
    </w:rPr>
  </w:style>
  <w:style w:type="character" w:customStyle="1" w:styleId="GivenName">
    <w:name w:val="Given Name"/>
    <w:basedOn w:val="a0"/>
    <w:rPr>
      <w:shd w:val="clear" w:color="auto" w:fill="D0FCE2"/>
    </w:rPr>
  </w:style>
  <w:style w:type="character" w:customStyle="1" w:styleId="Organization">
    <w:name w:val="Organization"/>
    <w:basedOn w:val="a0"/>
    <w:rPr>
      <w:shd w:val="clear" w:color="auto" w:fill="D1FFB5"/>
    </w:rPr>
  </w:style>
  <w:style w:type="paragraph" w:customStyle="1" w:styleId="Authors">
    <w:name w:val="Authors"/>
    <w:basedOn w:val="a"/>
    <w:pPr>
      <w:spacing w:before="360" w:after="120" w:line="283" w:lineRule="auto"/>
      <w:jc w:val="left"/>
    </w:pPr>
    <w:rPr>
      <w:rFonts w:ascii="Calibri" w:eastAsia="Calibri" w:hAnsi="Calibri" w:cs="Calibri"/>
      <w:sz w:val="28"/>
    </w:rPr>
  </w:style>
  <w:style w:type="paragraph" w:customStyle="1" w:styleId="Biography">
    <w:name w:val="Biography"/>
    <w:basedOn w:val="a"/>
    <w:pPr>
      <w:shd w:val="clear" w:color="auto" w:fill="EEFEF4"/>
      <w:spacing w:line="396" w:lineRule="auto"/>
    </w:pPr>
    <w:rPr>
      <w:rFonts w:ascii="Calibri" w:eastAsia="Calibri" w:hAnsi="Calibri" w:cs="Calibri"/>
      <w:sz w:val="20"/>
      <w:shd w:val="clear" w:color="auto" w:fill="EEFEF4"/>
    </w:rPr>
  </w:style>
  <w:style w:type="character" w:customStyle="1" w:styleId="Region">
    <w:name w:val="Region"/>
    <w:basedOn w:val="a0"/>
    <w:rPr>
      <w:shd w:val="clear" w:color="auto" w:fill="D8E9EE"/>
    </w:rPr>
  </w:style>
  <w:style w:type="paragraph" w:customStyle="1" w:styleId="Reference">
    <w:name w:val="Reference"/>
    <w:basedOn w:val="a"/>
    <w:pPr>
      <w:spacing w:after="320" w:line="360" w:lineRule="auto"/>
      <w:ind w:left="400" w:hanging="400"/>
    </w:pPr>
    <w:rPr>
      <w:rFonts w:ascii="Calibri" w:eastAsia="Calibri" w:hAnsi="Calibri" w:cs="Calibri"/>
    </w:rPr>
  </w:style>
  <w:style w:type="paragraph" w:customStyle="1" w:styleId="TableNote">
    <w:name w:val="Table Note"/>
    <w:basedOn w:val="a"/>
    <w:rPr>
      <w:rFonts w:ascii="Calibri" w:eastAsia="Calibri" w:hAnsi="Calibri" w:cs="Calibri"/>
      <w:sz w:val="18"/>
    </w:rPr>
  </w:style>
  <w:style w:type="character" w:customStyle="1" w:styleId="PageNumbers">
    <w:name w:val="Page Numbers"/>
    <w:basedOn w:val="a0"/>
    <w:rPr>
      <w:shd w:val="clear" w:color="auto" w:fill="FFEDF0"/>
    </w:rPr>
  </w:style>
  <w:style w:type="paragraph" w:customStyle="1" w:styleId="ChapterNumber">
    <w:name w:val="Chapter Number"/>
    <w:basedOn w:val="a"/>
    <w:rPr>
      <w:rFonts w:ascii="Calibri" w:eastAsia="Calibri" w:hAnsi="Calibri" w:cs="Calibri"/>
    </w:rPr>
  </w:style>
  <w:style w:type="paragraph" w:customStyle="1" w:styleId="AbstractSubheading">
    <w:name w:val="Abstract Subheading"/>
    <w:basedOn w:val="a"/>
    <w:next w:val="a"/>
    <w:pPr>
      <w:keepNext/>
      <w:keepLines/>
      <w:numPr>
        <w:ilvl w:val="8"/>
      </w:numPr>
      <w:ind w:left="1440"/>
      <w:outlineLvl w:val="8"/>
    </w:pPr>
  </w:style>
  <w:style w:type="paragraph" w:styleId="21">
    <w:name w:val="List 2"/>
    <w:basedOn w:val="a"/>
    <w:pPr>
      <w:spacing w:line="360" w:lineRule="auto"/>
      <w:ind w:left="800" w:hanging="400"/>
    </w:pPr>
    <w:rPr>
      <w:rFonts w:ascii="Calibri" w:eastAsia="Calibri" w:hAnsi="Calibri" w:cs="Calibri"/>
    </w:rPr>
  </w:style>
  <w:style w:type="character" w:customStyle="1" w:styleId="NameScientific">
    <w:name w:val="Name Scientific"/>
    <w:basedOn w:val="a0"/>
    <w:rPr>
      <w:shd w:val="clear" w:color="auto" w:fill="91E0FF"/>
    </w:rPr>
  </w:style>
  <w:style w:type="paragraph" w:customStyle="1" w:styleId="TableHeadSpan">
    <w:name w:val="Table Head Span"/>
    <w:basedOn w:val="a"/>
    <w:pPr>
      <w:shd w:val="clear" w:color="auto" w:fill="FFEDFA"/>
      <w:jc w:val="left"/>
    </w:pPr>
    <w:rPr>
      <w:rFonts w:ascii="Calibri" w:eastAsia="Calibri" w:hAnsi="Calibri" w:cs="Calibri"/>
      <w:shd w:val="clear" w:color="auto" w:fill="FFEDFA"/>
    </w:rPr>
  </w:style>
  <w:style w:type="character" w:customStyle="1" w:styleId="Label">
    <w:name w:val="Label"/>
    <w:basedOn w:val="a0"/>
    <w:rPr>
      <w:shd w:val="clear" w:color="auto" w:fill="FFC391"/>
      <w:vertAlign w:val="baseline"/>
    </w:rPr>
  </w:style>
  <w:style w:type="paragraph" w:styleId="af">
    <w:name w:val="List"/>
    <w:basedOn w:val="a"/>
    <w:pPr>
      <w:spacing w:line="360" w:lineRule="auto"/>
      <w:ind w:left="400" w:hanging="400"/>
    </w:pPr>
    <w:rPr>
      <w:rFonts w:ascii="Calibri" w:eastAsia="Calibri" w:hAnsi="Calibri" w:cs="Calibri"/>
    </w:rPr>
  </w:style>
  <w:style w:type="character" w:customStyle="1" w:styleId="GlossaryTerm">
    <w:name w:val="Glossary Term"/>
    <w:basedOn w:val="a0"/>
    <w:rPr>
      <w:shd w:val="clear" w:color="auto" w:fill="FFCFD7"/>
    </w:rPr>
  </w:style>
  <w:style w:type="character" w:customStyle="1" w:styleId="Conference">
    <w:name w:val="Conference"/>
    <w:basedOn w:val="a0"/>
    <w:rPr>
      <w:shd w:val="clear" w:color="auto" w:fill="FFAFBC"/>
    </w:rPr>
  </w:style>
  <w:style w:type="character" w:customStyle="1" w:styleId="Location">
    <w:name w:val="Location"/>
    <w:basedOn w:val="a0"/>
    <w:rPr>
      <w:shd w:val="clear" w:color="auto" w:fill="F9EDFF"/>
    </w:rPr>
  </w:style>
  <w:style w:type="character" w:customStyle="1" w:styleId="Heading">
    <w:name w:val="Heading:"/>
    <w:basedOn w:val="a0"/>
    <w:rPr>
      <w:color w:val="5B89C1"/>
    </w:rPr>
  </w:style>
  <w:style w:type="paragraph" w:customStyle="1" w:styleId="Statement">
    <w:name w:val="Statement"/>
    <w:basedOn w:val="a"/>
    <w:pPr>
      <w:ind w:left="900"/>
    </w:pPr>
    <w:rPr>
      <w:rFonts w:ascii="Calibri" w:eastAsia="Calibri" w:hAnsi="Calibri" w:cs="Calibri"/>
    </w:rPr>
  </w:style>
  <w:style w:type="paragraph" w:styleId="af0">
    <w:name w:val="Block Text"/>
    <w:basedOn w:val="a"/>
    <w:pPr>
      <w:spacing w:line="360" w:lineRule="auto"/>
      <w:ind w:left="1200"/>
    </w:pPr>
    <w:rPr>
      <w:rFonts w:ascii="Calibri" w:eastAsia="Calibri" w:hAnsi="Calibri" w:cs="Calibri"/>
    </w:rPr>
  </w:style>
  <w:style w:type="character" w:customStyle="1" w:styleId="Year">
    <w:name w:val="Year"/>
    <w:basedOn w:val="a0"/>
    <w:rPr>
      <w:shd w:val="clear" w:color="auto" w:fill="FFF9C9"/>
    </w:rPr>
  </w:style>
  <w:style w:type="paragraph" w:customStyle="1" w:styleId="Keywords">
    <w:name w:val="Keywords"/>
    <w:basedOn w:val="a"/>
    <w:pPr>
      <w:spacing w:line="396" w:lineRule="auto"/>
      <w:ind w:left="1000"/>
      <w:jc w:val="left"/>
    </w:pPr>
    <w:rPr>
      <w:rFonts w:ascii="Calibri" w:eastAsia="Calibri" w:hAnsi="Calibri" w:cs="Calibri"/>
      <w:sz w:val="20"/>
    </w:rPr>
  </w:style>
  <w:style w:type="character" w:customStyle="1" w:styleId="DatabaseLink">
    <w:name w:val="Database Link"/>
    <w:basedOn w:val="a0"/>
    <w:rPr>
      <w:shd w:val="clear" w:color="auto" w:fill="AFBEFF"/>
    </w:rPr>
  </w:style>
  <w:style w:type="paragraph" w:customStyle="1" w:styleId="Surtitle">
    <w:name w:val="Surtitle"/>
    <w:basedOn w:val="a"/>
    <w:qFormat/>
    <w:pPr>
      <w:spacing w:line="208" w:lineRule="auto"/>
      <w:jc w:val="left"/>
    </w:pPr>
    <w:rPr>
      <w:rFonts w:ascii="Calibri" w:eastAsia="Calibri" w:hAnsi="Calibri" w:cs="Calibri"/>
      <w:sz w:val="38"/>
    </w:rPr>
  </w:style>
  <w:style w:type="character" w:customStyle="1" w:styleId="Country">
    <w:name w:val="Country"/>
    <w:basedOn w:val="a0"/>
    <w:rPr>
      <w:shd w:val="clear" w:color="auto" w:fill="97C5D1"/>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character" w:customStyle="1" w:styleId="IssueNumber">
    <w:name w:val="Issue Number"/>
    <w:basedOn w:val="a0"/>
    <w:rPr>
      <w:shd w:val="clear" w:color="auto" w:fill="CDD5FF"/>
    </w:rPr>
  </w:style>
  <w:style w:type="paragraph" w:customStyle="1" w:styleId="List6">
    <w:name w:val="List 6"/>
    <w:basedOn w:val="a"/>
    <w:pPr>
      <w:spacing w:line="360" w:lineRule="auto"/>
      <w:ind w:left="1860" w:hanging="400"/>
    </w:pPr>
    <w:rPr>
      <w:rFonts w:ascii="Calibri" w:eastAsia="Calibri" w:hAnsi="Calibri" w:cs="Calibri"/>
    </w:rPr>
  </w:style>
  <w:style w:type="character" w:customStyle="1" w:styleId="Source">
    <w:name w:val="Source"/>
    <w:basedOn w:val="a0"/>
    <w:rPr>
      <w:shd w:val="clear" w:color="auto" w:fill="C1EDFF"/>
    </w:rPr>
  </w:style>
  <w:style w:type="paragraph" w:customStyle="1" w:styleId="Affiliation">
    <w:name w:val="Affiliation"/>
    <w:basedOn w:val="a"/>
    <w:pPr>
      <w:shd w:val="clear" w:color="auto" w:fill="F4FFED"/>
      <w:spacing w:before="240" w:after="120" w:line="396" w:lineRule="auto"/>
      <w:ind w:left="400" w:hanging="400"/>
      <w:jc w:val="left"/>
    </w:pPr>
    <w:rPr>
      <w:rFonts w:ascii="Calibri" w:eastAsia="Calibri" w:hAnsi="Calibri" w:cs="Calibri"/>
      <w:sz w:val="20"/>
      <w:shd w:val="clear" w:color="auto" w:fill="F4FFED"/>
    </w:rPr>
  </w:style>
  <w:style w:type="paragraph" w:styleId="51">
    <w:name w:val="List 5"/>
    <w:basedOn w:val="a"/>
    <w:pPr>
      <w:spacing w:line="360" w:lineRule="auto"/>
      <w:ind w:left="1800" w:hanging="400"/>
    </w:pPr>
    <w:rPr>
      <w:rFonts w:ascii="Calibri" w:eastAsia="Calibri" w:hAnsi="Calibri" w:cs="Calibri"/>
    </w:r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Quotation">
    <w:name w:val="Quotation"/>
    <w:basedOn w:val="a"/>
    <w:pPr>
      <w:spacing w:line="360" w:lineRule="auto"/>
      <w:ind w:left="1200" w:right="1200"/>
    </w:pPr>
    <w:rPr>
      <w:rFonts w:ascii="Calibri" w:eastAsia="Calibri" w:hAnsi="Calibri" w:cs="Calibri"/>
    </w:rPr>
  </w:style>
  <w:style w:type="paragraph" w:customStyle="1" w:styleId="Annotation">
    <w:name w:val="Annotation"/>
    <w:basedOn w:val="a"/>
    <w:pPr>
      <w:spacing w:line="360" w:lineRule="auto"/>
      <w:ind w:left="400"/>
      <w:jc w:val="left"/>
    </w:pPr>
    <w:rPr>
      <w:rFonts w:ascii="Calibri" w:eastAsia="Calibri" w:hAnsi="Calibri" w:cs="Calibri"/>
    </w:rPr>
  </w:style>
  <w:style w:type="paragraph" w:customStyle="1" w:styleId="Abstract">
    <w:name w:val="Abstract"/>
    <w:basedOn w:val="a"/>
    <w:pPr>
      <w:spacing w:line="360" w:lineRule="auto"/>
      <w:ind w:left="1440" w:right="1440"/>
    </w:pPr>
    <w:rPr>
      <w:rFonts w:ascii="Calibri" w:eastAsia="Calibri" w:hAnsi="Calibri" w:cs="Calibri"/>
    </w:rPr>
  </w:style>
  <w:style w:type="paragraph" w:styleId="af1">
    <w:name w:val="endnote text"/>
    <w:basedOn w:val="a"/>
    <w:rPr>
      <w:rFonts w:ascii="Calibri" w:eastAsia="Calibri" w:hAnsi="Calibri" w:cs="Calibri"/>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styleId="af2">
    <w:name w:val="annotation text"/>
    <w:basedOn w:val="a"/>
    <w:pPr>
      <w:spacing w:after="0"/>
      <w:jc w:val="left"/>
    </w:pPr>
    <w:rPr>
      <w:rFonts w:ascii="Calibri" w:eastAsia="Calibri" w:hAnsi="Calibri" w:cs="Calibri"/>
      <w:sz w:val="20"/>
    </w:rPr>
  </w:style>
  <w:style w:type="character" w:customStyle="1" w:styleId="Postcode">
    <w:name w:val="Postcode"/>
    <w:basedOn w:val="a0"/>
    <w:rPr>
      <w:shd w:val="clear" w:color="auto" w:fill="BEBEBE"/>
    </w:rPr>
  </w:style>
  <w:style w:type="paragraph" w:customStyle="1" w:styleId="Acknowledgements">
    <w:name w:val="Acknowledgements"/>
    <w:basedOn w:val="a"/>
    <w:pPr>
      <w:shd w:val="clear" w:color="auto" w:fill="F9EDFF"/>
      <w:spacing w:line="396" w:lineRule="auto"/>
    </w:pPr>
    <w:rPr>
      <w:rFonts w:ascii="Calibri" w:eastAsia="Calibri" w:hAnsi="Calibri" w:cs="Calibri"/>
      <w:sz w:val="20"/>
      <w:shd w:val="clear" w:color="auto" w:fill="F9EDFF"/>
    </w:rPr>
  </w:style>
  <w:style w:type="character" w:customStyle="1" w:styleId="GeneSequence">
    <w:name w:val="Gene Sequence"/>
    <w:basedOn w:val="a0"/>
    <w:rPr>
      <w:shd w:val="clear" w:color="auto" w:fill="FFCDF2"/>
    </w:rPr>
  </w:style>
  <w:style w:type="character" w:customStyle="1" w:styleId="VolumeNumber">
    <w:name w:val="Volume Number"/>
    <w:basedOn w:val="a0"/>
    <w:rPr>
      <w:shd w:val="clear" w:color="auto" w:fill="EDF0FF"/>
    </w:rPr>
  </w:style>
  <w:style w:type="character" w:customStyle="1" w:styleId="City">
    <w:name w:val="City"/>
    <w:basedOn w:val="a0"/>
    <w:rPr>
      <w:shd w:val="clear" w:color="auto" w:fill="D7D7D7"/>
    </w:rPr>
  </w:style>
  <w:style w:type="character" w:styleId="af3">
    <w:name w:val="Hyperlink"/>
    <w:basedOn w:val="a0"/>
    <w:rPr>
      <w:color w:val="0563C1"/>
    </w:rPr>
  </w:style>
  <w:style w:type="paragraph" w:customStyle="1" w:styleId="TableBody">
    <w:name w:val="Table Body"/>
    <w:basedOn w:val="a"/>
    <w:pPr>
      <w:spacing w:line="396" w:lineRule="auto"/>
      <w:jc w:val="left"/>
    </w:pPr>
    <w:rPr>
      <w:rFonts w:ascii="Calibri" w:eastAsia="Calibri" w:hAnsi="Calibri" w:cs="Calibri"/>
      <w:sz w:val="20"/>
    </w:rPr>
  </w:style>
  <w:style w:type="paragraph" w:styleId="31">
    <w:name w:val="List 3"/>
    <w:basedOn w:val="a"/>
    <w:pPr>
      <w:spacing w:line="360" w:lineRule="auto"/>
      <w:ind w:left="1200" w:hanging="400"/>
    </w:pPr>
    <w:rPr>
      <w:rFonts w:ascii="Calibri" w:eastAsia="Calibri" w:hAnsi="Calibri" w:cs="Calibri"/>
    </w:rPr>
  </w:style>
  <w:style w:type="paragraph" w:customStyle="1" w:styleId="Correspondence">
    <w:name w:val="Correspondence"/>
    <w:basedOn w:val="a"/>
    <w:pPr>
      <w:shd w:val="clear" w:color="auto" w:fill="F3F7F9"/>
      <w:spacing w:before="240" w:after="120" w:line="396" w:lineRule="auto"/>
      <w:ind w:left="400" w:hanging="400"/>
      <w:jc w:val="left"/>
    </w:pPr>
    <w:rPr>
      <w:rFonts w:ascii="Calibri" w:eastAsia="Calibri" w:hAnsi="Calibri" w:cs="Calibri"/>
      <w:sz w:val="20"/>
      <w:shd w:val="clear" w:color="auto" w:fill="F3F7F9"/>
    </w:rPr>
  </w:style>
  <w:style w:type="character" w:customStyle="1" w:styleId="Publisher">
    <w:name w:val="Publisher"/>
    <w:basedOn w:val="a0"/>
    <w:rPr>
      <w:shd w:val="clear" w:color="auto" w:fill="F2DDFF"/>
    </w:rPr>
  </w:style>
  <w:style w:type="character" w:customStyle="1" w:styleId="ArticleTitle">
    <w:name w:val="Article Title"/>
    <w:basedOn w:val="a0"/>
    <w:qFormat/>
    <w:rPr>
      <w:shd w:val="clear" w:color="auto" w:fill="E9F9FF"/>
    </w:rPr>
  </w:style>
  <w:style w:type="paragraph" w:styleId="af4">
    <w:name w:val="caption"/>
    <w:basedOn w:val="a"/>
    <w:pPr>
      <w:shd w:val="clear" w:color="auto" w:fill="FFF5ED"/>
      <w:spacing w:before="240" w:line="349" w:lineRule="auto"/>
    </w:pPr>
    <w:rPr>
      <w:rFonts w:ascii="Calibri" w:eastAsia="Calibri" w:hAnsi="Calibri" w:cs="Calibri"/>
      <w:shd w:val="clear" w:color="auto" w:fill="FFF5ED"/>
    </w:rPr>
  </w:style>
  <w:style w:type="paragraph" w:styleId="41">
    <w:name w:val="List 4"/>
    <w:basedOn w:val="a"/>
    <w:pPr>
      <w:spacing w:line="360" w:lineRule="auto"/>
      <w:ind w:left="1600" w:hanging="400"/>
    </w:pPr>
    <w:rPr>
      <w:rFonts w:ascii="Calibri" w:eastAsia="Calibri" w:hAnsi="Calibri" w:cs="Calibri"/>
    </w:rPr>
  </w:style>
  <w:style w:type="paragraph" w:customStyle="1" w:styleId="Formula">
    <w:name w:val="Formula"/>
    <w:basedOn w:val="a"/>
    <w:pPr>
      <w:shd w:val="clear" w:color="auto" w:fill="FFF5ED"/>
      <w:spacing w:before="120" w:after="120" w:line="360" w:lineRule="auto"/>
      <w:jc w:val="left"/>
    </w:pPr>
    <w:rPr>
      <w:rFonts w:ascii="Calibri" w:eastAsia="Calibri" w:hAnsi="Calibri" w:cs="Calibri"/>
      <w:shd w:val="clear" w:color="auto" w:fill="FFF5ED"/>
    </w:rPr>
  </w:style>
  <w:style w:type="paragraph" w:customStyle="1" w:styleId="TableHead">
    <w:name w:val="Table Head"/>
    <w:basedOn w:val="a"/>
    <w:pPr>
      <w:shd w:val="clear" w:color="auto" w:fill="FFEDFA"/>
      <w:jc w:val="left"/>
    </w:pPr>
    <w:rPr>
      <w:rFonts w:ascii="Calibri" w:eastAsia="Calibri" w:hAnsi="Calibri" w:cs="Calibri"/>
      <w:sz w:val="20"/>
      <w:shd w:val="clear" w:color="auto" w:fill="FFEDFA"/>
    </w:rPr>
  </w:style>
  <w:style w:type="character" w:customStyle="1" w:styleId="Miscellaneous">
    <w:name w:val="Miscellaneous"/>
    <w:basedOn w:val="a0"/>
    <w:rPr>
      <w:shd w:val="clear" w:color="auto" w:fill="F0F0F0"/>
    </w:rPr>
  </w:style>
  <w:style w:type="paragraph" w:customStyle="1" w:styleId="TableList">
    <w:name w:val="Table List"/>
    <w:basedOn w:val="a"/>
    <w:pPr>
      <w:ind w:left="300" w:hanging="300"/>
      <w:jc w:val="left"/>
    </w:pPr>
    <w:rPr>
      <w:rFonts w:ascii="Calibri" w:eastAsia="Calibri" w:hAnsi="Calibri" w:cs="Calibri"/>
      <w:sz w:val="20"/>
    </w:rPr>
  </w:style>
  <w:style w:type="paragraph" w:customStyle="1" w:styleId="QuotationSource">
    <w:name w:val="Quotation Source"/>
    <w:basedOn w:val="a"/>
    <w:pPr>
      <w:spacing w:after="170" w:line="360" w:lineRule="auto"/>
      <w:ind w:left="1200"/>
      <w:jc w:val="right"/>
    </w:pPr>
    <w:rPr>
      <w:rFonts w:ascii="Calibri" w:eastAsia="Calibri" w:hAnsi="Calibri" w:cs="Calibri"/>
    </w:rPr>
  </w:style>
  <w:style w:type="character" w:customStyle="1" w:styleId="GrantID">
    <w:name w:val="Grant ID"/>
    <w:basedOn w:val="a0"/>
    <w:rPr>
      <w:shd w:val="clear" w:color="auto" w:fill="DDA5FF"/>
    </w:rPr>
  </w:style>
  <w:style w:type="character" w:customStyle="1" w:styleId="Cross-reference">
    <w:name w:val="Cross-reference"/>
    <w:basedOn w:val="a0"/>
    <w:rPr>
      <w:shd w:val="clear" w:color="auto" w:fill="FFE3C9"/>
    </w:rPr>
  </w:style>
  <w:style w:type="paragraph" w:styleId="af5">
    <w:name w:val="footnote text"/>
    <w:basedOn w:val="a"/>
    <w:rPr>
      <w:rFonts w:ascii="Calibri" w:eastAsia="Calibri" w:hAnsi="Calibri" w:cs="Calibri"/>
    </w:rPr>
  </w:style>
  <w:style w:type="character" w:customStyle="1" w:styleId="Edition">
    <w:name w:val="Edition"/>
    <w:basedOn w:val="a0"/>
    <w:rPr>
      <w:shd w:val="clear" w:color="auto" w:fill="FFF6A4"/>
    </w:rPr>
  </w:style>
  <w:style w:type="paragraph" w:customStyle="1" w:styleId="List8">
    <w:name w:val="List 8"/>
    <w:basedOn w:val="a"/>
    <w:pPr>
      <w:spacing w:line="360" w:lineRule="auto"/>
      <w:ind w:left="1980" w:hanging="400"/>
    </w:pPr>
    <w:rPr>
      <w:rFonts w:ascii="Calibri" w:eastAsia="Calibri" w:hAnsi="Calibri" w:cs="Calibri"/>
    </w:rPr>
  </w:style>
  <w:style w:type="character" w:customStyle="1" w:styleId="FamilyName">
    <w:name w:val="Family Name"/>
    <w:basedOn w:val="a0"/>
    <w:rPr>
      <w:shd w:val="clear" w:color="auto" w:fill="88F4BE"/>
    </w:rPr>
  </w:style>
  <w:style w:type="paragraph" w:customStyle="1" w:styleId="List7">
    <w:name w:val="List 7"/>
    <w:basedOn w:val="a"/>
    <w:pPr>
      <w:spacing w:line="360" w:lineRule="auto"/>
      <w:ind w:left="1920" w:hanging="400"/>
    </w:pPr>
    <w:rPr>
      <w:rFonts w:ascii="Calibri" w:eastAsia="Calibri" w:hAnsi="Calibri" w:cs="Calibri"/>
    </w:rPr>
  </w:style>
  <w:style w:type="paragraph" w:customStyle="1" w:styleId="List1">
    <w:name w:val="List 1"/>
    <w:basedOn w:val="a"/>
    <w:pPr>
      <w:ind w:left="1200" w:hanging="600"/>
    </w:pPr>
  </w:style>
  <w:style w:type="paragraph" w:customStyle="1" w:styleId="List9">
    <w:name w:val="List 9"/>
    <w:basedOn w:val="a"/>
    <w:pPr>
      <w:ind w:left="1200" w:hanging="600"/>
    </w:pPr>
  </w:style>
  <w:style w:type="paragraph" w:styleId="af6">
    <w:name w:val="Revision"/>
    <w:hidden/>
    <w:uiPriority w:val="99"/>
    <w:rsid w:val="00F4778C"/>
    <w:pPr>
      <w:spacing w:after="0"/>
    </w:pPr>
    <w:rPr>
      <w:rFonts w:ascii="Times New Roman" w:eastAsia="Times New Roman" w:hAnsi="Times New Roman" w:cs="Times New Roman"/>
    </w:rPr>
  </w:style>
  <w:style w:type="paragraph" w:styleId="af7">
    <w:name w:val="Balloon Text"/>
    <w:basedOn w:val="a"/>
    <w:link w:val="Char"/>
    <w:uiPriority w:val="99"/>
    <w:rsid w:val="0082594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f7"/>
    <w:uiPriority w:val="99"/>
    <w:rsid w:val="0082594D"/>
    <w:rPr>
      <w:rFonts w:asciiTheme="majorHAnsi" w:eastAsiaTheme="majorEastAsia" w:hAnsiTheme="majorHAnsi" w:cstheme="majorBidi"/>
      <w:sz w:val="18"/>
      <w:szCs w:val="18"/>
    </w:rPr>
  </w:style>
  <w:style w:type="paragraph" w:styleId="af8">
    <w:name w:val="header"/>
    <w:basedOn w:val="a"/>
    <w:link w:val="Char0"/>
    <w:uiPriority w:val="99"/>
    <w:rsid w:val="0082594D"/>
    <w:pPr>
      <w:tabs>
        <w:tab w:val="center" w:pos="4513"/>
        <w:tab w:val="right" w:pos="9026"/>
      </w:tabs>
      <w:snapToGrid w:val="0"/>
    </w:pPr>
  </w:style>
  <w:style w:type="character" w:customStyle="1" w:styleId="Char0">
    <w:name w:val="머리글 Char"/>
    <w:basedOn w:val="a0"/>
    <w:link w:val="af8"/>
    <w:uiPriority w:val="99"/>
    <w:rsid w:val="0082594D"/>
    <w:rPr>
      <w:rFonts w:ascii="Times New Roman" w:eastAsia="Times New Roman" w:hAnsi="Times New Roman" w:cs="Times New Roman"/>
    </w:rPr>
  </w:style>
  <w:style w:type="paragraph" w:styleId="af9">
    <w:name w:val="footer"/>
    <w:basedOn w:val="a"/>
    <w:link w:val="Char1"/>
    <w:uiPriority w:val="99"/>
    <w:rsid w:val="0082594D"/>
    <w:pPr>
      <w:tabs>
        <w:tab w:val="center" w:pos="4513"/>
        <w:tab w:val="right" w:pos="9026"/>
      </w:tabs>
      <w:snapToGrid w:val="0"/>
    </w:pPr>
  </w:style>
  <w:style w:type="character" w:customStyle="1" w:styleId="Char1">
    <w:name w:val="바닥글 Char"/>
    <w:basedOn w:val="a0"/>
    <w:link w:val="af9"/>
    <w:uiPriority w:val="99"/>
    <w:rsid w:val="0082594D"/>
    <w:rPr>
      <w:rFonts w:ascii="Times New Roman" w:eastAsia="Times New Roman" w:hAnsi="Times New Roman" w:cs="Times New Roman"/>
    </w:rPr>
  </w:style>
  <w:style w:type="paragraph" w:customStyle="1" w:styleId="EndNoteBibliography">
    <w:name w:val="EndNote Bibliography"/>
    <w:basedOn w:val="a"/>
    <w:rsid w:val="00013273"/>
    <w:pPr>
      <w:spacing w:line="240" w:lineRule="auto"/>
    </w:pPr>
    <w:rPr>
      <w:sz w:val="24"/>
    </w:rPr>
  </w:style>
  <w:style w:type="character" w:styleId="afa">
    <w:name w:val="Unresolved Mention"/>
    <w:basedOn w:val="a0"/>
    <w:uiPriority w:val="99"/>
    <w:rsid w:val="00E22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molbev/mst010" TargetMode="External"/><Relationship Id="rId18" Type="http://schemas.openxmlformats.org/officeDocument/2006/relationships/hyperlink" Target="https://doi.org/10.1080/12298093.2022.2133808" TargetMode="External"/><Relationship Id="rId26" Type="http://schemas.openxmlformats.org/officeDocument/2006/relationships/hyperlink" Target="https://doi.org/10.1101/gr.214270.116" TargetMode="External"/><Relationship Id="rId39" Type="http://schemas.openxmlformats.org/officeDocument/2006/relationships/hyperlink" Target="https://doi.org/10.1093/nar/gkad328" TargetMode="External"/><Relationship Id="rId21" Type="http://schemas.openxmlformats.org/officeDocument/2006/relationships/hyperlink" Target="https://doi.org/10.1111/j.1364-3703.2011.00783.x" TargetMode="External"/><Relationship Id="rId34" Type="http://schemas.openxmlformats.org/officeDocument/2006/relationships/hyperlink" Target="https://doi.org/10.12688/f1000research.23297.2" TargetMode="External"/><Relationship Id="rId42" Type="http://schemas.openxmlformats.org/officeDocument/2006/relationships/hyperlink" Target="https://doi.org/10.1371/journal.pcbi.1006541" TargetMode="External"/><Relationship Id="rId47" Type="http://schemas.openxmlformats.org/officeDocument/2006/relationships/theme" Target="theme/theme1.xml"/><Relationship Id="rId7" Type="http://schemas.openxmlformats.org/officeDocument/2006/relationships/hyperlink" Target="https://doi.org/10.1016/j.apsoil.2016.02.014" TargetMode="External"/><Relationship Id="rId2" Type="http://schemas.openxmlformats.org/officeDocument/2006/relationships/styles" Target="styles.xml"/><Relationship Id="rId16" Type="http://schemas.openxmlformats.org/officeDocument/2006/relationships/hyperlink" Target="https://CRAN.R-project.org/package=pheatmap" TargetMode="External"/><Relationship Id="rId29" Type="http://schemas.openxmlformats.org/officeDocument/2006/relationships/hyperlink" Target="https://doi.org/10.1073/pnas.1921046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nmeth.3869" TargetMode="External"/><Relationship Id="rId24" Type="http://schemas.openxmlformats.org/officeDocument/2006/relationships/hyperlink" Target="https://doi.org/10.1038/s41587-019-0072-8" TargetMode="External"/><Relationship Id="rId32" Type="http://schemas.openxmlformats.org/officeDocument/2006/relationships/hyperlink" Target="https://doi.org/10.1093/nar/25.5.955" TargetMode="External"/><Relationship Id="rId37" Type="http://schemas.openxmlformats.org/officeDocument/2006/relationships/hyperlink" Target="https://doi.org/10.1093/molbev/msab293" TargetMode="External"/><Relationship Id="rId40" Type="http://schemas.openxmlformats.org/officeDocument/2006/relationships/hyperlink" Target="https://doi.org/10.3389/fmicb.2019.03088" TargetMode="External"/><Relationship Id="rId45" Type="http://schemas.openxmlformats.org/officeDocument/2006/relationships/hyperlink" Target="https://doi.org/10.1128/aem.02919-05" TargetMode="External"/><Relationship Id="rId5" Type="http://schemas.openxmlformats.org/officeDocument/2006/relationships/footnotes" Target="footnotes.xml"/><Relationship Id="rId15" Type="http://schemas.openxmlformats.org/officeDocument/2006/relationships/hyperlink" Target="https://doi.org/10.1186/gb-2011-12-6-r60" TargetMode="External"/><Relationship Id="rId23" Type="http://schemas.openxmlformats.org/officeDocument/2006/relationships/hyperlink" Target="https://doi.org/10.1186/s12864-022-08375-1" TargetMode="External"/><Relationship Id="rId28" Type="http://schemas.openxmlformats.org/officeDocument/2006/relationships/hyperlink" Target="https://doi.org/10.1101/2020.04.24.059402" TargetMode="External"/><Relationship Id="rId36" Type="http://schemas.openxmlformats.org/officeDocument/2006/relationships/hyperlink" Target="https://doi.org/10.1093/nar/gky1085" TargetMode="External"/><Relationship Id="rId10" Type="http://schemas.openxmlformats.org/officeDocument/2006/relationships/hyperlink" Target="https://doi.org/10.1038/s41587-019-0209-9" TargetMode="External"/><Relationship Id="rId19" Type="http://schemas.openxmlformats.org/officeDocument/2006/relationships/hyperlink" Target="https://doi.org/10.3390/md13074137" TargetMode="External"/><Relationship Id="rId31" Type="http://schemas.openxmlformats.org/officeDocument/2006/relationships/hyperlink" Target="https://doi.org/10.1007/978-1-4939-9173-0_9" TargetMode="External"/><Relationship Id="rId44" Type="http://schemas.openxmlformats.org/officeDocument/2006/relationships/hyperlink" Target="https://doi.org/10.1016/s0022-2836(05)80360-2" TargetMode="External"/><Relationship Id="rId4" Type="http://schemas.openxmlformats.org/officeDocument/2006/relationships/webSettings" Target="webSettings.xml"/><Relationship Id="rId9" Type="http://schemas.openxmlformats.org/officeDocument/2006/relationships/hyperlink" Target="https://doi.org/10.1186/1471-2180-10-189" TargetMode="External"/><Relationship Id="rId14" Type="http://schemas.openxmlformats.org/officeDocument/2006/relationships/hyperlink" Target="https://doi.org/10.1093/bioinformatics/btu033" TargetMode="External"/><Relationship Id="rId22" Type="http://schemas.openxmlformats.org/officeDocument/2006/relationships/hyperlink" Target="https://doi.org/10.1016/b978-0-443-18694-3.00006-7" TargetMode="External"/><Relationship Id="rId27" Type="http://schemas.openxmlformats.org/officeDocument/2006/relationships/hyperlink" Target="https://doi.org/10.1093/nargab/lqab034" TargetMode="External"/><Relationship Id="rId30" Type="http://schemas.openxmlformats.org/officeDocument/2006/relationships/hyperlink" Target="https://doi.org/10.1093/nargab/lqaa108" TargetMode="External"/><Relationship Id="rId35" Type="http://schemas.openxmlformats.org/officeDocument/2006/relationships/hyperlink" Target="https://doi.org/10.1038/nbt.3988" TargetMode="External"/><Relationship Id="rId43" Type="http://schemas.openxmlformats.org/officeDocument/2006/relationships/hyperlink" Target="https://doi.org/10.1093/nar/gkz862" TargetMode="External"/><Relationship Id="rId8" Type="http://schemas.openxmlformats.org/officeDocument/2006/relationships/hyperlink" Target="https://doi.org/10.1016/b978-0-12-372180-8.50042-1" TargetMode="External"/><Relationship Id="rId3" Type="http://schemas.openxmlformats.org/officeDocument/2006/relationships/settings" Target="settings.xml"/><Relationship Id="rId12" Type="http://schemas.openxmlformats.org/officeDocument/2006/relationships/hyperlink" Target="https://doi.org/10.7717/peerj.2584" TargetMode="External"/><Relationship Id="rId17" Type="http://schemas.openxmlformats.org/officeDocument/2006/relationships/hyperlink" Target="https://doi.org/10.1890/08-1823.1" TargetMode="External"/><Relationship Id="rId25" Type="http://schemas.openxmlformats.org/officeDocument/2006/relationships/hyperlink" Target="https://doi.org/10.1093/bioinformatics/bty560" TargetMode="External"/><Relationship Id="rId33" Type="http://schemas.openxmlformats.org/officeDocument/2006/relationships/hyperlink" Target="https://doi.org/10.1093/bioinformatics/btt509" TargetMode="External"/><Relationship Id="rId38" Type="http://schemas.openxmlformats.org/officeDocument/2006/relationships/hyperlink" Target="https://doi.org/10.1093/nar/gky418" TargetMode="External"/><Relationship Id="rId46" Type="http://schemas.openxmlformats.org/officeDocument/2006/relationships/fontTable" Target="fontTable.xml"/><Relationship Id="rId20" Type="http://schemas.openxmlformats.org/officeDocument/2006/relationships/hyperlink" Target="https://doi.org/10.1111/j.1364-3703.2007.00417.x" TargetMode="External"/><Relationship Id="rId41" Type="http://schemas.openxmlformats.org/officeDocument/2006/relationships/hyperlink" Target="https://doi.org/10.1093/nar/gkad344"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4613</Words>
  <Characters>26300</Characters>
  <Application>Microsoft Office Word</Application>
  <DocSecurity>0</DocSecurity>
  <Lines>219</Lines>
  <Paragraphs>61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2025-05-11T14:08:00Z</dcterms:created>
  <dcterms:modified xsi:type="dcterms:W3CDTF">2025-05-27T00:18:00Z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urnalID">
    <vt:lpwstr/>
  </property>
  <property fmtid="{D5CDD505-2E9C-101B-9397-08002B2CF9AE}" pid="3" name="Source">
    <vt:lpwstr/>
  </property>
  <property fmtid="{D5CDD505-2E9C-101B-9397-08002B2CF9AE}" pid="4" name="Source-short">
    <vt:lpwstr/>
  </property>
  <property fmtid="{D5CDD505-2E9C-101B-9397-08002B2CF9AE}" pid="5" name="Source-abbreviated">
    <vt:lpwstr/>
  </property>
  <property fmtid="{D5CDD505-2E9C-101B-9397-08002B2CF9AE}" pid="6" name="epub">
    <vt:lpwstr/>
  </property>
  <property fmtid="{D5CDD505-2E9C-101B-9397-08002B2CF9AE}" pid="7" name="ppub">
    <vt:lpwstr/>
  </property>
  <property fmtid="{D5CDD505-2E9C-101B-9397-08002B2CF9AE}" pid="8" name="Publisher">
    <vt:lpwstr/>
  </property>
  <property fmtid="{D5CDD505-2E9C-101B-9397-08002B2CF9AE}" pid="9" name="Publisher-location">
    <vt:lpwstr/>
  </property>
  <property fmtid="{D5CDD505-2E9C-101B-9397-08002B2CF9AE}" pid="10" name="DOI">
    <vt:lpwstr/>
  </property>
  <property fmtid="{D5CDD505-2E9C-101B-9397-08002B2CF9AE}" pid="11" name="ReceivedDate">
    <vt:lpwstr/>
  </property>
  <property fmtid="{D5CDD505-2E9C-101B-9397-08002B2CF9AE}" pid="12" name="AcceptedDate">
    <vt:lpwstr/>
  </property>
  <property fmtid="{D5CDD505-2E9C-101B-9397-08002B2CF9AE}" pid="13" name="Reference citation style">
    <vt:lpwstr>numerical</vt:lpwstr>
  </property>
  <property fmtid="{D5CDD505-2E9C-101B-9397-08002B2CF9AE}" pid="14" name="Subject">
    <vt:lpwstr/>
  </property>
  <property fmtid="{D5CDD505-2E9C-101B-9397-08002B2CF9AE}" pid="15" name="Merops word count">
    <vt:lpwstr>2681</vt:lpwstr>
  </property>
  <property fmtid="{D5CDD505-2E9C-101B-9397-08002B2CF9AE}" pid="16" name="Merops references count">
    <vt:lpwstr>0</vt:lpwstr>
  </property>
  <property fmtid="{D5CDD505-2E9C-101B-9397-08002B2CF9AE}" pid="17" name="Merops PubMed links count">
    <vt:lpwstr>0</vt:lpwstr>
  </property>
  <property fmtid="{D5CDD505-2E9C-101B-9397-08002B2CF9AE}" pid="18" name="Merops DOI links count">
    <vt:lpwstr>0</vt:lpwstr>
  </property>
  <property fmtid="{D5CDD505-2E9C-101B-9397-08002B2CF9AE}" pid="19" name="Merops tables count">
    <vt:lpwstr>0</vt:lpwstr>
  </property>
  <property fmtid="{D5CDD505-2E9C-101B-9397-08002B2CF9AE}" pid="20" name="Merops figures count">
    <vt:lpwstr>0</vt:lpwstr>
  </property>
  <property fmtid="{D5CDD505-2E9C-101B-9397-08002B2CF9AE}" pid="21" name="Merops graphics count">
    <vt:lpwstr>0</vt:lpwstr>
  </property>
  <property fmtid="{D5CDD505-2E9C-101B-9397-08002B2CF9AE}" pid="22" name="Merops footnotes/endnotes count">
    <vt:lpwstr>0</vt:lpwstr>
  </property>
  <property fmtid="{D5CDD505-2E9C-101B-9397-08002B2CF9AE}" pid="23" name="Merops email addresses count">
    <vt:lpwstr>0</vt:lpwstr>
  </property>
  <property fmtid="{D5CDD505-2E9C-101B-9397-08002B2CF9AE}" pid="24" name="Merops intra-document links count">
    <vt:lpwstr>0</vt:lpwstr>
  </property>
  <property fmtid="{D5CDD505-2E9C-101B-9397-08002B2CF9AE}" pid="25" name="Merops Standard Set">
    <vt:lpwstr>merops/preset-v1/springer-basic-brackets</vt:lpwstr>
  </property>
  <property fmtid="{D5CDD505-2E9C-101B-9397-08002B2CF9AE}" pid="26" name="Merops Standard Set modified">
    <vt:lpwstr/>
  </property>
  <property fmtid="{D5CDD505-2E9C-101B-9397-08002B2CF9AE}" pid="27" name="Merops client version">
    <vt:lpwstr/>
  </property>
  <property fmtid="{D5CDD505-2E9C-101B-9397-08002B2CF9AE}" pid="28" name="Merops input file path">
    <vt:lpwstr>b893bab3-9870-4124-ba14-4276a6e22d8c.docx</vt:lpwstr>
  </property>
  <property fmtid="{D5CDD505-2E9C-101B-9397-08002B2CF9AE}" pid="29" name="Merops -Original extension">
    <vt:lpwstr>docx</vt:lpwstr>
  </property>
  <property fmtid="{D5CDD505-2E9C-101B-9397-08002B2CF9AE}" pid="30" name="Merops server path">
    <vt:lpwstr/>
  </property>
  <property fmtid="{D5CDD505-2E9C-101B-9397-08002B2CF9AE}" pid="31" name="Merops item path">
    <vt:lpwstr>MG-Session/On-20250507/I:79399044-b9df-477f-96a6-903ebfc211d2</vt:lpwstr>
  </property>
  <property fmtid="{D5CDD505-2E9C-101B-9397-08002B2CF9AE}" pid="32" name="Merops processed date">
    <vt:lpwstr>2025/05/07 04:29:52 AM</vt:lpwstr>
  </property>
  <property fmtid="{D5CDD505-2E9C-101B-9397-08002B2CF9AE}" pid="33" name="Merops WorldCat links count">
    <vt:lpwstr>0</vt:lpwstr>
  </property>
  <property fmtid="{D5CDD505-2E9C-101B-9397-08002B2CF9AE}" pid="34" name="Merops Scopus links count">
    <vt:lpwstr>0</vt:lpwstr>
  </property>
  <property fmtid="{D5CDD505-2E9C-101B-9397-08002B2CF9AE}" pid="35" name="Merops comment count">
    <vt:lpwstr>0</vt:lpwstr>
  </property>
  <property fmtid="{D5CDD505-2E9C-101B-9397-08002B2CF9AE}" pid="36" name="Merops change count">
    <vt:lpwstr>0</vt:lpwstr>
  </property>
</Properties>
</file>