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AC1181" w14:textId="77777777" w:rsidR="00CC60F8" w:rsidRPr="00CC60F8" w:rsidRDefault="00CC60F8" w:rsidP="00CC60F8">
      <w:pPr>
        <w:spacing w:after="0" w:line="360" w:lineRule="auto"/>
        <w:jc w:val="both"/>
        <w:rPr>
          <w:rFonts w:ascii="Times New Roman" w:eastAsia="Calibri" w:hAnsi="Times New Roman" w:cs="Times New Roman"/>
          <w:b/>
          <w:bCs/>
          <w:sz w:val="24"/>
          <w:szCs w:val="24"/>
          <w:lang w:eastAsia="en-US"/>
        </w:rPr>
      </w:pPr>
      <w:r w:rsidRPr="00CC60F8">
        <w:rPr>
          <w:rFonts w:ascii="Times New Roman" w:eastAsia="Calibri" w:hAnsi="Times New Roman" w:cs="Times New Roman"/>
          <w:b/>
          <w:bCs/>
          <w:sz w:val="24"/>
          <w:szCs w:val="24"/>
          <w:lang w:eastAsia="en-US"/>
        </w:rPr>
        <w:t xml:space="preserve">Supplementary information </w:t>
      </w:r>
    </w:p>
    <w:p w14:paraId="11282D2D"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r w:rsidRPr="00CC60F8">
        <w:rPr>
          <w:rFonts w:ascii="Times New Roman" w:eastAsia="Calibri" w:hAnsi="Times New Roman" w:cs="Times New Roman"/>
          <w:sz w:val="24"/>
          <w:szCs w:val="24"/>
          <w:lang w:eastAsia="en-US"/>
        </w:rPr>
        <w:t xml:space="preserve"> </w:t>
      </w:r>
    </w:p>
    <w:p w14:paraId="4D59CA60" w14:textId="77777777" w:rsidR="00CC60F8" w:rsidRPr="00CC60F8" w:rsidRDefault="00CC60F8" w:rsidP="00CC60F8">
      <w:pPr>
        <w:spacing w:after="0" w:line="360" w:lineRule="auto"/>
        <w:jc w:val="both"/>
        <w:rPr>
          <w:rFonts w:ascii="Times New Roman" w:eastAsia="Calibri" w:hAnsi="Times New Roman" w:cs="Times New Roman"/>
          <w:b/>
          <w:bCs/>
          <w:sz w:val="24"/>
          <w:szCs w:val="24"/>
          <w:lang w:eastAsia="en-US"/>
        </w:rPr>
      </w:pPr>
      <w:r w:rsidRPr="00CC60F8">
        <w:rPr>
          <w:rFonts w:ascii="Times New Roman" w:eastAsia="Calibri" w:hAnsi="Times New Roman" w:cs="Times New Roman"/>
          <w:b/>
          <w:bCs/>
          <w:sz w:val="24"/>
          <w:szCs w:val="24"/>
          <w:lang w:eastAsia="en-US"/>
        </w:rPr>
        <w:t>Materials and methods</w:t>
      </w:r>
    </w:p>
    <w:p w14:paraId="08B5931B" w14:textId="77777777" w:rsidR="00CC60F8" w:rsidRPr="00CC60F8" w:rsidRDefault="00CC60F8" w:rsidP="00CC60F8">
      <w:pPr>
        <w:spacing w:after="0" w:line="360" w:lineRule="auto"/>
        <w:jc w:val="both"/>
        <w:rPr>
          <w:rFonts w:ascii="Times New Roman" w:eastAsia="Calibri" w:hAnsi="Times New Roman" w:cs="Times New Roman"/>
          <w:i/>
          <w:iCs/>
          <w:sz w:val="24"/>
          <w:szCs w:val="24"/>
          <w:lang w:eastAsia="en-US"/>
        </w:rPr>
      </w:pPr>
      <w:r w:rsidRPr="00CC60F8">
        <w:rPr>
          <w:rFonts w:ascii="Times New Roman" w:eastAsia="Calibri" w:hAnsi="Times New Roman" w:cs="Times New Roman"/>
          <w:i/>
          <w:iCs/>
          <w:sz w:val="24"/>
          <w:szCs w:val="24"/>
          <w:lang w:eastAsia="en-US"/>
        </w:rPr>
        <w:t>Detection of subgenomic RNA of SARS-CoV-2</w:t>
      </w:r>
    </w:p>
    <w:p w14:paraId="38D91833"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r w:rsidRPr="00CC60F8">
        <w:rPr>
          <w:rFonts w:ascii="Times New Roman" w:eastAsia="Calibri" w:hAnsi="Times New Roman" w:cs="Times New Roman"/>
          <w:sz w:val="24"/>
          <w:szCs w:val="24"/>
          <w:lang w:eastAsia="en-US"/>
        </w:rPr>
        <w:t>Detection of subgenomic RNA of E gene of SARS-CoV-2 was performed as described previously (1, 2). Briefly, a leader-specific primer 5’-CGATCTCTTGTAGATCTGTTCTC-3’, a downstream reverse primer 5’-ATATTGCAGCAGTACGCACACA-3’, and a probe 5’-FAM-ACACTAGCCATCCTTACTGCGCTTCG-BBQ-3’ were used to detect the presence of subgenomic RNA in the cell-free culture media harvested from SARS-CoV-2-infected human airway organoids at the indicated hours after inoculation.</w:t>
      </w:r>
    </w:p>
    <w:p w14:paraId="7B822880" w14:textId="77777777" w:rsidR="00CC60F8" w:rsidRPr="00CC60F8" w:rsidRDefault="00CC60F8" w:rsidP="00CC60F8">
      <w:pPr>
        <w:spacing w:after="0" w:line="360" w:lineRule="auto"/>
        <w:jc w:val="both"/>
        <w:rPr>
          <w:rFonts w:ascii="Times New Roman" w:eastAsia="Calibri" w:hAnsi="Times New Roman" w:cs="Times New Roman"/>
          <w:i/>
          <w:iCs/>
          <w:sz w:val="24"/>
          <w:szCs w:val="24"/>
          <w:lang w:eastAsia="en-US"/>
        </w:rPr>
      </w:pPr>
      <w:r w:rsidRPr="00CC60F8">
        <w:rPr>
          <w:rFonts w:ascii="Times New Roman" w:eastAsia="Calibri" w:hAnsi="Times New Roman" w:cs="Times New Roman"/>
          <w:i/>
          <w:iCs/>
          <w:sz w:val="24"/>
          <w:szCs w:val="24"/>
          <w:lang w:eastAsia="en-US"/>
        </w:rPr>
        <w:t>Digital PCR assay</w:t>
      </w:r>
    </w:p>
    <w:p w14:paraId="4B58BDBF"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r w:rsidRPr="00CC60F8">
        <w:rPr>
          <w:rFonts w:ascii="Times New Roman" w:eastAsia="Calibri" w:hAnsi="Times New Roman" w:cs="Times New Roman"/>
          <w:sz w:val="24"/>
          <w:szCs w:val="24"/>
          <w:lang w:eastAsia="en-US"/>
        </w:rPr>
        <w:t xml:space="preserve">A duplex digital PCR assay was performed using the </w:t>
      </w:r>
      <w:proofErr w:type="spellStart"/>
      <w:r w:rsidRPr="00CC60F8">
        <w:rPr>
          <w:rFonts w:ascii="Times New Roman" w:eastAsia="Calibri" w:hAnsi="Times New Roman" w:cs="Times New Roman"/>
          <w:sz w:val="24"/>
          <w:szCs w:val="24"/>
          <w:lang w:eastAsia="en-US"/>
        </w:rPr>
        <w:t>QuantSudio</w:t>
      </w:r>
      <w:proofErr w:type="spellEnd"/>
      <w:r w:rsidRPr="00CC60F8">
        <w:rPr>
          <w:rFonts w:ascii="Times New Roman" w:eastAsia="Calibri" w:hAnsi="Times New Roman" w:cs="Times New Roman"/>
          <w:sz w:val="24"/>
          <w:szCs w:val="24"/>
          <w:lang w:eastAsia="en-US"/>
        </w:rPr>
        <w:t xml:space="preserve"> 3D Digital PCR System (</w:t>
      </w:r>
      <w:proofErr w:type="spellStart"/>
      <w:r w:rsidRPr="00CC60F8">
        <w:rPr>
          <w:rFonts w:ascii="Times New Roman" w:eastAsia="Calibri" w:hAnsi="Times New Roman" w:cs="Times New Roman"/>
          <w:sz w:val="24"/>
          <w:szCs w:val="24"/>
          <w:lang w:eastAsia="en-US"/>
        </w:rPr>
        <w:t>ThermoFisher</w:t>
      </w:r>
      <w:proofErr w:type="spellEnd"/>
      <w:r w:rsidRPr="00CC60F8">
        <w:rPr>
          <w:rFonts w:ascii="Times New Roman" w:eastAsia="Calibri" w:hAnsi="Times New Roman" w:cs="Times New Roman"/>
          <w:sz w:val="24"/>
          <w:szCs w:val="24"/>
          <w:lang w:eastAsia="en-US"/>
        </w:rPr>
        <w:t xml:space="preserve">) as described previously (3). The assay included the amplification of a 162bp sequence spanning the viral S1/S2 cleavage site and the detection of this sequence with two fluorescent oligonucleotide probes, FAM-tagged PRRA probe and HEX-tagged upstream probe. The PRRA probe was designed to specifically target the PRRA motif within the S1/S2 cleavage region. Fluorescence signals were determined using the </w:t>
      </w:r>
      <w:proofErr w:type="spellStart"/>
      <w:r w:rsidRPr="00CC60F8">
        <w:rPr>
          <w:rFonts w:ascii="Times New Roman" w:eastAsia="Calibri" w:hAnsi="Times New Roman" w:cs="Times New Roman"/>
          <w:sz w:val="24"/>
          <w:szCs w:val="24"/>
          <w:lang w:eastAsia="en-US"/>
        </w:rPr>
        <w:t>QuantSudio</w:t>
      </w:r>
      <w:proofErr w:type="spellEnd"/>
      <w:r w:rsidRPr="00CC60F8">
        <w:rPr>
          <w:rFonts w:ascii="Times New Roman" w:eastAsia="Calibri" w:hAnsi="Times New Roman" w:cs="Times New Roman"/>
          <w:sz w:val="24"/>
          <w:szCs w:val="24"/>
          <w:lang w:eastAsia="en-US"/>
        </w:rPr>
        <w:t xml:space="preserve"> 3D Digital PCR instrument and the data was analyzed using the QuantStudio3D </w:t>
      </w:r>
      <w:proofErr w:type="spellStart"/>
      <w:r w:rsidRPr="00CC60F8">
        <w:rPr>
          <w:rFonts w:ascii="Times New Roman" w:eastAsia="Calibri" w:hAnsi="Times New Roman" w:cs="Times New Roman"/>
          <w:sz w:val="24"/>
          <w:szCs w:val="24"/>
          <w:lang w:eastAsia="en-US"/>
        </w:rPr>
        <w:t>AnalysisSuite</w:t>
      </w:r>
      <w:proofErr w:type="spellEnd"/>
      <w:r w:rsidRPr="00CC60F8">
        <w:rPr>
          <w:rFonts w:ascii="Times New Roman" w:eastAsia="Calibri" w:hAnsi="Times New Roman" w:cs="Times New Roman"/>
          <w:sz w:val="24"/>
          <w:szCs w:val="24"/>
          <w:lang w:eastAsia="en-US"/>
        </w:rPr>
        <w:t xml:space="preserve"> Cloud Software.</w:t>
      </w:r>
    </w:p>
    <w:p w14:paraId="26741CFC" w14:textId="77777777" w:rsidR="00CC60F8" w:rsidRPr="00CC60F8" w:rsidRDefault="00CC60F8" w:rsidP="00CC60F8">
      <w:pPr>
        <w:spacing w:after="0" w:line="360" w:lineRule="auto"/>
        <w:jc w:val="both"/>
        <w:rPr>
          <w:rFonts w:ascii="Times New Roman" w:eastAsia="Calibri" w:hAnsi="Times New Roman" w:cs="Times New Roman"/>
          <w:i/>
          <w:iCs/>
          <w:sz w:val="24"/>
          <w:szCs w:val="24"/>
          <w:lang w:eastAsia="en-US"/>
        </w:rPr>
      </w:pPr>
      <w:r w:rsidRPr="00CC60F8">
        <w:rPr>
          <w:rFonts w:ascii="Times New Roman" w:eastAsia="Calibri" w:hAnsi="Times New Roman" w:cs="Times New Roman"/>
          <w:i/>
          <w:iCs/>
          <w:sz w:val="24"/>
          <w:szCs w:val="24"/>
          <w:lang w:eastAsia="en-US"/>
        </w:rPr>
        <w:t>Influenza virus infection and detection.</w:t>
      </w:r>
    </w:p>
    <w:p w14:paraId="4F88A5CB"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r w:rsidRPr="00CC60F8">
        <w:rPr>
          <w:rFonts w:ascii="Times New Roman" w:eastAsia="Calibri" w:hAnsi="Times New Roman" w:cs="Times New Roman"/>
          <w:sz w:val="24"/>
          <w:szCs w:val="24"/>
          <w:lang w:eastAsia="en-US"/>
        </w:rPr>
        <w:t>A/Hong Kong/415742/2009(H1N1) (H1N1pdm) were propagated in MDCK cells and titrated with plaque assay as we described previously (4). The differentiated human airway organoids were sheared mechanically and infected as earlier described, same as the infection of coronaviruses. To assess cellular responses upon infection, H1N1 were inoculated in organoids at a MOI of 2. The infected or mock-infected human airway organoids were harvested at 48 hpi, applied to RNA extraction, followed by reverse transcription and qPCR assay to measure mRNA expression levels of IFNs.</w:t>
      </w:r>
    </w:p>
    <w:p w14:paraId="484D4A11"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r w:rsidRPr="00CC60F8">
        <w:rPr>
          <w:rFonts w:ascii="Times New Roman" w:eastAsia="Calibri" w:hAnsi="Times New Roman" w:cs="Times New Roman"/>
          <w:sz w:val="24"/>
          <w:szCs w:val="24"/>
          <w:lang w:eastAsia="en-US"/>
        </w:rPr>
        <w:t> </w:t>
      </w:r>
    </w:p>
    <w:p w14:paraId="581F488A"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p>
    <w:p w14:paraId="432EB238"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p>
    <w:p w14:paraId="7177F13F"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p>
    <w:p w14:paraId="216EF51A"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p>
    <w:p w14:paraId="38BD999F" w14:textId="77777777" w:rsidR="00CC60F8" w:rsidRPr="00CC60F8" w:rsidRDefault="00CC60F8" w:rsidP="00CC60F8">
      <w:pPr>
        <w:spacing w:after="0" w:line="240" w:lineRule="auto"/>
        <w:jc w:val="both"/>
        <w:rPr>
          <w:rFonts w:ascii="Times New Roman" w:eastAsia="Calibri" w:hAnsi="Times New Roman" w:cs="Times New Roman"/>
          <w:b/>
          <w:sz w:val="24"/>
          <w:szCs w:val="20"/>
          <w:lang w:eastAsia="en-US"/>
        </w:rPr>
      </w:pPr>
      <w:r w:rsidRPr="00CC60F8">
        <w:rPr>
          <w:rFonts w:ascii="Times New Roman" w:eastAsia="Calibri" w:hAnsi="Times New Roman" w:cs="Times New Roman"/>
          <w:b/>
          <w:sz w:val="24"/>
          <w:szCs w:val="20"/>
          <w:lang w:eastAsia="en-US"/>
        </w:rPr>
        <w:lastRenderedPageBreak/>
        <w:t>Supplementary Figures</w:t>
      </w:r>
    </w:p>
    <w:p w14:paraId="5CBB44EC" w14:textId="77777777" w:rsidR="00CC60F8" w:rsidRPr="00CC60F8" w:rsidRDefault="00CC60F8" w:rsidP="00CC60F8">
      <w:pPr>
        <w:spacing w:after="0" w:line="240" w:lineRule="auto"/>
        <w:jc w:val="both"/>
        <w:rPr>
          <w:rFonts w:ascii="Times New Roman" w:eastAsia="Calibri" w:hAnsi="Times New Roman" w:cs="Times New Roman"/>
          <w:b/>
          <w:sz w:val="24"/>
          <w:szCs w:val="20"/>
          <w:lang w:eastAsia="en-US"/>
        </w:rPr>
      </w:pPr>
      <w:r w:rsidRPr="00CC60F8">
        <w:rPr>
          <w:rFonts w:ascii="Times New Roman" w:eastAsia="Calibri" w:hAnsi="Times New Roman" w:cs="Times New Roman"/>
          <w:b/>
          <w:noProof/>
          <w:sz w:val="24"/>
          <w:szCs w:val="20"/>
          <w:lang w:eastAsia="en-US"/>
        </w:rPr>
        <w:drawing>
          <wp:inline distT="0" distB="0" distL="0" distR="0" wp14:anchorId="62115CE2" wp14:editId="4F2531A7">
            <wp:extent cx="1990344" cy="3206496"/>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90344" cy="3206496"/>
                    </a:xfrm>
                    <a:prstGeom prst="rect">
                      <a:avLst/>
                    </a:prstGeom>
                  </pic:spPr>
                </pic:pic>
              </a:graphicData>
            </a:graphic>
          </wp:inline>
        </w:drawing>
      </w:r>
    </w:p>
    <w:p w14:paraId="174FFB9C" w14:textId="77777777" w:rsidR="00CC60F8" w:rsidRPr="00CC60F8" w:rsidRDefault="00CC60F8" w:rsidP="00CC60F8">
      <w:pPr>
        <w:spacing w:after="0" w:line="240" w:lineRule="auto"/>
        <w:jc w:val="both"/>
        <w:rPr>
          <w:rFonts w:ascii="Times New Roman" w:eastAsia="Calibri" w:hAnsi="Times New Roman" w:cs="Times New Roman"/>
          <w:b/>
          <w:sz w:val="20"/>
          <w:szCs w:val="20"/>
          <w:lang w:eastAsia="en-US"/>
        </w:rPr>
      </w:pPr>
    </w:p>
    <w:p w14:paraId="72745C65"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b/>
          <w:sz w:val="20"/>
          <w:szCs w:val="20"/>
          <w:lang w:eastAsia="en-US"/>
        </w:rPr>
        <w:t xml:space="preserve">Supplementary Fig. 1. </w:t>
      </w:r>
      <w:r w:rsidRPr="00CC60F8">
        <w:rPr>
          <w:rFonts w:ascii="Times New Roman" w:eastAsia="Calibri" w:hAnsi="Times New Roman" w:cs="Times New Roman"/>
          <w:sz w:val="20"/>
          <w:szCs w:val="20"/>
          <w:lang w:eastAsia="en-US"/>
        </w:rPr>
        <w:t>(A) Culture media harvested from SARS-CoV-2 infected human airway organoids were applied to measure copy number of viral subgenomic RNA of envelope gene. Data represent mean and SD of a representative experiment, n = 3. (B) Photomicrographs of SARS-CoV-2-infected or the mock-infected human airway organoids at 72 hpi. Scale bar, 100 µm.</w:t>
      </w:r>
    </w:p>
    <w:p w14:paraId="75098EE4" w14:textId="77777777" w:rsidR="00CC60F8" w:rsidRPr="00CC60F8" w:rsidRDefault="00CC60F8" w:rsidP="00CC60F8">
      <w:pPr>
        <w:spacing w:after="0" w:line="360" w:lineRule="auto"/>
        <w:rPr>
          <w:rFonts w:ascii="Times New Roman" w:eastAsia="Calibri" w:hAnsi="Times New Roman" w:cs="Times New Roman"/>
          <w:sz w:val="20"/>
          <w:szCs w:val="20"/>
          <w:lang w:eastAsia="en-US"/>
        </w:rPr>
      </w:pPr>
      <w:r w:rsidRPr="00CC60F8">
        <w:rPr>
          <w:rFonts w:ascii="Times New Roman" w:eastAsia="Calibri" w:hAnsi="Times New Roman" w:cs="Times New Roman"/>
          <w:sz w:val="20"/>
          <w:szCs w:val="20"/>
          <w:lang w:eastAsia="en-US"/>
        </w:rPr>
        <w:br w:type="page"/>
      </w:r>
    </w:p>
    <w:p w14:paraId="0ABBB8F1"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noProof/>
          <w:sz w:val="20"/>
          <w:szCs w:val="20"/>
          <w:lang w:eastAsia="en-US"/>
        </w:rPr>
        <w:lastRenderedPageBreak/>
        <w:drawing>
          <wp:inline distT="0" distB="0" distL="0" distR="0" wp14:anchorId="60EEAE8E" wp14:editId="3FAB6417">
            <wp:extent cx="4090416" cy="1667256"/>
            <wp:effectExtent l="0" t="0" r="5715" b="952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90416" cy="1667256"/>
                    </a:xfrm>
                    <a:prstGeom prst="rect">
                      <a:avLst/>
                    </a:prstGeom>
                  </pic:spPr>
                </pic:pic>
              </a:graphicData>
            </a:graphic>
          </wp:inline>
        </w:drawing>
      </w:r>
    </w:p>
    <w:p w14:paraId="5EB2AF9E" w14:textId="77777777" w:rsidR="00CC60F8" w:rsidRPr="00CC60F8" w:rsidRDefault="00CC60F8" w:rsidP="00CC60F8">
      <w:pPr>
        <w:spacing w:after="0" w:line="240" w:lineRule="auto"/>
        <w:jc w:val="both"/>
        <w:rPr>
          <w:rFonts w:ascii="Times New Roman" w:eastAsia="Calibri" w:hAnsi="Times New Roman" w:cs="Times New Roman"/>
          <w:b/>
          <w:sz w:val="20"/>
          <w:szCs w:val="20"/>
          <w:lang w:eastAsia="en-US"/>
        </w:rPr>
      </w:pPr>
    </w:p>
    <w:p w14:paraId="080837D6" w14:textId="77777777" w:rsidR="00CC60F8" w:rsidRPr="00CC60F8" w:rsidRDefault="00CC60F8" w:rsidP="00CC60F8">
      <w:pPr>
        <w:spacing w:after="0" w:line="240" w:lineRule="auto"/>
        <w:jc w:val="both"/>
        <w:rPr>
          <w:rFonts w:ascii="Times New Roman" w:eastAsia="Calibri" w:hAnsi="Times New Roman" w:cs="Times New Roman"/>
          <w:b/>
          <w:sz w:val="20"/>
          <w:szCs w:val="20"/>
          <w:lang w:eastAsia="en-US"/>
        </w:rPr>
      </w:pPr>
    </w:p>
    <w:p w14:paraId="3E52D4C0"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b/>
          <w:sz w:val="20"/>
          <w:szCs w:val="20"/>
          <w:lang w:eastAsia="en-US"/>
        </w:rPr>
        <w:t xml:space="preserve">Supplementary Fig. 2. </w:t>
      </w:r>
      <w:r w:rsidRPr="00CC60F8">
        <w:rPr>
          <w:rFonts w:ascii="Times New Roman" w:eastAsia="Calibri" w:hAnsi="Times New Roman" w:cs="Times New Roman"/>
          <w:sz w:val="20"/>
          <w:szCs w:val="20"/>
          <w:lang w:eastAsia="en-US"/>
        </w:rPr>
        <w:t>At 72 hours post infection of wildtype (WT) or deletion mutant (Del) SARS-CoV-2 in human airway organoids, culture media (n=3) were harvested and applied to a duplex digital PCR assay for detection of cleavage site variants. Representative plots show the fluorescence signals of HEX-tagged upstream probe and FAM-tagged PRRA probe detected from cDNA generated from the samples. Green dots and red dots represent signals from wildtype (WT) deletion mutant (Del) variants respectively.</w:t>
      </w:r>
    </w:p>
    <w:p w14:paraId="0AB89295"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p>
    <w:p w14:paraId="65DC26E2"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p>
    <w:p w14:paraId="49CC9440" w14:textId="77777777" w:rsidR="00CC60F8" w:rsidRPr="00CC60F8" w:rsidRDefault="00CC60F8" w:rsidP="00CC60F8">
      <w:pPr>
        <w:spacing w:after="0" w:line="360" w:lineRule="auto"/>
        <w:rPr>
          <w:rFonts w:ascii="Times New Roman" w:eastAsia="Calibri" w:hAnsi="Times New Roman" w:cs="Times New Roman"/>
          <w:sz w:val="20"/>
          <w:szCs w:val="20"/>
          <w:lang w:eastAsia="en-US"/>
        </w:rPr>
      </w:pPr>
      <w:r w:rsidRPr="00CC60F8">
        <w:rPr>
          <w:rFonts w:ascii="Times New Roman" w:eastAsia="Calibri" w:hAnsi="Times New Roman" w:cs="Times New Roman"/>
          <w:sz w:val="20"/>
          <w:szCs w:val="20"/>
          <w:lang w:eastAsia="en-US"/>
        </w:rPr>
        <w:br w:type="page"/>
      </w:r>
    </w:p>
    <w:p w14:paraId="48604785"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noProof/>
          <w:sz w:val="20"/>
          <w:szCs w:val="20"/>
          <w:lang w:eastAsia="en-US"/>
        </w:rPr>
        <w:lastRenderedPageBreak/>
        <w:drawing>
          <wp:inline distT="0" distB="0" distL="0" distR="0" wp14:anchorId="2D2B8C6A" wp14:editId="7AB691FA">
            <wp:extent cx="1929384" cy="2109216"/>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29384" cy="2109216"/>
                    </a:xfrm>
                    <a:prstGeom prst="rect">
                      <a:avLst/>
                    </a:prstGeom>
                  </pic:spPr>
                </pic:pic>
              </a:graphicData>
            </a:graphic>
          </wp:inline>
        </w:drawing>
      </w:r>
    </w:p>
    <w:p w14:paraId="30A4A537"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noProof/>
          <w:sz w:val="20"/>
          <w:szCs w:val="20"/>
          <w:lang w:eastAsia="en-US"/>
        </w:rPr>
        <w:drawing>
          <wp:inline distT="0" distB="0" distL="0" distR="0" wp14:anchorId="490B0AFF" wp14:editId="47B1B71F">
            <wp:extent cx="1929384" cy="2109216"/>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29384" cy="2109216"/>
                    </a:xfrm>
                    <a:prstGeom prst="rect">
                      <a:avLst/>
                    </a:prstGeom>
                  </pic:spPr>
                </pic:pic>
              </a:graphicData>
            </a:graphic>
          </wp:inline>
        </w:drawing>
      </w:r>
    </w:p>
    <w:p w14:paraId="3762F809"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p>
    <w:p w14:paraId="6AD24EED"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p>
    <w:p w14:paraId="212ADC40"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b/>
          <w:sz w:val="20"/>
          <w:szCs w:val="20"/>
          <w:lang w:eastAsia="en-US"/>
        </w:rPr>
        <w:t>Supplementary Fig. 3.</w:t>
      </w:r>
      <w:r w:rsidRPr="00CC60F8">
        <w:rPr>
          <w:rFonts w:ascii="Times New Roman" w:eastAsia="Calibri" w:hAnsi="Times New Roman" w:cs="Times New Roman"/>
          <w:sz w:val="20"/>
          <w:szCs w:val="20"/>
          <w:lang w:eastAsia="en-US"/>
        </w:rPr>
        <w:t xml:space="preserve"> Culture media were harvested from SARS-CoV-2 and SARS-CoV infected human airway organoids and applied to viral load detection targeting the viral NP gene. Data represent mean and SD of a representative experiment, n = 3. Two-tailed Student’s t test.</w:t>
      </w:r>
    </w:p>
    <w:p w14:paraId="04504A5C" w14:textId="77777777" w:rsidR="00CC60F8" w:rsidRPr="00CC60F8" w:rsidRDefault="00CC60F8" w:rsidP="00CC60F8">
      <w:pPr>
        <w:spacing w:after="0" w:line="360" w:lineRule="auto"/>
        <w:rPr>
          <w:rFonts w:ascii="Times New Roman" w:eastAsia="Calibri" w:hAnsi="Times New Roman" w:cs="Times New Roman"/>
          <w:sz w:val="20"/>
          <w:szCs w:val="20"/>
          <w:lang w:eastAsia="en-US"/>
        </w:rPr>
      </w:pPr>
      <w:r w:rsidRPr="00CC60F8">
        <w:rPr>
          <w:rFonts w:ascii="Times New Roman" w:eastAsia="Calibri" w:hAnsi="Times New Roman" w:cs="Times New Roman"/>
          <w:sz w:val="20"/>
          <w:szCs w:val="20"/>
          <w:lang w:eastAsia="en-US"/>
        </w:rPr>
        <w:br w:type="page"/>
      </w:r>
    </w:p>
    <w:p w14:paraId="17416D5D" w14:textId="77777777" w:rsidR="00CC60F8" w:rsidRPr="00CC60F8" w:rsidRDefault="00CC60F8" w:rsidP="00CC60F8">
      <w:pPr>
        <w:spacing w:after="0" w:line="24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noProof/>
          <w:sz w:val="20"/>
          <w:szCs w:val="20"/>
          <w:lang w:eastAsia="en-US"/>
        </w:rPr>
        <w:lastRenderedPageBreak/>
        <w:drawing>
          <wp:inline distT="0" distB="0" distL="0" distR="0" wp14:anchorId="07CAFBFA" wp14:editId="113165E3">
            <wp:extent cx="3386328" cy="2072640"/>
            <wp:effectExtent l="0" t="0" r="5080" b="381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86328" cy="2072640"/>
                    </a:xfrm>
                    <a:prstGeom prst="rect">
                      <a:avLst/>
                    </a:prstGeom>
                  </pic:spPr>
                </pic:pic>
              </a:graphicData>
            </a:graphic>
          </wp:inline>
        </w:drawing>
      </w:r>
    </w:p>
    <w:p w14:paraId="440D3644" w14:textId="77777777" w:rsidR="00CC60F8" w:rsidRPr="00CC60F8" w:rsidRDefault="00CC60F8" w:rsidP="00CC60F8">
      <w:pPr>
        <w:spacing w:after="0" w:line="240" w:lineRule="auto"/>
        <w:jc w:val="both"/>
        <w:rPr>
          <w:rFonts w:ascii="Times New Roman" w:eastAsia="Calibri" w:hAnsi="Times New Roman" w:cs="Times New Roman"/>
          <w:b/>
          <w:sz w:val="20"/>
          <w:szCs w:val="20"/>
          <w:lang w:eastAsia="en-US"/>
        </w:rPr>
      </w:pPr>
    </w:p>
    <w:p w14:paraId="49E7B25C" w14:textId="77777777" w:rsidR="00CC60F8" w:rsidRPr="00CC60F8" w:rsidRDefault="00CC60F8" w:rsidP="00CC60F8">
      <w:pPr>
        <w:spacing w:after="0" w:line="360" w:lineRule="auto"/>
        <w:jc w:val="both"/>
        <w:rPr>
          <w:rFonts w:ascii="Times New Roman" w:eastAsia="Calibri" w:hAnsi="Times New Roman" w:cs="Times New Roman"/>
          <w:b/>
          <w:sz w:val="20"/>
          <w:szCs w:val="20"/>
          <w:lang w:eastAsia="en-US"/>
        </w:rPr>
      </w:pPr>
    </w:p>
    <w:p w14:paraId="58B23D3A" w14:textId="77777777" w:rsidR="00CC60F8" w:rsidRPr="00CC60F8" w:rsidRDefault="00CC60F8" w:rsidP="00CC60F8">
      <w:pPr>
        <w:spacing w:after="0" w:line="360" w:lineRule="auto"/>
        <w:jc w:val="both"/>
        <w:rPr>
          <w:rFonts w:ascii="Times New Roman" w:eastAsia="Calibri" w:hAnsi="Times New Roman" w:cs="Times New Roman"/>
          <w:sz w:val="20"/>
          <w:szCs w:val="20"/>
          <w:lang w:eastAsia="en-US"/>
        </w:rPr>
      </w:pPr>
      <w:r w:rsidRPr="00CC60F8">
        <w:rPr>
          <w:rFonts w:ascii="Times New Roman" w:eastAsia="Calibri" w:hAnsi="Times New Roman" w:cs="Times New Roman"/>
          <w:b/>
          <w:sz w:val="20"/>
          <w:szCs w:val="20"/>
          <w:lang w:eastAsia="en-US"/>
        </w:rPr>
        <w:t>Supplementary Fig. 4.</w:t>
      </w:r>
      <w:r w:rsidRPr="00CC60F8">
        <w:rPr>
          <w:rFonts w:ascii="Times New Roman" w:eastAsia="Calibri" w:hAnsi="Times New Roman" w:cs="Times New Roman"/>
          <w:sz w:val="20"/>
          <w:szCs w:val="20"/>
          <w:lang w:eastAsia="en-US"/>
        </w:rPr>
        <w:t xml:space="preserve"> Induction of IFNs in the human airway organoids at 24- and 48-hours post infection of H1N1influenza virus. Results show fold change of GAPDH normalized expression level in the H1N1-infected human airway organoids relative to the mock-infected organoids. Data represent mean and SD of a representative experiment, n = 3. Two-tailed Student’s t test.</w:t>
      </w:r>
    </w:p>
    <w:p w14:paraId="48E3B0B0" w14:textId="77777777" w:rsidR="00CC60F8" w:rsidRPr="00CC60F8" w:rsidRDefault="00CC60F8" w:rsidP="00CC60F8">
      <w:pPr>
        <w:rPr>
          <w:rFonts w:ascii="Times New Roman" w:eastAsia="Calibri" w:hAnsi="Times New Roman" w:cs="Times New Roman"/>
          <w:sz w:val="20"/>
          <w:szCs w:val="20"/>
          <w:lang w:eastAsia="en-US"/>
        </w:rPr>
      </w:pPr>
      <w:r w:rsidRPr="00CC60F8">
        <w:rPr>
          <w:rFonts w:ascii="Times New Roman" w:eastAsia="Calibri" w:hAnsi="Times New Roman" w:cs="Times New Roman"/>
          <w:sz w:val="20"/>
          <w:szCs w:val="20"/>
          <w:lang w:eastAsia="en-US"/>
        </w:rPr>
        <w:br w:type="page"/>
      </w:r>
    </w:p>
    <w:p w14:paraId="61FE28E0" w14:textId="77777777" w:rsidR="00CC60F8" w:rsidRPr="00CC60F8" w:rsidRDefault="00CC60F8" w:rsidP="00CC60F8">
      <w:pPr>
        <w:spacing w:after="0" w:line="240" w:lineRule="auto"/>
        <w:jc w:val="both"/>
        <w:rPr>
          <w:rFonts w:ascii="Times New Roman" w:eastAsia="Calibri" w:hAnsi="Times New Roman" w:cs="Times New Roman"/>
          <w:b/>
          <w:sz w:val="24"/>
          <w:szCs w:val="20"/>
          <w:lang w:eastAsia="en-US"/>
        </w:rPr>
      </w:pPr>
      <w:r w:rsidRPr="00CC60F8">
        <w:rPr>
          <w:rFonts w:ascii="Times New Roman" w:eastAsia="Calibri" w:hAnsi="Times New Roman" w:cs="Times New Roman"/>
          <w:b/>
          <w:sz w:val="24"/>
          <w:szCs w:val="20"/>
          <w:lang w:eastAsia="en-US"/>
        </w:rPr>
        <w:lastRenderedPageBreak/>
        <w:t xml:space="preserve">Supplementary Table; </w:t>
      </w:r>
      <w:r w:rsidRPr="00CC60F8">
        <w:rPr>
          <w:rFonts w:ascii="Times New Roman" w:eastAsia="Times New Roman" w:hAnsi="Times New Roman" w:cs="Times New Roman"/>
          <w:b/>
          <w:sz w:val="20"/>
          <w:szCs w:val="24"/>
          <w:lang w:eastAsia="en-US"/>
        </w:rPr>
        <w:t>qPCR Primer list</w:t>
      </w:r>
    </w:p>
    <w:tbl>
      <w:tblPr>
        <w:tblStyle w:val="TableGrid"/>
        <w:tblW w:w="7740" w:type="dxa"/>
        <w:tblLayout w:type="fixed"/>
        <w:tblLook w:val="0600" w:firstRow="0" w:lastRow="0" w:firstColumn="0" w:lastColumn="0" w:noHBand="1" w:noVBand="1"/>
      </w:tblPr>
      <w:tblGrid>
        <w:gridCol w:w="1599"/>
        <w:gridCol w:w="6141"/>
      </w:tblGrid>
      <w:tr w:rsidR="00CC60F8" w:rsidRPr="00CC60F8" w14:paraId="6C38C220" w14:textId="77777777" w:rsidTr="00B25A41">
        <w:trPr>
          <w:trHeight w:val="341"/>
        </w:trPr>
        <w:tc>
          <w:tcPr>
            <w:tcW w:w="1599" w:type="dxa"/>
          </w:tcPr>
          <w:p w14:paraId="6E730A84" w14:textId="77777777" w:rsidR="00CC60F8" w:rsidRPr="00CC60F8" w:rsidRDefault="00CC60F8" w:rsidP="00CC60F8">
            <w:pPr>
              <w:spacing w:line="360" w:lineRule="auto"/>
              <w:jc w:val="both"/>
              <w:rPr>
                <w:rFonts w:eastAsia="Calibri"/>
                <w:sz w:val="16"/>
                <w:szCs w:val="16"/>
              </w:rPr>
            </w:pPr>
            <w:r w:rsidRPr="00CC60F8">
              <w:rPr>
                <w:rFonts w:eastAsia="Calibri"/>
                <w:b/>
                <w:sz w:val="16"/>
                <w:szCs w:val="16"/>
              </w:rPr>
              <w:t>Gene</w:t>
            </w:r>
          </w:p>
        </w:tc>
        <w:tc>
          <w:tcPr>
            <w:tcW w:w="6141" w:type="dxa"/>
          </w:tcPr>
          <w:p w14:paraId="4E674E6E" w14:textId="77777777" w:rsidR="00CC60F8" w:rsidRPr="00CC60F8" w:rsidRDefault="00CC60F8" w:rsidP="00CC60F8">
            <w:pPr>
              <w:spacing w:line="360" w:lineRule="auto"/>
              <w:jc w:val="both"/>
              <w:rPr>
                <w:rFonts w:eastAsia="Calibri"/>
                <w:b/>
                <w:sz w:val="16"/>
                <w:szCs w:val="16"/>
              </w:rPr>
            </w:pPr>
            <w:r w:rsidRPr="00CC60F8">
              <w:rPr>
                <w:rFonts w:eastAsia="Calibri"/>
                <w:b/>
                <w:sz w:val="16"/>
                <w:szCs w:val="16"/>
              </w:rPr>
              <w:t>Sequence</w:t>
            </w:r>
          </w:p>
        </w:tc>
      </w:tr>
      <w:tr w:rsidR="00CC60F8" w:rsidRPr="00CC60F8" w14:paraId="464D1B07" w14:textId="77777777" w:rsidTr="00B25A41">
        <w:trPr>
          <w:trHeight w:val="175"/>
        </w:trPr>
        <w:tc>
          <w:tcPr>
            <w:tcW w:w="1599" w:type="dxa"/>
            <w:vMerge w:val="restart"/>
          </w:tcPr>
          <w:p w14:paraId="587C429B"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ACE2</w:t>
            </w:r>
          </w:p>
        </w:tc>
        <w:tc>
          <w:tcPr>
            <w:tcW w:w="6141" w:type="dxa"/>
          </w:tcPr>
          <w:p w14:paraId="32140D40"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5’-CATTGGAGCAAGTGTTGGATCTT-3’</w:t>
            </w:r>
          </w:p>
        </w:tc>
      </w:tr>
      <w:tr w:rsidR="00CC60F8" w:rsidRPr="00CC60F8" w14:paraId="2C9B0D4B" w14:textId="77777777" w:rsidTr="00B25A41">
        <w:trPr>
          <w:trHeight w:val="175"/>
        </w:trPr>
        <w:tc>
          <w:tcPr>
            <w:tcW w:w="1599" w:type="dxa"/>
            <w:vMerge/>
          </w:tcPr>
          <w:p w14:paraId="1712C006"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455D6FE9"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5’-GAGCTAATGCATGCCATTCTCA-3’</w:t>
            </w:r>
          </w:p>
        </w:tc>
      </w:tr>
      <w:tr w:rsidR="00CC60F8" w:rsidRPr="00CC60F8" w14:paraId="4A36F572" w14:textId="77777777" w:rsidTr="00B25A41">
        <w:trPr>
          <w:trHeight w:val="175"/>
        </w:trPr>
        <w:tc>
          <w:tcPr>
            <w:tcW w:w="1599" w:type="dxa"/>
            <w:vMerge w:val="restart"/>
          </w:tcPr>
          <w:p w14:paraId="5359D34E"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TMPRSS2</w:t>
            </w:r>
          </w:p>
        </w:tc>
        <w:tc>
          <w:tcPr>
            <w:tcW w:w="6141" w:type="dxa"/>
          </w:tcPr>
          <w:p w14:paraId="380C481B"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5’-CTTTGAACTCAGGGTCACCA-3’</w:t>
            </w:r>
          </w:p>
        </w:tc>
      </w:tr>
      <w:tr w:rsidR="00CC60F8" w:rsidRPr="00CC60F8" w14:paraId="2A72FE5A" w14:textId="77777777" w:rsidTr="00B25A41">
        <w:trPr>
          <w:trHeight w:val="175"/>
        </w:trPr>
        <w:tc>
          <w:tcPr>
            <w:tcW w:w="1599" w:type="dxa"/>
            <w:vMerge/>
          </w:tcPr>
          <w:p w14:paraId="3972F4C0"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0A243787"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5’-TAGTACTGAGCCGGATGCAC-3’</w:t>
            </w:r>
          </w:p>
        </w:tc>
      </w:tr>
      <w:tr w:rsidR="00CC60F8" w:rsidRPr="00CC60F8" w14:paraId="3A59CB91" w14:textId="77777777" w:rsidTr="00B25A41">
        <w:trPr>
          <w:trHeight w:val="175"/>
        </w:trPr>
        <w:tc>
          <w:tcPr>
            <w:tcW w:w="1599" w:type="dxa"/>
            <w:vMerge w:val="restart"/>
          </w:tcPr>
          <w:p w14:paraId="1894810A"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TMPRSS4</w:t>
            </w:r>
          </w:p>
        </w:tc>
        <w:tc>
          <w:tcPr>
            <w:tcW w:w="6141" w:type="dxa"/>
          </w:tcPr>
          <w:p w14:paraId="142714E8"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5’-TGCTTCAGGAAACATACCGA-3’</w:t>
            </w:r>
          </w:p>
        </w:tc>
      </w:tr>
      <w:tr w:rsidR="00CC60F8" w:rsidRPr="00CC60F8" w14:paraId="2569912D" w14:textId="77777777" w:rsidTr="00B25A41">
        <w:trPr>
          <w:trHeight w:val="175"/>
        </w:trPr>
        <w:tc>
          <w:tcPr>
            <w:tcW w:w="1599" w:type="dxa"/>
            <w:vMerge/>
          </w:tcPr>
          <w:p w14:paraId="21E357DD"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29AE7920"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5’-CTGGAGTGAGCTCCTCATCA-3’</w:t>
            </w:r>
          </w:p>
        </w:tc>
      </w:tr>
      <w:tr w:rsidR="00CC60F8" w:rsidRPr="00CC60F8" w14:paraId="5D085EC8" w14:textId="77777777" w:rsidTr="00B25A41">
        <w:trPr>
          <w:trHeight w:val="175"/>
        </w:trPr>
        <w:tc>
          <w:tcPr>
            <w:tcW w:w="1599" w:type="dxa"/>
            <w:vMerge w:val="restart"/>
          </w:tcPr>
          <w:p w14:paraId="5DF328F0"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Cathepsin L</w:t>
            </w:r>
          </w:p>
        </w:tc>
        <w:tc>
          <w:tcPr>
            <w:tcW w:w="6141" w:type="dxa"/>
          </w:tcPr>
          <w:p w14:paraId="547664DD"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5’-TGGTGGCCTAATGGATTATGC-3’</w:t>
            </w:r>
          </w:p>
        </w:tc>
      </w:tr>
      <w:tr w:rsidR="00CC60F8" w:rsidRPr="00CC60F8" w14:paraId="1669BAB8" w14:textId="77777777" w:rsidTr="00B25A41">
        <w:trPr>
          <w:trHeight w:val="175"/>
        </w:trPr>
        <w:tc>
          <w:tcPr>
            <w:tcW w:w="1599" w:type="dxa"/>
            <w:vMerge/>
          </w:tcPr>
          <w:p w14:paraId="2528F919"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2FE8F0C6"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5’-CCTTCTCCTGCTTAGGGATGT-3’</w:t>
            </w:r>
          </w:p>
        </w:tc>
      </w:tr>
      <w:tr w:rsidR="00CC60F8" w:rsidRPr="00CC60F8" w14:paraId="434B5DE8" w14:textId="77777777" w:rsidTr="00B25A41">
        <w:trPr>
          <w:trHeight w:val="175"/>
        </w:trPr>
        <w:tc>
          <w:tcPr>
            <w:tcW w:w="1599" w:type="dxa"/>
            <w:vMerge w:val="restart"/>
          </w:tcPr>
          <w:p w14:paraId="712CCFB3"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Furin</w:t>
            </w:r>
          </w:p>
        </w:tc>
        <w:tc>
          <w:tcPr>
            <w:tcW w:w="6141" w:type="dxa"/>
          </w:tcPr>
          <w:p w14:paraId="5F290255"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5’-CCTACAGCAGTGGCAACCAGAA-3’</w:t>
            </w:r>
          </w:p>
        </w:tc>
      </w:tr>
      <w:tr w:rsidR="00CC60F8" w:rsidRPr="00CC60F8" w14:paraId="69D4B2E1" w14:textId="77777777" w:rsidTr="00B25A41">
        <w:trPr>
          <w:trHeight w:val="175"/>
        </w:trPr>
        <w:tc>
          <w:tcPr>
            <w:tcW w:w="1599" w:type="dxa"/>
            <w:vMerge/>
          </w:tcPr>
          <w:p w14:paraId="3D5E5DC1"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683F9219"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5’-CCTCCAGGGTGAGAGCAATGA-3’</w:t>
            </w:r>
          </w:p>
        </w:tc>
      </w:tr>
      <w:tr w:rsidR="00CC60F8" w:rsidRPr="00CC60F8" w14:paraId="1D9F8567" w14:textId="77777777" w:rsidTr="00B25A41">
        <w:trPr>
          <w:trHeight w:val="175"/>
        </w:trPr>
        <w:tc>
          <w:tcPr>
            <w:tcW w:w="1599" w:type="dxa"/>
            <w:vMerge w:val="restart"/>
          </w:tcPr>
          <w:p w14:paraId="1FDF4DDD"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HAT</w:t>
            </w:r>
          </w:p>
        </w:tc>
        <w:tc>
          <w:tcPr>
            <w:tcW w:w="6141" w:type="dxa"/>
          </w:tcPr>
          <w:p w14:paraId="54BACEE2"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5’-TACACAGGAATACAGGACTT-3’</w:t>
            </w:r>
          </w:p>
        </w:tc>
      </w:tr>
      <w:tr w:rsidR="00CC60F8" w:rsidRPr="00CC60F8" w14:paraId="62D69231" w14:textId="77777777" w:rsidTr="00B25A41">
        <w:trPr>
          <w:trHeight w:val="175"/>
        </w:trPr>
        <w:tc>
          <w:tcPr>
            <w:tcW w:w="1599" w:type="dxa"/>
            <w:vMerge/>
          </w:tcPr>
          <w:p w14:paraId="0BCD76F8"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6459C48F"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5’-CTCACACCACTACCATCT-3’</w:t>
            </w:r>
          </w:p>
        </w:tc>
      </w:tr>
      <w:tr w:rsidR="00CC60F8" w:rsidRPr="00CC60F8" w14:paraId="2EB3232D" w14:textId="77777777" w:rsidTr="00B25A41">
        <w:trPr>
          <w:trHeight w:val="175"/>
        </w:trPr>
        <w:tc>
          <w:tcPr>
            <w:tcW w:w="1599" w:type="dxa"/>
            <w:vMerge w:val="restart"/>
          </w:tcPr>
          <w:p w14:paraId="5CB33F63"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IFNα</w:t>
            </w:r>
          </w:p>
        </w:tc>
        <w:tc>
          <w:tcPr>
            <w:tcW w:w="6141" w:type="dxa"/>
          </w:tcPr>
          <w:p w14:paraId="63938DC8"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5’-AGAATCACTCTCTATCTGAAAGAGAAGAAATA-3’</w:t>
            </w:r>
          </w:p>
        </w:tc>
      </w:tr>
      <w:tr w:rsidR="00CC60F8" w:rsidRPr="00CC60F8" w14:paraId="2087AD28" w14:textId="77777777" w:rsidTr="00B25A41">
        <w:trPr>
          <w:trHeight w:val="175"/>
        </w:trPr>
        <w:tc>
          <w:tcPr>
            <w:tcW w:w="1599" w:type="dxa"/>
            <w:vMerge/>
          </w:tcPr>
          <w:p w14:paraId="29592FF1"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5D910C09"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5’-TCATGATTTCTGCTCTGACAACCT-3’</w:t>
            </w:r>
          </w:p>
        </w:tc>
      </w:tr>
      <w:tr w:rsidR="00CC60F8" w:rsidRPr="00CC60F8" w14:paraId="4F3E8875" w14:textId="77777777" w:rsidTr="00B25A41">
        <w:trPr>
          <w:trHeight w:val="175"/>
        </w:trPr>
        <w:tc>
          <w:tcPr>
            <w:tcW w:w="1599" w:type="dxa"/>
            <w:vMerge w:val="restart"/>
          </w:tcPr>
          <w:p w14:paraId="100AA2FD"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IFNβ</w:t>
            </w:r>
          </w:p>
        </w:tc>
        <w:tc>
          <w:tcPr>
            <w:tcW w:w="6141" w:type="dxa"/>
          </w:tcPr>
          <w:p w14:paraId="031B7405"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5’-GCCGCATTGACCATCT-3’</w:t>
            </w:r>
          </w:p>
        </w:tc>
      </w:tr>
      <w:tr w:rsidR="00CC60F8" w:rsidRPr="00CC60F8" w14:paraId="75D63836" w14:textId="77777777" w:rsidTr="00B25A41">
        <w:trPr>
          <w:trHeight w:val="175"/>
        </w:trPr>
        <w:tc>
          <w:tcPr>
            <w:tcW w:w="1599" w:type="dxa"/>
            <w:vMerge/>
          </w:tcPr>
          <w:p w14:paraId="2D05C387"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512AE669"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5’-AGGAGTACAGTCACTGTG-3’</w:t>
            </w:r>
          </w:p>
        </w:tc>
      </w:tr>
      <w:tr w:rsidR="00CC60F8" w:rsidRPr="00CC60F8" w14:paraId="62A96644" w14:textId="77777777" w:rsidTr="00B25A41">
        <w:trPr>
          <w:trHeight w:val="175"/>
        </w:trPr>
        <w:tc>
          <w:tcPr>
            <w:tcW w:w="1599" w:type="dxa"/>
            <w:vMerge w:val="restart"/>
          </w:tcPr>
          <w:p w14:paraId="3637694D" w14:textId="77777777" w:rsidR="00CC60F8" w:rsidRPr="00CC60F8" w:rsidRDefault="00CC60F8" w:rsidP="00CC60F8">
            <w:pPr>
              <w:spacing w:line="360" w:lineRule="auto"/>
              <w:jc w:val="both"/>
              <w:rPr>
                <w:rFonts w:eastAsia="Calibri"/>
                <w:sz w:val="16"/>
                <w:szCs w:val="16"/>
              </w:rPr>
            </w:pPr>
            <w:proofErr w:type="spellStart"/>
            <w:r w:rsidRPr="00CC60F8">
              <w:rPr>
                <w:rFonts w:eastAsia="Calibri"/>
                <w:sz w:val="16"/>
                <w:szCs w:val="16"/>
              </w:rPr>
              <w:t>IFNγ</w:t>
            </w:r>
            <w:proofErr w:type="spellEnd"/>
          </w:p>
        </w:tc>
        <w:tc>
          <w:tcPr>
            <w:tcW w:w="6141" w:type="dxa"/>
          </w:tcPr>
          <w:p w14:paraId="06CF8837"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5’-CTAATTATTCGGTAACTGACTTGA-3’</w:t>
            </w:r>
          </w:p>
        </w:tc>
      </w:tr>
      <w:tr w:rsidR="00CC60F8" w:rsidRPr="00CC60F8" w14:paraId="7CC7F58E" w14:textId="77777777" w:rsidTr="00B25A41">
        <w:trPr>
          <w:trHeight w:val="175"/>
        </w:trPr>
        <w:tc>
          <w:tcPr>
            <w:tcW w:w="1599" w:type="dxa"/>
            <w:vMerge/>
          </w:tcPr>
          <w:p w14:paraId="17C53910"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042AE60B"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5’-ACAGTTCAGCCATCACTTGGA-3’</w:t>
            </w:r>
          </w:p>
        </w:tc>
      </w:tr>
      <w:tr w:rsidR="00CC60F8" w:rsidRPr="00CC60F8" w14:paraId="53B6EED3" w14:textId="77777777" w:rsidTr="00B25A41">
        <w:trPr>
          <w:trHeight w:val="175"/>
        </w:trPr>
        <w:tc>
          <w:tcPr>
            <w:tcW w:w="1599" w:type="dxa"/>
            <w:vMerge w:val="restart"/>
          </w:tcPr>
          <w:p w14:paraId="1E244651"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IFNλ1</w:t>
            </w:r>
          </w:p>
        </w:tc>
        <w:tc>
          <w:tcPr>
            <w:tcW w:w="6141" w:type="dxa"/>
          </w:tcPr>
          <w:p w14:paraId="70AA6378"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5’-CACATTGGCAGGTTCAAATCTCT-3’</w:t>
            </w:r>
          </w:p>
        </w:tc>
      </w:tr>
      <w:tr w:rsidR="00CC60F8" w:rsidRPr="00CC60F8" w14:paraId="4253929F" w14:textId="77777777" w:rsidTr="00B25A41">
        <w:trPr>
          <w:trHeight w:val="175"/>
        </w:trPr>
        <w:tc>
          <w:tcPr>
            <w:tcW w:w="1599" w:type="dxa"/>
            <w:vMerge/>
          </w:tcPr>
          <w:p w14:paraId="2BF4F4C9" w14:textId="77777777" w:rsidR="00CC60F8" w:rsidRPr="00CC60F8" w:rsidRDefault="00CC60F8" w:rsidP="00CC60F8">
            <w:pPr>
              <w:pBdr>
                <w:top w:val="nil"/>
                <w:left w:val="nil"/>
                <w:bottom w:val="nil"/>
                <w:right w:val="nil"/>
                <w:between w:val="nil"/>
              </w:pBdr>
              <w:spacing w:line="360" w:lineRule="auto"/>
              <w:jc w:val="both"/>
              <w:rPr>
                <w:rFonts w:eastAsia="Calibri"/>
                <w:sz w:val="16"/>
                <w:szCs w:val="16"/>
              </w:rPr>
            </w:pPr>
          </w:p>
        </w:tc>
        <w:tc>
          <w:tcPr>
            <w:tcW w:w="6141" w:type="dxa"/>
          </w:tcPr>
          <w:p w14:paraId="6F5F9E94"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5’-CCAGCGGACTCCTTTTTGG-3’</w:t>
            </w:r>
          </w:p>
        </w:tc>
      </w:tr>
      <w:tr w:rsidR="00CC60F8" w:rsidRPr="00CC60F8" w14:paraId="35B9A5B0" w14:textId="77777777" w:rsidTr="00B25A41">
        <w:trPr>
          <w:trHeight w:val="175"/>
        </w:trPr>
        <w:tc>
          <w:tcPr>
            <w:tcW w:w="1599" w:type="dxa"/>
            <w:vMerge w:val="restart"/>
          </w:tcPr>
          <w:p w14:paraId="1B2CA52C"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IFNλ2</w:t>
            </w:r>
          </w:p>
        </w:tc>
        <w:tc>
          <w:tcPr>
            <w:tcW w:w="6141" w:type="dxa"/>
          </w:tcPr>
          <w:p w14:paraId="1AC9406F"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5’-TCCAGTCACGGTCAGCA-3’</w:t>
            </w:r>
          </w:p>
        </w:tc>
      </w:tr>
      <w:tr w:rsidR="00CC60F8" w:rsidRPr="00CC60F8" w14:paraId="2EFEBB98" w14:textId="77777777" w:rsidTr="00B25A41">
        <w:trPr>
          <w:trHeight w:val="175"/>
        </w:trPr>
        <w:tc>
          <w:tcPr>
            <w:tcW w:w="1599" w:type="dxa"/>
            <w:vMerge/>
          </w:tcPr>
          <w:p w14:paraId="2E160FBB" w14:textId="77777777" w:rsidR="00CC60F8" w:rsidRPr="00CC60F8" w:rsidRDefault="00CC60F8" w:rsidP="00CC60F8">
            <w:pPr>
              <w:spacing w:line="360" w:lineRule="auto"/>
              <w:jc w:val="both"/>
              <w:rPr>
                <w:rFonts w:eastAsia="Calibri"/>
                <w:sz w:val="16"/>
                <w:szCs w:val="16"/>
              </w:rPr>
            </w:pPr>
          </w:p>
        </w:tc>
        <w:tc>
          <w:tcPr>
            <w:tcW w:w="6141" w:type="dxa"/>
          </w:tcPr>
          <w:p w14:paraId="1F6634A7"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5’-CAGCCTCAGAGTGTTTCTTCT-3’</w:t>
            </w:r>
          </w:p>
        </w:tc>
      </w:tr>
      <w:tr w:rsidR="00CC60F8" w:rsidRPr="00CC60F8" w14:paraId="51595A29" w14:textId="77777777" w:rsidTr="00B25A41">
        <w:trPr>
          <w:trHeight w:val="175"/>
        </w:trPr>
        <w:tc>
          <w:tcPr>
            <w:tcW w:w="1599" w:type="dxa"/>
            <w:vMerge w:val="restart"/>
          </w:tcPr>
          <w:p w14:paraId="7D6F7049"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IFNλ3</w:t>
            </w:r>
          </w:p>
        </w:tc>
        <w:tc>
          <w:tcPr>
            <w:tcW w:w="6141" w:type="dxa"/>
          </w:tcPr>
          <w:p w14:paraId="373397F5"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5’-TAAGAGGGCCAAAGATGCCTT-3’</w:t>
            </w:r>
          </w:p>
        </w:tc>
      </w:tr>
      <w:tr w:rsidR="00CC60F8" w:rsidRPr="00CC60F8" w14:paraId="41DB270B" w14:textId="77777777" w:rsidTr="00B25A41">
        <w:trPr>
          <w:trHeight w:val="175"/>
        </w:trPr>
        <w:tc>
          <w:tcPr>
            <w:tcW w:w="1599" w:type="dxa"/>
            <w:vMerge/>
          </w:tcPr>
          <w:p w14:paraId="6BE4ADA9" w14:textId="77777777" w:rsidR="00CC60F8" w:rsidRPr="00CC60F8" w:rsidRDefault="00CC60F8" w:rsidP="00CC60F8">
            <w:pPr>
              <w:spacing w:line="360" w:lineRule="auto"/>
              <w:jc w:val="both"/>
              <w:rPr>
                <w:rFonts w:eastAsia="Calibri"/>
                <w:sz w:val="16"/>
                <w:szCs w:val="16"/>
              </w:rPr>
            </w:pPr>
          </w:p>
        </w:tc>
        <w:tc>
          <w:tcPr>
            <w:tcW w:w="6141" w:type="dxa"/>
          </w:tcPr>
          <w:p w14:paraId="3EE71345" w14:textId="77777777" w:rsidR="00CC60F8" w:rsidRPr="00CC60F8" w:rsidRDefault="00CC60F8" w:rsidP="00CC60F8">
            <w:pPr>
              <w:spacing w:line="360" w:lineRule="auto"/>
              <w:jc w:val="both"/>
              <w:rPr>
                <w:rFonts w:eastAsia="Calibri"/>
                <w:sz w:val="16"/>
                <w:szCs w:val="16"/>
              </w:rPr>
            </w:pPr>
            <w:r w:rsidRPr="00CC60F8">
              <w:rPr>
                <w:rFonts w:eastAsia="Calibri"/>
                <w:sz w:val="16"/>
                <w:szCs w:val="16"/>
              </w:rPr>
              <w:t>5’-CTGGTCCAAGACATCCCCC-3’</w:t>
            </w:r>
          </w:p>
        </w:tc>
      </w:tr>
    </w:tbl>
    <w:p w14:paraId="0F7596D5" w14:textId="77777777" w:rsidR="00CC60F8" w:rsidRPr="00CC60F8" w:rsidRDefault="00CC60F8" w:rsidP="00CC60F8">
      <w:pPr>
        <w:spacing w:after="0" w:line="240" w:lineRule="auto"/>
        <w:jc w:val="both"/>
        <w:rPr>
          <w:rFonts w:ascii="Times New Roman" w:eastAsia="Calibri" w:hAnsi="Times New Roman" w:cs="Times New Roman"/>
          <w:b/>
          <w:sz w:val="24"/>
          <w:szCs w:val="20"/>
          <w:lang w:eastAsia="en-US"/>
        </w:rPr>
      </w:pPr>
    </w:p>
    <w:p w14:paraId="2D2827F2" w14:textId="77777777" w:rsidR="00CC60F8" w:rsidRPr="00CC60F8" w:rsidRDefault="00CC60F8" w:rsidP="00CC60F8">
      <w:pPr>
        <w:spacing w:after="0" w:line="240" w:lineRule="auto"/>
        <w:rPr>
          <w:rFonts w:ascii="Times New Roman" w:eastAsia="Calibri" w:hAnsi="Times New Roman" w:cs="Times New Roman"/>
          <w:b/>
          <w:sz w:val="24"/>
          <w:szCs w:val="20"/>
          <w:lang w:eastAsia="en-US"/>
        </w:rPr>
      </w:pPr>
      <w:r w:rsidRPr="00CC60F8">
        <w:rPr>
          <w:rFonts w:ascii="Times New Roman" w:eastAsia="Calibri" w:hAnsi="Times New Roman" w:cs="Times New Roman"/>
          <w:b/>
          <w:sz w:val="24"/>
          <w:szCs w:val="20"/>
          <w:lang w:eastAsia="en-US"/>
        </w:rPr>
        <w:t>References</w:t>
      </w:r>
    </w:p>
    <w:p w14:paraId="78913C16" w14:textId="77777777" w:rsidR="00CC60F8" w:rsidRPr="00CC60F8" w:rsidRDefault="00CC60F8" w:rsidP="00CC60F8">
      <w:pPr>
        <w:spacing w:after="0" w:line="240" w:lineRule="auto"/>
        <w:rPr>
          <w:rFonts w:ascii="Times New Roman" w:eastAsia="Calibri" w:hAnsi="Times New Roman" w:cs="Times New Roman"/>
          <w:noProof/>
          <w:sz w:val="20"/>
          <w:szCs w:val="20"/>
          <w:lang w:eastAsia="en-US"/>
        </w:rPr>
      </w:pPr>
      <w:r w:rsidRPr="00CC60F8">
        <w:rPr>
          <w:rFonts w:ascii="Times New Roman" w:eastAsia="Calibri" w:hAnsi="Times New Roman" w:cs="Times New Roman"/>
          <w:noProof/>
          <w:sz w:val="20"/>
          <w:szCs w:val="20"/>
          <w:lang w:eastAsia="en-US"/>
        </w:rPr>
        <w:fldChar w:fldCharType="begin"/>
      </w:r>
      <w:r w:rsidRPr="00CC60F8">
        <w:rPr>
          <w:rFonts w:ascii="Times New Roman" w:eastAsia="Calibri" w:hAnsi="Times New Roman" w:cs="Times New Roman"/>
          <w:noProof/>
          <w:sz w:val="20"/>
          <w:szCs w:val="20"/>
          <w:lang w:eastAsia="en-US"/>
        </w:rPr>
        <w:instrText xml:space="preserve"> ADDIN EN.REFLIST </w:instrText>
      </w:r>
      <w:r w:rsidRPr="00CC60F8">
        <w:rPr>
          <w:rFonts w:ascii="Times New Roman" w:eastAsia="Calibri" w:hAnsi="Times New Roman" w:cs="Times New Roman"/>
          <w:noProof/>
          <w:sz w:val="20"/>
          <w:szCs w:val="20"/>
          <w:lang w:eastAsia="en-US"/>
        </w:rPr>
        <w:fldChar w:fldCharType="separate"/>
      </w:r>
      <w:r w:rsidRPr="00CC60F8">
        <w:rPr>
          <w:rFonts w:ascii="Times New Roman" w:eastAsia="Calibri" w:hAnsi="Times New Roman" w:cs="Times New Roman"/>
          <w:noProof/>
          <w:sz w:val="20"/>
          <w:szCs w:val="20"/>
          <w:lang w:eastAsia="en-US"/>
        </w:rPr>
        <w:t>1.</w:t>
      </w:r>
      <w:r w:rsidRPr="00CC60F8">
        <w:rPr>
          <w:rFonts w:ascii="Times New Roman" w:eastAsia="Calibri" w:hAnsi="Times New Roman" w:cs="Times New Roman"/>
          <w:noProof/>
          <w:sz w:val="20"/>
          <w:szCs w:val="20"/>
          <w:lang w:eastAsia="en-US"/>
        </w:rPr>
        <w:tab/>
        <w:t>Wolfel R, Corman VM, Guggemos W, Seilmaier M, Zange S, Muller MA, et al. Virological assessment of hospitalized patients with COVID-2019. Nature. 2020;581(7809):465-9.</w:t>
      </w:r>
    </w:p>
    <w:p w14:paraId="76BB1BA3" w14:textId="77777777" w:rsidR="00CC60F8" w:rsidRPr="00CC60F8" w:rsidRDefault="00CC60F8" w:rsidP="00CC60F8">
      <w:pPr>
        <w:spacing w:after="0" w:line="240" w:lineRule="auto"/>
        <w:rPr>
          <w:rFonts w:ascii="Times New Roman" w:eastAsia="Calibri" w:hAnsi="Times New Roman" w:cs="Times New Roman"/>
          <w:noProof/>
          <w:sz w:val="20"/>
          <w:szCs w:val="20"/>
          <w:lang w:eastAsia="en-US"/>
        </w:rPr>
      </w:pPr>
      <w:r w:rsidRPr="00CC60F8">
        <w:rPr>
          <w:rFonts w:ascii="Times New Roman" w:eastAsia="Calibri" w:hAnsi="Times New Roman" w:cs="Times New Roman"/>
          <w:noProof/>
          <w:sz w:val="20"/>
          <w:szCs w:val="20"/>
          <w:lang w:eastAsia="en-US"/>
        </w:rPr>
        <w:t>2.</w:t>
      </w:r>
      <w:r w:rsidRPr="00CC60F8">
        <w:rPr>
          <w:rFonts w:ascii="Times New Roman" w:eastAsia="Calibri" w:hAnsi="Times New Roman" w:cs="Times New Roman"/>
          <w:noProof/>
          <w:sz w:val="20"/>
          <w:szCs w:val="20"/>
          <w:lang w:eastAsia="en-US"/>
        </w:rPr>
        <w:tab/>
        <w:t>Corman VM, Landt O, Kaiser M, Molenkamp R, Meijer A, Chu DK, et al. Detection of 2019 novel coronavirus (2019-nCoV) by real-time RT-PCR. Euro Surveill. 2020;25(3).</w:t>
      </w:r>
    </w:p>
    <w:p w14:paraId="032041F7" w14:textId="77777777" w:rsidR="00CC60F8" w:rsidRPr="00CC60F8" w:rsidRDefault="00CC60F8" w:rsidP="00CC60F8">
      <w:pPr>
        <w:spacing w:after="0" w:line="240" w:lineRule="auto"/>
        <w:rPr>
          <w:rFonts w:ascii="Times New Roman" w:eastAsia="Calibri" w:hAnsi="Times New Roman" w:cs="Times New Roman"/>
          <w:noProof/>
          <w:sz w:val="20"/>
          <w:szCs w:val="20"/>
          <w:lang w:eastAsia="en-US"/>
        </w:rPr>
      </w:pPr>
      <w:r w:rsidRPr="00CC60F8">
        <w:rPr>
          <w:rFonts w:ascii="Times New Roman" w:eastAsia="Calibri" w:hAnsi="Times New Roman" w:cs="Times New Roman"/>
          <w:noProof/>
          <w:sz w:val="20"/>
          <w:szCs w:val="20"/>
          <w:lang w:eastAsia="en-US"/>
        </w:rPr>
        <w:t>3.</w:t>
      </w:r>
      <w:r w:rsidRPr="00CC60F8">
        <w:rPr>
          <w:rFonts w:ascii="Times New Roman" w:eastAsia="Calibri" w:hAnsi="Times New Roman" w:cs="Times New Roman"/>
          <w:noProof/>
          <w:sz w:val="20"/>
          <w:szCs w:val="20"/>
          <w:lang w:eastAsia="en-US"/>
        </w:rPr>
        <w:tab/>
        <w:t>Wong YC, Lau SY, Wang To KK, Mok BWY, Li X, Wang P, et al. Natural transmission of bat-like SARS-CoV-2PRRA variants in COVID-19 patients. Clin Infect Dis. 2020.</w:t>
      </w:r>
    </w:p>
    <w:p w14:paraId="078F5D0D" w14:textId="77777777" w:rsidR="00CC60F8" w:rsidRPr="00CC60F8" w:rsidRDefault="00CC60F8" w:rsidP="00CC60F8">
      <w:pPr>
        <w:spacing w:after="0" w:line="240" w:lineRule="auto"/>
        <w:rPr>
          <w:rFonts w:ascii="Times New Roman" w:eastAsia="Calibri" w:hAnsi="Times New Roman" w:cs="Times New Roman"/>
          <w:noProof/>
          <w:sz w:val="20"/>
          <w:szCs w:val="20"/>
          <w:lang w:eastAsia="en-US"/>
        </w:rPr>
      </w:pPr>
      <w:r w:rsidRPr="00CC60F8">
        <w:rPr>
          <w:rFonts w:ascii="Times New Roman" w:eastAsia="Calibri" w:hAnsi="Times New Roman" w:cs="Times New Roman"/>
          <w:noProof/>
          <w:sz w:val="20"/>
          <w:szCs w:val="20"/>
          <w:lang w:eastAsia="en-US"/>
        </w:rPr>
        <w:t>4.</w:t>
      </w:r>
      <w:r w:rsidRPr="00CC60F8">
        <w:rPr>
          <w:rFonts w:ascii="Times New Roman" w:eastAsia="Calibri" w:hAnsi="Times New Roman" w:cs="Times New Roman"/>
          <w:noProof/>
          <w:sz w:val="20"/>
          <w:szCs w:val="20"/>
          <w:lang w:eastAsia="en-US"/>
        </w:rPr>
        <w:tab/>
        <w:t>Zhou J, Li C, Sachs N, Chiu MC, Wong BH, Chu H, et al. Differentiated human airway organoids to assess infectivity of emerging influenza virus. Proc Natl Acad Sci U S A. 2018;115(26):6822-7.</w:t>
      </w:r>
    </w:p>
    <w:p w14:paraId="21F177AB" w14:textId="77777777" w:rsidR="00CC60F8" w:rsidRPr="00CC60F8" w:rsidRDefault="00CC60F8" w:rsidP="00CC60F8">
      <w:pPr>
        <w:spacing w:after="0" w:line="240" w:lineRule="auto"/>
        <w:rPr>
          <w:rFonts w:ascii="Times New Roman" w:eastAsia="Calibri" w:hAnsi="Times New Roman" w:cs="Times New Roman"/>
          <w:sz w:val="20"/>
          <w:szCs w:val="20"/>
          <w:lang w:eastAsia="en-US"/>
        </w:rPr>
      </w:pPr>
      <w:r w:rsidRPr="00CC60F8">
        <w:rPr>
          <w:rFonts w:ascii="Times New Roman" w:eastAsia="Calibri" w:hAnsi="Times New Roman" w:cs="Times New Roman"/>
          <w:sz w:val="20"/>
          <w:szCs w:val="20"/>
          <w:lang w:eastAsia="en-US"/>
        </w:rPr>
        <w:fldChar w:fldCharType="end"/>
      </w:r>
    </w:p>
    <w:p w14:paraId="4788B194" w14:textId="77777777" w:rsidR="00CC60F8" w:rsidRPr="00CC60F8" w:rsidRDefault="00CC60F8" w:rsidP="00CC60F8">
      <w:pPr>
        <w:spacing w:after="0" w:line="360" w:lineRule="auto"/>
        <w:jc w:val="both"/>
        <w:rPr>
          <w:rFonts w:ascii="Times New Roman" w:eastAsia="Calibri" w:hAnsi="Times New Roman" w:cs="Times New Roman"/>
          <w:sz w:val="24"/>
          <w:szCs w:val="24"/>
          <w:lang w:eastAsia="en-US"/>
        </w:rPr>
      </w:pPr>
    </w:p>
    <w:p w14:paraId="587F8F27" w14:textId="77777777" w:rsidR="002A3033" w:rsidRDefault="002A3033"/>
    <w:sectPr w:rsidR="002A3033" w:rsidSect="00E568CB">
      <w:footerReference w:type="default" r:id="rId8"/>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5689562"/>
      <w:docPartObj>
        <w:docPartGallery w:val="Page Numbers (Bottom of Page)"/>
        <w:docPartUnique/>
      </w:docPartObj>
    </w:sdtPr>
    <w:sdtEndPr>
      <w:rPr>
        <w:noProof/>
      </w:rPr>
    </w:sdtEndPr>
    <w:sdtContent>
      <w:p w14:paraId="2F1E748E" w14:textId="77777777" w:rsidR="009324C9" w:rsidRDefault="00CC60F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E6A432D" w14:textId="77777777" w:rsidR="009324C9" w:rsidRDefault="00CC60F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0F8"/>
    <w:rsid w:val="001845C9"/>
    <w:rsid w:val="002A3033"/>
    <w:rsid w:val="00CC60F8"/>
    <w:rsid w:val="00CC6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9103"/>
  <w15:chartTrackingRefBased/>
  <w15:docId w15:val="{C756EF36-584C-4468-824E-86586434C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C60F8"/>
    <w:pPr>
      <w:tabs>
        <w:tab w:val="center" w:pos="4680"/>
        <w:tab w:val="right" w:pos="9360"/>
      </w:tabs>
      <w:spacing w:after="0" w:line="240" w:lineRule="auto"/>
    </w:pPr>
    <w:rPr>
      <w:rFonts w:ascii="Times New Roman" w:eastAsia="Calibri" w:hAnsi="Times New Roman" w:cs="Times New Roman"/>
      <w:sz w:val="20"/>
      <w:szCs w:val="20"/>
      <w:lang w:eastAsia="en-US"/>
    </w:rPr>
  </w:style>
  <w:style w:type="character" w:customStyle="1" w:styleId="FooterChar">
    <w:name w:val="Footer Char"/>
    <w:basedOn w:val="DefaultParagraphFont"/>
    <w:link w:val="Footer"/>
    <w:uiPriority w:val="99"/>
    <w:rsid w:val="00CC60F8"/>
    <w:rPr>
      <w:rFonts w:ascii="Times New Roman" w:eastAsia="Calibri" w:hAnsi="Times New Roman" w:cs="Times New Roman"/>
      <w:sz w:val="20"/>
      <w:szCs w:val="20"/>
      <w:lang w:eastAsia="en-US"/>
    </w:rPr>
  </w:style>
  <w:style w:type="table" w:styleId="TableGrid">
    <w:name w:val="Table Grid"/>
    <w:basedOn w:val="TableNormal"/>
    <w:rsid w:val="00CC60F8"/>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C6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735</Words>
  <Characters>4194</Characters>
  <Application>Microsoft Office Word</Application>
  <DocSecurity>0</DocSecurity>
  <Lines>34</Lines>
  <Paragraphs>9</Paragraphs>
  <ScaleCrop>false</ScaleCrop>
  <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Jane</cp:lastModifiedBy>
  <cp:revision>1</cp:revision>
  <dcterms:created xsi:type="dcterms:W3CDTF">2020-08-28T08:37:00Z</dcterms:created>
  <dcterms:modified xsi:type="dcterms:W3CDTF">2020-08-28T08:38:00Z</dcterms:modified>
</cp:coreProperties>
</file>