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Not Addressed</w:t>
      </w:r>
    </w:p>
    <w:p w:rsidR="00000000" w:rsidDel="00000000" w:rsidP="00000000" w:rsidRDefault="00000000" w:rsidRPr="00000000" w14:paraId="00000002">
      <w:pPr>
        <w:numPr>
          <w:ilvl w:val="0"/>
          <w:numId w:val="5"/>
        </w:numPr>
        <w:spacing w:after="24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treatment or counseling was provided during the encounter. This may be due to limited resources, patient departure before completion, or lack of documented follow-up plan.</w:t>
      </w:r>
    </w:p>
    <w:p w:rsidR="00000000" w:rsidDel="00000000" w:rsidP="00000000" w:rsidRDefault="00000000" w:rsidRPr="00000000" w14:paraId="0000000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Wound Care Package</w:t>
      </w:r>
    </w:p>
    <w:p w:rsidR="00000000" w:rsidDel="00000000" w:rsidP="00000000" w:rsidRDefault="00000000" w:rsidRPr="00000000" w14:paraId="00000004">
      <w:pPr>
        <w:numPr>
          <w:ilvl w:val="0"/>
          <w:numId w:val="9"/>
        </w:numPr>
        <w:spacing w:after="24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Includes field-supplied materials such as hydrogen peroxide, coban wrap, bacitracin, silver gel, or ace bandages used for wound cleaning and protection.</w:t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Topical Creams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Includes pain- or inflammation-relief creams and ointments such as diclofenac (Voltaren), capsaicin, menthol salicylate, hydrocortisone, lidocaine, or Vicks VapoRub.</w:t>
      </w:r>
    </w:p>
    <w:p w:rsidR="00000000" w:rsidDel="00000000" w:rsidP="00000000" w:rsidRDefault="00000000" w:rsidRPr="00000000" w14:paraId="0000000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Oral Pain/Fever Reducing Medications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Includes over-the-counter analgesics such as acetaminophen (Tylenol) and ibuprofen (Advil or other NSAIDs) provided during the encounter.</w:t>
      </w:r>
    </w:p>
    <w:p w:rsidR="00000000" w:rsidDel="00000000" w:rsidP="00000000" w:rsidRDefault="00000000" w:rsidRPr="00000000" w14:paraId="00000009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Guideline-Based Advice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4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Includes verbal counseling on blood pressure or glucose management, recommended timing for follow-up screenings, referrals to primary care or emergency care, and resource navigation (e.g., shelters, clinics).</w:t>
      </w:r>
    </w:p>
    <w:p w:rsidR="00000000" w:rsidDel="00000000" w:rsidP="00000000" w:rsidRDefault="00000000" w:rsidRPr="00000000" w14:paraId="0000000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GI Medications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Includes medications provided or recommended for gastrointestinal complaints, such as proton pump inhibitors (PPIs), H2 blockers, or antacids.</w:t>
      </w:r>
    </w:p>
    <w:p w:rsidR="00000000" w:rsidDel="00000000" w:rsidP="00000000" w:rsidRDefault="00000000" w:rsidRPr="00000000" w14:paraId="0000000D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Allergy Drugs/Decongestants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24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Includes antihistamines or decongestants such as cetirizine (Zyrtec), loratadine (Claritin), or fexofenadine (Allegra).</w:t>
      </w:r>
    </w:p>
    <w:p w:rsidR="00000000" w:rsidDel="00000000" w:rsidP="00000000" w:rsidRDefault="00000000" w:rsidRPr="00000000" w14:paraId="0000000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Durable Medical Equipment (DME)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24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Includes physical aids such as braces, splints, crutches, boots, or walkers supplied for mobility or injury support.</w:t>
      </w:r>
    </w:p>
    <w:p w:rsidR="00000000" w:rsidDel="00000000" w:rsidP="00000000" w:rsidRDefault="00000000" w:rsidRPr="00000000" w14:paraId="0000001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Other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24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Includes various non-categorized supportive treatments such as eye drops, cough drops, electrolyte powders, iron tablets, or blankets distributed based on individual needs and environmental conditions.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>
        <w:rtl w:val="0"/>
      </w:rPr>
      <w:t xml:space="preserve">Treatment Categories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