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951" w:firstLineChars="14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Supplementary information</w:t>
      </w:r>
    </w:p>
    <w:p>
      <w:pPr>
        <w:ind w:firstLine="2520" w:firstLineChars="1200"/>
        <w:rPr>
          <w:rFonts w:hint="default" w:eastAsia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Periodic heat stress license</w:t>
      </w:r>
      <w:r>
        <w:rPr>
          <w:rFonts w:hint="eastAsia" w:ascii="Times New Roman" w:hAnsi="Times New Roman" w:cs="Times New Roman"/>
          <w:b/>
          <w:bCs/>
          <w:sz w:val="21"/>
          <w:szCs w:val="21"/>
          <w:lang w:val="en-US" w:eastAsia="zh-CN"/>
        </w:rPr>
        <w:t>s</w:t>
      </w:r>
      <w:r>
        <w:rPr>
          <w:rFonts w:hint="default" w:ascii="Times New Roman" w:hAnsi="Times New Roman" w:cs="Times New Roman"/>
          <w:b/>
          <w:bCs/>
          <w:sz w:val="21"/>
          <w:szCs w:val="21"/>
          <w:lang w:val="en-US" w:eastAsia="zh-CN"/>
        </w:rPr>
        <w:t xml:space="preserve"> EMSCs differentiation into osteoblast</w:t>
      </w:r>
      <w:r>
        <w:rPr>
          <w:rFonts w:hint="eastAsia" w:ascii="Times New Roman" w:hAnsi="Times New Roman" w:cs="Times New Roman"/>
          <w:b/>
          <w:bCs/>
          <w:sz w:val="21"/>
          <w:szCs w:val="21"/>
          <w:lang w:val="en-US" w:eastAsia="zh-CN"/>
        </w:rPr>
        <w:t>s</w:t>
      </w:r>
      <w:r>
        <w:rPr>
          <w:rFonts w:hint="default" w:ascii="Times New Roman" w:hAnsi="Times New Roman" w:cs="Times New Roman"/>
          <w:b/>
          <w:bCs/>
          <w:sz w:val="21"/>
          <w:szCs w:val="21"/>
          <w:lang w:val="en-US" w:eastAsia="zh-CN"/>
        </w:rPr>
        <w:t xml:space="preserve"> via YAP signaling pathway activation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rPr>
      </w:pPr>
    </w:p>
    <w:p>
      <w:pPr>
        <w:spacing w:after="312" w:afterLines="100" w:line="360" w:lineRule="auto"/>
        <w:rPr>
          <w:rFonts w:hint="default" w:ascii="Times New Roman" w:hAnsi="Times New Roman" w:eastAsia="宋体" w:cs="Times New Roman"/>
          <w:kern w:val="0"/>
          <w:sz w:val="21"/>
          <w:szCs w:val="21"/>
          <w:vertAlign w:val="superscript"/>
        </w:rPr>
      </w:pPr>
      <w:r>
        <w:rPr>
          <w:rFonts w:hint="default" w:ascii="Times New Roman" w:hAnsi="Times New Roman" w:eastAsia="宋体" w:cs="Times New Roman"/>
          <w:kern w:val="0"/>
          <w:sz w:val="21"/>
          <w:szCs w:val="21"/>
        </w:rPr>
        <w:t>Wentao Shi</w:t>
      </w:r>
      <w:r>
        <w:rPr>
          <w:rFonts w:hint="default" w:ascii="Times New Roman" w:hAnsi="Times New Roman" w:eastAsia="宋体" w:cs="Times New Roman"/>
          <w:kern w:val="0"/>
          <w:sz w:val="21"/>
          <w:szCs w:val="21"/>
          <w:vertAlign w:val="superscript"/>
        </w:rPr>
        <w:t>1,#</w:t>
      </w:r>
      <w:r>
        <w:rPr>
          <w:rFonts w:hint="default" w:ascii="Times New Roman" w:hAnsi="Times New Roman" w:eastAsia="宋体" w:cs="Times New Roman"/>
          <w:kern w:val="0"/>
          <w:sz w:val="21"/>
          <w:szCs w:val="21"/>
        </w:rPr>
        <w:t>, Zhe Wang</w:t>
      </w:r>
      <w:r>
        <w:rPr>
          <w:rFonts w:hint="default" w:ascii="Times New Roman" w:hAnsi="Times New Roman" w:eastAsia="宋体" w:cs="Times New Roman"/>
          <w:kern w:val="0"/>
          <w:sz w:val="21"/>
          <w:szCs w:val="21"/>
          <w:vertAlign w:val="superscript"/>
        </w:rPr>
        <w:t>3</w:t>
      </w:r>
      <w:r>
        <w:rPr>
          <w:rFonts w:hint="eastAsia" w:ascii="Times New Roman" w:hAnsi="Times New Roman" w:eastAsia="宋体" w:cs="Times New Roman"/>
          <w:kern w:val="0"/>
          <w:sz w:val="21"/>
          <w:szCs w:val="21"/>
          <w:vertAlign w:val="superscript"/>
          <w:lang w:val="en-US" w:eastAsia="zh-CN"/>
        </w:rPr>
        <w:t>,</w:t>
      </w: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rPr>
        <w:t>,</w:t>
      </w:r>
      <w:r>
        <w:rPr>
          <w:rFonts w:hint="eastAsia" w:ascii="Times New Roman" w:hAnsi="Times New Roman" w:eastAsia="宋体" w:cs="Times New Roman"/>
          <w:kern w:val="0"/>
          <w:sz w:val="21"/>
          <w:szCs w:val="21"/>
          <w:lang w:val="en-US" w:eastAsia="zh-CN"/>
        </w:rPr>
        <w:t xml:space="preserve"> </w:t>
      </w:r>
      <w:r>
        <w:rPr>
          <w:rFonts w:hint="default" w:ascii="Times New Roman" w:hAnsi="Times New Roman" w:eastAsia="宋体" w:cs="Times New Roman"/>
          <w:kern w:val="0"/>
          <w:sz w:val="21"/>
          <w:szCs w:val="21"/>
        </w:rPr>
        <w:t>Lu Bian</w:t>
      </w:r>
      <w:r>
        <w:rPr>
          <w:rFonts w:hint="default" w:ascii="Times New Roman" w:hAnsi="Times New Roman" w:eastAsia="宋体" w:cs="Times New Roman"/>
          <w:kern w:val="0"/>
          <w:sz w:val="21"/>
          <w:szCs w:val="21"/>
          <w:vertAlign w:val="superscript"/>
        </w:rPr>
        <w:t>1,#</w:t>
      </w:r>
      <w:r>
        <w:rPr>
          <w:rFonts w:hint="default" w:ascii="Times New Roman" w:hAnsi="Times New Roman" w:eastAsia="宋体" w:cs="Times New Roman"/>
          <w:kern w:val="0"/>
          <w:sz w:val="21"/>
          <w:szCs w:val="21"/>
        </w:rPr>
        <w:t xml:space="preserve">, </w:t>
      </w:r>
      <w:r>
        <w:rPr>
          <w:rFonts w:hint="eastAsia" w:ascii="Times New Roman" w:hAnsi="Times New Roman" w:eastAsia="宋体" w:cs="Times New Roman"/>
          <w:kern w:val="0"/>
          <w:sz w:val="21"/>
          <w:szCs w:val="21"/>
          <w:lang w:val="en-US" w:eastAsia="zh-CN"/>
        </w:rPr>
        <w:t>Yiqing Wu</w:t>
      </w:r>
      <w:r>
        <w:rPr>
          <w:rFonts w:hint="eastAsia" w:ascii="Times New Roman" w:hAnsi="Times New Roman" w:eastAsia="宋体" w:cs="Times New Roman"/>
          <w:kern w:val="0"/>
          <w:sz w:val="21"/>
          <w:szCs w:val="21"/>
          <w:vertAlign w:val="superscript"/>
          <w:lang w:val="en-US" w:eastAsia="zh-CN"/>
        </w:rPr>
        <w:t>1</w:t>
      </w:r>
      <w:r>
        <w:rPr>
          <w:rFonts w:hint="eastAsia" w:ascii="Times New Roman" w:hAnsi="Times New Roman" w:eastAsia="宋体" w:cs="Times New Roman"/>
          <w:kern w:val="0"/>
          <w:sz w:val="21"/>
          <w:szCs w:val="21"/>
          <w:lang w:val="en-US" w:eastAsia="zh-CN"/>
        </w:rPr>
        <w:t>, Huiya Mei</w:t>
      </w:r>
      <w:r>
        <w:rPr>
          <w:rFonts w:hint="eastAsia" w:ascii="Times New Roman" w:hAnsi="Times New Roman" w:eastAsia="宋体" w:cs="Times New Roman"/>
          <w:kern w:val="0"/>
          <w:sz w:val="21"/>
          <w:szCs w:val="21"/>
          <w:vertAlign w:val="superscript"/>
          <w:lang w:val="en-US" w:eastAsia="zh-CN"/>
        </w:rPr>
        <w:t>1</w:t>
      </w:r>
      <w:r>
        <w:rPr>
          <w:rFonts w:hint="default" w:ascii="Times New Roman" w:hAnsi="Times New Roman" w:eastAsia="宋体" w:cs="Times New Roman"/>
          <w:kern w:val="0"/>
          <w:sz w:val="21"/>
          <w:szCs w:val="21"/>
        </w:rPr>
        <w:t xml:space="preserve">, </w:t>
      </w:r>
      <w:r>
        <w:rPr>
          <w:rFonts w:hint="eastAsia" w:ascii="Times New Roman" w:hAnsi="Times New Roman" w:eastAsia="宋体" w:cs="Times New Roman"/>
          <w:kern w:val="0"/>
          <w:sz w:val="21"/>
          <w:szCs w:val="21"/>
          <w:lang w:val="en-US" w:eastAsia="zh-CN"/>
        </w:rPr>
        <w:t>Yanjun Zhou</w:t>
      </w:r>
      <w:r>
        <w:rPr>
          <w:rFonts w:hint="eastAsia" w:ascii="Times New Roman" w:hAnsi="Times New Roman" w:eastAsia="宋体" w:cs="Times New Roman"/>
          <w:kern w:val="0"/>
          <w:sz w:val="21"/>
          <w:szCs w:val="21"/>
          <w:vertAlign w:val="superscript"/>
          <w:lang w:val="en-US" w:eastAsia="zh-CN"/>
        </w:rPr>
        <w:t>2</w:t>
      </w:r>
      <w:r>
        <w:rPr>
          <w:rFonts w:hint="eastAsia" w:ascii="Times New Roman" w:hAnsi="Times New Roman" w:eastAsia="宋体" w:cs="Times New Roman"/>
          <w:kern w:val="0"/>
          <w:sz w:val="21"/>
          <w:szCs w:val="21"/>
          <w:lang w:val="en-US" w:eastAsia="zh-CN"/>
        </w:rPr>
        <w:t xml:space="preserve">, </w:t>
      </w:r>
      <w:r>
        <w:rPr>
          <w:rFonts w:hint="default" w:ascii="Times New Roman" w:hAnsi="Times New Roman" w:eastAsia="宋体" w:cs="Times New Roman"/>
          <w:kern w:val="0"/>
          <w:sz w:val="21"/>
          <w:szCs w:val="21"/>
        </w:rPr>
        <w:t>Zhijian Zhang</w:t>
      </w:r>
      <w:r>
        <w:rPr>
          <w:rFonts w:hint="default" w:ascii="Times New Roman" w:hAnsi="Times New Roman" w:eastAsia="宋体" w:cs="Times New Roman"/>
          <w:kern w:val="0"/>
          <w:sz w:val="21"/>
          <w:szCs w:val="21"/>
          <w:vertAlign w:val="superscript"/>
        </w:rPr>
        <w:t>3</w:t>
      </w:r>
      <w:r>
        <w:rPr>
          <w:rFonts w:hint="default" w:ascii="Times New Roman" w:hAnsi="Times New Roman" w:eastAsia="宋体" w:cs="Times New Roman"/>
          <w:kern w:val="0"/>
          <w:sz w:val="21"/>
          <w:szCs w:val="21"/>
        </w:rPr>
        <w:t xml:space="preserve">, </w:t>
      </w:r>
      <w:r>
        <w:rPr>
          <w:rFonts w:hint="eastAsia" w:ascii="Times New Roman" w:hAnsi="Times New Roman" w:eastAsia="宋体" w:cs="Times New Roman"/>
          <w:kern w:val="0"/>
          <w:sz w:val="21"/>
          <w:szCs w:val="21"/>
          <w:lang w:val="en-US" w:eastAsia="zh-CN"/>
        </w:rPr>
        <w:t>Qing, Wang</w:t>
      </w:r>
      <w:r>
        <w:rPr>
          <w:rFonts w:hint="eastAsia" w:ascii="Times New Roman" w:hAnsi="Times New Roman" w:eastAsia="宋体" w:cs="Times New Roman"/>
          <w:kern w:val="0"/>
          <w:sz w:val="21"/>
          <w:szCs w:val="21"/>
          <w:vertAlign w:val="superscript"/>
          <w:lang w:val="en-US" w:eastAsia="zh-CN"/>
        </w:rPr>
        <w:t>4</w:t>
      </w:r>
      <w:r>
        <w:rPr>
          <w:rFonts w:hint="eastAsia" w:ascii="Times New Roman" w:hAnsi="Times New Roman" w:eastAsia="宋体" w:cs="Times New Roman"/>
          <w:kern w:val="0"/>
          <w:sz w:val="21"/>
          <w:szCs w:val="21"/>
          <w:lang w:val="en-US" w:eastAsia="zh-CN"/>
        </w:rPr>
        <w:t xml:space="preserve">, </w:t>
      </w:r>
      <w:r>
        <w:rPr>
          <w:rFonts w:hint="default" w:ascii="Times New Roman" w:hAnsi="Times New Roman" w:eastAsia="宋体" w:cs="Times New Roman"/>
          <w:kern w:val="0"/>
          <w:sz w:val="21"/>
          <w:szCs w:val="21"/>
        </w:rPr>
        <w:t>Peng Zhao</w:t>
      </w:r>
      <w:r>
        <w:rPr>
          <w:rFonts w:hint="eastAsia" w:ascii="Times New Roman" w:hAnsi="Times New Roman" w:eastAsia="宋体" w:cs="Times New Roman"/>
          <w:kern w:val="0"/>
          <w:sz w:val="21"/>
          <w:szCs w:val="21"/>
          <w:vertAlign w:val="superscript"/>
          <w:lang w:val="en-US" w:eastAsia="zh-CN"/>
        </w:rPr>
        <w:t>2,</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kern w:val="0"/>
          <w:sz w:val="21"/>
          <w:szCs w:val="21"/>
        </w:rPr>
        <w:t xml:space="preserve">, </w:t>
      </w:r>
      <w:r>
        <w:rPr>
          <w:rFonts w:hint="default" w:ascii="Times New Roman" w:hAnsi="Times New Roman" w:eastAsia="宋体" w:cs="Times New Roman"/>
          <w:sz w:val="21"/>
          <w:szCs w:val="21"/>
        </w:rPr>
        <w:t>Xiaojie Lu</w:t>
      </w:r>
      <w:r>
        <w:rPr>
          <w:rFonts w:hint="default" w:ascii="Times New Roman" w:hAnsi="Times New Roman" w:eastAsia="宋体" w:cs="Times New Roman"/>
          <w:sz w:val="21"/>
          <w:szCs w:val="21"/>
          <w:vertAlign w:val="superscript"/>
        </w:rPr>
        <w:t>1,</w:t>
      </w:r>
      <w:r>
        <w:rPr>
          <w:rFonts w:hint="eastAsia"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vertAlign w:val="superscript"/>
        </w:rPr>
        <w:t>,$</w:t>
      </w:r>
    </w:p>
    <w:p>
      <w:pPr>
        <w:autoSpaceDE w:val="0"/>
        <w:autoSpaceDN w:val="0"/>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vertAlign w:val="superscript"/>
        </w:rPr>
        <w:t xml:space="preserve">1 </w:t>
      </w:r>
      <w:r>
        <w:rPr>
          <w:rFonts w:hint="default" w:ascii="Times New Roman" w:hAnsi="Times New Roman" w:eastAsia="宋体" w:cs="Times New Roman"/>
          <w:kern w:val="0"/>
          <w:sz w:val="21"/>
          <w:szCs w:val="21"/>
        </w:rPr>
        <w:t>Jiangnan University Affiliated Hospital, Wuxi, Jiangsu Province, 214122, P. R. China</w:t>
      </w:r>
    </w:p>
    <w:p>
      <w:pPr>
        <w:autoSpaceDE w:val="0"/>
        <w:autoSpaceDN w:val="0"/>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vertAlign w:val="superscript"/>
        </w:rPr>
        <w:t xml:space="preserve">2 </w:t>
      </w:r>
      <w:r>
        <w:rPr>
          <w:rFonts w:hint="default" w:ascii="Times New Roman" w:hAnsi="Times New Roman" w:eastAsia="宋体" w:cs="Times New Roman"/>
          <w:kern w:val="0"/>
          <w:sz w:val="21"/>
          <w:szCs w:val="21"/>
        </w:rPr>
        <w:t>School of Medicine, Jiangnan University, Wuxi, Jiangsu Province, 214122, P. R. China</w:t>
      </w:r>
    </w:p>
    <w:p>
      <w:pPr>
        <w:autoSpaceDE w:val="0"/>
        <w:autoSpaceDN w:val="0"/>
        <w:spacing w:line="360" w:lineRule="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vertAlign w:val="superscript"/>
          <w:lang w:val="en-US" w:eastAsia="zh-CN"/>
        </w:rPr>
        <w:t xml:space="preserve">3 </w:t>
      </w:r>
      <w:r>
        <w:rPr>
          <w:rFonts w:hint="default" w:ascii="Times New Roman" w:hAnsi="Times New Roman" w:eastAsia="宋体" w:cs="Times New Roman"/>
          <w:kern w:val="0"/>
          <w:sz w:val="21"/>
          <w:szCs w:val="21"/>
        </w:rPr>
        <w:t>School of Medicine, Jiangsu University, Zhenjiang, Jiangsu Province, 212001, P. R. China</w:t>
      </w:r>
    </w:p>
    <w:p>
      <w:pPr>
        <w:autoSpaceDE w:val="0"/>
        <w:autoSpaceDN w:val="0"/>
        <w:spacing w:line="360" w:lineRule="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vertAlign w:val="superscript"/>
          <w:lang w:val="en-US" w:eastAsia="zh-CN"/>
        </w:rPr>
        <w:t>4</w:t>
      </w:r>
      <w:r>
        <w:rPr>
          <w:rFonts w:hint="default" w:ascii="Times New Roman" w:hAnsi="Times New Roman" w:eastAsia="宋体" w:cs="Times New Roman"/>
          <w:kern w:val="0"/>
          <w:sz w:val="21"/>
          <w:szCs w:val="21"/>
        </w:rPr>
        <w:t>Affiliated Wuxi Second Hospital, Nanjing Medical University, Wuxi, Jiangsu Province, 214122, P. R. China</w:t>
      </w:r>
    </w:p>
    <w:p>
      <w:pPr>
        <w:autoSpaceDE w:val="0"/>
        <w:autoSpaceDN w:val="0"/>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vertAlign w:val="superscript"/>
        </w:rPr>
        <w:t>$</w:t>
      </w:r>
      <w:r>
        <w:rPr>
          <w:rFonts w:hint="default" w:ascii="Times New Roman" w:hAnsi="Times New Roman" w:eastAsia="宋体" w:cs="Times New Roman"/>
          <w:kern w:val="0"/>
          <w:sz w:val="21"/>
          <w:szCs w:val="21"/>
        </w:rPr>
        <w:t xml:space="preserve"> Correspondence to Xiaojie Lu. E-mail: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"mailto:luxiaojiewuxi@163.com" </w:instrText>
      </w:r>
      <w:r>
        <w:rPr>
          <w:rFonts w:hint="default" w:ascii="Times New Roman" w:hAnsi="Times New Roman" w:cs="Times New Roman"/>
          <w:sz w:val="21"/>
          <w:szCs w:val="21"/>
        </w:rPr>
        <w:fldChar w:fldCharType="separate"/>
      </w:r>
      <w:r>
        <w:rPr>
          <w:rStyle w:val="4"/>
          <w:rFonts w:hint="default" w:ascii="Times New Roman" w:hAnsi="Times New Roman" w:eastAsia="宋体" w:cs="Times New Roman"/>
          <w:kern w:val="0"/>
          <w:sz w:val="21"/>
          <w:szCs w:val="21"/>
        </w:rPr>
        <w:t>luxiaojiewuxi@163.com</w:t>
      </w:r>
      <w:r>
        <w:rPr>
          <w:rStyle w:val="4"/>
          <w:rFonts w:hint="default" w:ascii="Times New Roman" w:hAnsi="Times New Roman" w:eastAsia="宋体" w:cs="Times New Roman"/>
          <w:kern w:val="0"/>
          <w:sz w:val="21"/>
          <w:szCs w:val="21"/>
        </w:rPr>
        <w:fldChar w:fldCharType="end"/>
      </w:r>
    </w:p>
    <w:p>
      <w:pPr>
        <w:autoSpaceDE w:val="0"/>
        <w:autoSpaceDN w:val="0"/>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vertAlign w:val="superscript"/>
        </w:rPr>
        <w:t xml:space="preserve"># </w:t>
      </w:r>
      <w:r>
        <w:rPr>
          <w:rFonts w:hint="default" w:ascii="Times New Roman" w:hAnsi="Times New Roman" w:eastAsia="宋体" w:cs="Times New Roman"/>
          <w:kern w:val="0"/>
          <w:sz w:val="21"/>
          <w:szCs w:val="21"/>
        </w:rPr>
        <w:t xml:space="preserve">Wentao Shi, </w:t>
      </w:r>
      <w:r>
        <w:rPr>
          <w:rFonts w:hint="eastAsia" w:ascii="Times New Roman" w:hAnsi="Times New Roman" w:eastAsia="宋体" w:cs="Times New Roman"/>
          <w:sz w:val="21"/>
          <w:szCs w:val="21"/>
          <w:lang w:val="en-US" w:eastAsia="zh-CN"/>
        </w:rPr>
        <w:t>Zhe Wang</w:t>
      </w:r>
      <w:r>
        <w:rPr>
          <w:rFonts w:hint="default" w:ascii="Times New Roman" w:hAnsi="Times New Roman" w:eastAsia="宋体" w:cs="Times New Roman"/>
          <w:kern w:val="0"/>
          <w:sz w:val="21"/>
          <w:szCs w:val="21"/>
        </w:rPr>
        <w:t xml:space="preserve"> and Lu Bian contributed equally to this work.</w:t>
      </w:r>
    </w:p>
    <w:p>
      <w:pPr>
        <w:autoSpaceDE w:val="0"/>
        <w:autoSpaceDN w:val="0"/>
        <w:spacing w:line="360" w:lineRule="auto"/>
        <w:rPr>
          <w:rFonts w:hint="default" w:ascii="Times New Roman" w:hAnsi="Times New Roman" w:eastAsia="宋体" w:cs="Times New Roman"/>
          <w:kern w:val="0"/>
          <w:sz w:val="21"/>
          <w:szCs w:val="21"/>
        </w:rPr>
      </w:pPr>
      <w:bookmarkStart w:id="0" w:name="_GoBack"/>
      <w:bookmarkEnd w:id="0"/>
    </w:p>
    <w:p>
      <w:pPr>
        <w:rPr>
          <w:rFonts w:hint="default" w:eastAsiaTheme="minorEastAsia"/>
          <w:sz w:val="21"/>
          <w:szCs w:val="21"/>
          <w:lang w:val="en-US" w:eastAsia="zh-CN"/>
        </w:rPr>
      </w:pPr>
    </w:p>
    <w:p>
      <w:pPr>
        <w:rPr>
          <w:rFonts w:hint="default" w:eastAsia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Fig. S1 Western blot showing the effectiveness of YAP knockdown in EMSCs.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Fig. S2 The expression of YAP and TG2 was analyzed using Western blotting.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Fig. S 3 Merged images showing YAP (red), TRITC (phalloidin) and UV (DAPI) fluorescence.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Fig. S4 Overexpression of TG2 promoted EMSC osteogenesis. On day 14 postinduction, the calcified nodules and ALP activity were visualized using ARS and ALP staining, respectively, and the results showed that overexpression of TG2 promoted EMSC osteogenesis.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Fig. S 5 Cell supernatants were monitored for HSP secretion using ELISA.</w:t>
      </w:r>
    </w:p>
    <w:p>
      <w:pPr>
        <w:rPr>
          <w:rFonts w:hint="default" w:eastAsia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255FEB"/>
    <w:rsid w:val="060E2646"/>
    <w:rsid w:val="0C9962FE"/>
    <w:rsid w:val="199D7602"/>
    <w:rsid w:val="1C791190"/>
    <w:rsid w:val="3B255FEB"/>
    <w:rsid w:val="44FB4404"/>
    <w:rsid w:val="4D5A4D8C"/>
    <w:rsid w:val="51AB6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2021-06-21T14:37:00Z</dcterms:created>
  <dc:creator>追魂柳叶刀</dc:creator>
  <cp:lastModifiedBy>追魂柳叶刀</cp:lastModifiedBy>
  <dcterms:modified xsi:type="dcterms:W3CDTF">2021-07-01T04:18:29Z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A8613D0D4EA043D6BDCE6DD77E8337EC</vt:lpwstr>
  </property>
</Properties>
</file>