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495D8" w14:textId="77777777" w:rsidR="00D3044E" w:rsidRPr="00E17357" w:rsidRDefault="00D3044E" w:rsidP="00D3044E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5C78">
        <w:rPr>
          <w:rFonts w:ascii="Times New Roman" w:eastAsia="Times New Roman" w:hAnsi="Times New Roman" w:cs="Times New Roman"/>
          <w:b/>
          <w:sz w:val="24"/>
          <w:szCs w:val="24"/>
        </w:rPr>
        <w:t>Supplementary File:</w:t>
      </w:r>
    </w:p>
    <w:p w14:paraId="3F45612D" w14:textId="77777777" w:rsidR="00D3044E" w:rsidRPr="00245C78" w:rsidRDefault="00D3044E" w:rsidP="00D3044E">
      <w:pPr>
        <w:spacing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5C7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114300" distR="114300" wp14:anchorId="1E5B4316" wp14:editId="2E295472">
            <wp:extent cx="5346065" cy="225425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63ADCFCA" w14:textId="77777777" w:rsidR="00D3044E" w:rsidRPr="00245C78" w:rsidRDefault="00D3044E" w:rsidP="00D3044E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5C78">
        <w:rPr>
          <w:rFonts w:ascii="Times New Roman" w:eastAsia="Times New Roman" w:hAnsi="Times New Roman" w:cs="Times New Roman"/>
          <w:sz w:val="24"/>
          <w:szCs w:val="24"/>
        </w:rPr>
        <w:t>Supplementary Figure 1: Acute pancreatitis-related age-adjusted mortality rates (AAMRs) per 1,000,000 stratified by ethnicity in the United States, 1999 to 2020.</w:t>
      </w:r>
    </w:p>
    <w:p w14:paraId="1E096D6C" w14:textId="77777777" w:rsidR="00D3044E" w:rsidRPr="00245C78" w:rsidRDefault="00D3044E" w:rsidP="00D3044E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B7976E" w14:textId="77777777" w:rsidR="00D3044E" w:rsidRPr="00245C78" w:rsidRDefault="00D3044E" w:rsidP="00D3044E">
      <w:pPr>
        <w:spacing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5C7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114300" distR="114300" wp14:anchorId="02996EC3" wp14:editId="533ADE0B">
            <wp:extent cx="5267960" cy="2735580"/>
            <wp:effectExtent l="0" t="0" r="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203956F1" w14:textId="77777777" w:rsidR="00D3044E" w:rsidRPr="00245C78" w:rsidRDefault="00D3044E" w:rsidP="00D3044E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5C78">
        <w:rPr>
          <w:rFonts w:ascii="Times New Roman" w:eastAsia="Times New Roman" w:hAnsi="Times New Roman" w:cs="Times New Roman"/>
          <w:sz w:val="24"/>
          <w:szCs w:val="24"/>
        </w:rPr>
        <w:t>Supplementary Figure 2: Acute pancreatitis-related age-adjusted mortality rates (AAMRs) per 1,000,000 stratified by census region in the United States, 1999 to 2020.</w:t>
      </w:r>
    </w:p>
    <w:p w14:paraId="52C91851" w14:textId="77777777" w:rsidR="00D3044E" w:rsidRPr="00245C78" w:rsidRDefault="00D3044E" w:rsidP="00D3044E">
      <w:pPr>
        <w:spacing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bookmarkStart w:id="0" w:name="_heading=h.gjdgxs" w:colFirst="0" w:colLast="0"/>
    <w:bookmarkEnd w:id="0"/>
    <w:p w14:paraId="07B6C12F" w14:textId="77777777" w:rsidR="00D3044E" w:rsidRPr="00245C78" w:rsidRDefault="00D3044E" w:rsidP="00D3044E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5C78">
        <w:rPr>
          <w:rFonts w:ascii="Times New Roman" w:eastAsia="Times New Roman" w:hAnsi="Times New Roman" w:cs="Times New Roman"/>
          <w:sz w:val="24"/>
          <w:szCs w:val="24"/>
        </w:rPr>
        <w:object w:dxaOrig="9951" w:dyaOrig="6360" w14:anchorId="2D2431B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1034" o:spid="_x0000_i1025" type="#_x0000_t75" style="width:497.5pt;height:318pt;visibility:visible;mso-wrap-distance-left:0;mso-wrap-distance-right:0" o:ole="">
            <v:imagedata r:id="rId6" o:title="" embosscolor="white"/>
          </v:shape>
          <o:OLEObject Type="Embed" ProgID="Excel.Sheet.8" ShapeID="1034" DrawAspect="Content" ObjectID="_1810569034" r:id="rId7"/>
        </w:object>
      </w:r>
    </w:p>
    <w:p w14:paraId="091DCED1" w14:textId="77777777" w:rsidR="00D3044E" w:rsidRDefault="00D3044E" w:rsidP="00D3044E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5C78">
        <w:rPr>
          <w:rFonts w:ascii="Times New Roman" w:eastAsia="Times New Roman" w:hAnsi="Times New Roman" w:cs="Times New Roman"/>
          <w:sz w:val="24"/>
          <w:szCs w:val="24"/>
        </w:rPr>
        <w:t>Supplementary Figure 3: State-level acute pancreatitis-related age-adjusted mortality rates (AAMRs) per 1,000,000 in the United States, 1999 to 2020.</w:t>
      </w:r>
    </w:p>
    <w:p w14:paraId="5793D7E1" w14:textId="77777777" w:rsidR="00D3044E" w:rsidRPr="007E70DF" w:rsidRDefault="00D3044E" w:rsidP="00D3044E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CDB62B" w14:textId="77777777" w:rsidR="00D3044E" w:rsidRPr="00245C78" w:rsidRDefault="00D3044E" w:rsidP="00D3044E">
      <w:pPr>
        <w:spacing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5C78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4653679" wp14:editId="09E78EB6">
            <wp:extent cx="5303520" cy="2867025"/>
            <wp:effectExtent l="0" t="0" r="0" b="0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7D26AE2" w14:textId="77777777" w:rsidR="00D3044E" w:rsidRPr="00245C78" w:rsidRDefault="00D3044E" w:rsidP="00D3044E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5C78">
        <w:rPr>
          <w:rFonts w:ascii="Times New Roman" w:eastAsia="Times New Roman" w:hAnsi="Times New Roman" w:cs="Times New Roman"/>
          <w:sz w:val="24"/>
          <w:szCs w:val="24"/>
        </w:rPr>
        <w:t>Supplementary Figure 4: Acute pancreatitis-related age-adjusted mortality rates (AAMRs) per 1,000,000 stratified by urbanization in the United States, 1999 to 2020.</w:t>
      </w:r>
    </w:p>
    <w:p w14:paraId="7229581B" w14:textId="77777777" w:rsidR="004E780C" w:rsidRDefault="004E780C"/>
    <w:sectPr w:rsidR="004E780C" w:rsidSect="00D3044E">
      <w:pgSz w:w="12240" w:h="15840"/>
      <w:pgMar w:top="1440" w:right="1440" w:bottom="1440" w:left="1440" w:header="709" w:footer="709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44E"/>
    <w:rsid w:val="002978F5"/>
    <w:rsid w:val="003852CF"/>
    <w:rsid w:val="004461AC"/>
    <w:rsid w:val="004E780C"/>
    <w:rsid w:val="00D3044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3BF2F"/>
  <w15:chartTrackingRefBased/>
  <w15:docId w15:val="{A1D9B7A3-B7A9-43C2-909D-CDD287C0F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44E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04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04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044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044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044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044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044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044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044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04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04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04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04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04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04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04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04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04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04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304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044E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304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044E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304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044E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304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04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04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04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oleObject" Target="embeddings/Microsoft_Excel_97-2003_Worksheet.xls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r.%20Sajjad%20Ul%20Hasan\Downloads\Latino%20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r.%20Sajjad%20Ul%20Hasan\Downloads\AP%20Census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r.%20Sajjad%20Ul%20Hasan\Downloads\Copy%20of%20Urbanization(1)%20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v>Hispano or Latino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'Line Chart'!$B$2:$B$23</c:f>
              <c:numCache>
                <c:formatCode>General</c:formatCode>
                <c:ptCount val="22"/>
                <c:pt idx="0">
                  <c:v>1999</c:v>
                </c:pt>
                <c:pt idx="1">
                  <c:v>2000</c:v>
                </c:pt>
                <c:pt idx="2">
                  <c:v>2001</c:v>
                </c:pt>
                <c:pt idx="3">
                  <c:v>2002</c:v>
                </c:pt>
                <c:pt idx="4">
                  <c:v>2003</c:v>
                </c:pt>
                <c:pt idx="5">
                  <c:v>2004</c:v>
                </c:pt>
                <c:pt idx="6">
                  <c:v>2005</c:v>
                </c:pt>
                <c:pt idx="7">
                  <c:v>2006</c:v>
                </c:pt>
                <c:pt idx="8">
                  <c:v>2007</c:v>
                </c:pt>
                <c:pt idx="9">
                  <c:v>2008</c:v>
                </c:pt>
                <c:pt idx="10">
                  <c:v>2009</c:v>
                </c:pt>
                <c:pt idx="11">
                  <c:v>2010</c:v>
                </c:pt>
                <c:pt idx="12">
                  <c:v>2011</c:v>
                </c:pt>
                <c:pt idx="13">
                  <c:v>2012</c:v>
                </c:pt>
                <c:pt idx="14">
                  <c:v>2013</c:v>
                </c:pt>
                <c:pt idx="15">
                  <c:v>2014</c:v>
                </c:pt>
                <c:pt idx="16">
                  <c:v>2015</c:v>
                </c:pt>
                <c:pt idx="17">
                  <c:v>2016</c:v>
                </c:pt>
                <c:pt idx="18">
                  <c:v>2017</c:v>
                </c:pt>
                <c:pt idx="19">
                  <c:v>2018</c:v>
                </c:pt>
                <c:pt idx="20">
                  <c:v>2019</c:v>
                </c:pt>
                <c:pt idx="21">
                  <c:v>2020</c:v>
                </c:pt>
              </c:numCache>
            </c:numRef>
          </c:cat>
          <c:val>
            <c:numRef>
              <c:f>'Line Chart'!$C$2:$C$23</c:f>
              <c:numCache>
                <c:formatCode>General</c:formatCode>
                <c:ptCount val="22"/>
                <c:pt idx="0">
                  <c:v>21.12</c:v>
                </c:pt>
                <c:pt idx="1">
                  <c:v>21.625</c:v>
                </c:pt>
                <c:pt idx="2">
                  <c:v>21.17</c:v>
                </c:pt>
                <c:pt idx="3">
                  <c:v>22.445</c:v>
                </c:pt>
                <c:pt idx="4">
                  <c:v>19.989000000000001</c:v>
                </c:pt>
                <c:pt idx="5">
                  <c:v>16.939</c:v>
                </c:pt>
                <c:pt idx="6">
                  <c:v>17.472000000000001</c:v>
                </c:pt>
                <c:pt idx="7">
                  <c:v>18.43</c:v>
                </c:pt>
                <c:pt idx="8">
                  <c:v>16.167000000000002</c:v>
                </c:pt>
                <c:pt idx="9">
                  <c:v>15.509</c:v>
                </c:pt>
                <c:pt idx="10">
                  <c:v>15.182</c:v>
                </c:pt>
                <c:pt idx="11">
                  <c:v>15.614000000000001</c:v>
                </c:pt>
                <c:pt idx="12">
                  <c:v>14.22</c:v>
                </c:pt>
                <c:pt idx="13">
                  <c:v>15.045999999999999</c:v>
                </c:pt>
                <c:pt idx="14">
                  <c:v>11.994</c:v>
                </c:pt>
                <c:pt idx="15">
                  <c:v>13.314</c:v>
                </c:pt>
                <c:pt idx="16">
                  <c:v>12.167999999999999</c:v>
                </c:pt>
                <c:pt idx="17">
                  <c:v>11.842000000000001</c:v>
                </c:pt>
                <c:pt idx="18">
                  <c:v>12.385</c:v>
                </c:pt>
                <c:pt idx="19">
                  <c:v>10.965999999999999</c:v>
                </c:pt>
                <c:pt idx="20">
                  <c:v>11.332000000000001</c:v>
                </c:pt>
                <c:pt idx="21">
                  <c:v>14.477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6E2-415F-8A77-10471F695B91}"/>
            </c:ext>
          </c:extLst>
        </c:ser>
        <c:ser>
          <c:idx val="1"/>
          <c:order val="1"/>
          <c:tx>
            <c:v>Not Hispanic or Latino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'Line Chart'!$B$2:$B$23</c:f>
              <c:numCache>
                <c:formatCode>General</c:formatCode>
                <c:ptCount val="22"/>
                <c:pt idx="0">
                  <c:v>1999</c:v>
                </c:pt>
                <c:pt idx="1">
                  <c:v>2000</c:v>
                </c:pt>
                <c:pt idx="2">
                  <c:v>2001</c:v>
                </c:pt>
                <c:pt idx="3">
                  <c:v>2002</c:v>
                </c:pt>
                <c:pt idx="4">
                  <c:v>2003</c:v>
                </c:pt>
                <c:pt idx="5">
                  <c:v>2004</c:v>
                </c:pt>
                <c:pt idx="6">
                  <c:v>2005</c:v>
                </c:pt>
                <c:pt idx="7">
                  <c:v>2006</c:v>
                </c:pt>
                <c:pt idx="8">
                  <c:v>2007</c:v>
                </c:pt>
                <c:pt idx="9">
                  <c:v>2008</c:v>
                </c:pt>
                <c:pt idx="10">
                  <c:v>2009</c:v>
                </c:pt>
                <c:pt idx="11">
                  <c:v>2010</c:v>
                </c:pt>
                <c:pt idx="12">
                  <c:v>2011</c:v>
                </c:pt>
                <c:pt idx="13">
                  <c:v>2012</c:v>
                </c:pt>
                <c:pt idx="14">
                  <c:v>2013</c:v>
                </c:pt>
                <c:pt idx="15">
                  <c:v>2014</c:v>
                </c:pt>
                <c:pt idx="16">
                  <c:v>2015</c:v>
                </c:pt>
                <c:pt idx="17">
                  <c:v>2016</c:v>
                </c:pt>
                <c:pt idx="18">
                  <c:v>2017</c:v>
                </c:pt>
                <c:pt idx="19">
                  <c:v>2018</c:v>
                </c:pt>
                <c:pt idx="20">
                  <c:v>2019</c:v>
                </c:pt>
                <c:pt idx="21">
                  <c:v>2020</c:v>
                </c:pt>
              </c:numCache>
            </c:numRef>
          </c:cat>
          <c:val>
            <c:numRef>
              <c:f>'Line Chart'!$C$24:$C$45</c:f>
              <c:numCache>
                <c:formatCode>General</c:formatCode>
                <c:ptCount val="22"/>
                <c:pt idx="0">
                  <c:v>21.832999999999998</c:v>
                </c:pt>
                <c:pt idx="1">
                  <c:v>21.876999999999999</c:v>
                </c:pt>
                <c:pt idx="2">
                  <c:v>23.306000000000001</c:v>
                </c:pt>
                <c:pt idx="3">
                  <c:v>22.071999999999999</c:v>
                </c:pt>
                <c:pt idx="4">
                  <c:v>21.585999999999999</c:v>
                </c:pt>
                <c:pt idx="5">
                  <c:v>20.071000000000002</c:v>
                </c:pt>
                <c:pt idx="6">
                  <c:v>19.260999999999999</c:v>
                </c:pt>
                <c:pt idx="7">
                  <c:v>18.939</c:v>
                </c:pt>
                <c:pt idx="8">
                  <c:v>17.503</c:v>
                </c:pt>
                <c:pt idx="9">
                  <c:v>18.146000000000001</c:v>
                </c:pt>
                <c:pt idx="10">
                  <c:v>17.489000000000001</c:v>
                </c:pt>
                <c:pt idx="11">
                  <c:v>17.870999999999999</c:v>
                </c:pt>
                <c:pt idx="12">
                  <c:v>17.254000000000001</c:v>
                </c:pt>
                <c:pt idx="13">
                  <c:v>16.32</c:v>
                </c:pt>
                <c:pt idx="14">
                  <c:v>15.676</c:v>
                </c:pt>
                <c:pt idx="15">
                  <c:v>15.478999999999999</c:v>
                </c:pt>
                <c:pt idx="16">
                  <c:v>15.913</c:v>
                </c:pt>
                <c:pt idx="17">
                  <c:v>15.593</c:v>
                </c:pt>
                <c:pt idx="18">
                  <c:v>15.194000000000001</c:v>
                </c:pt>
                <c:pt idx="19">
                  <c:v>15.192</c:v>
                </c:pt>
                <c:pt idx="20">
                  <c:v>15.292</c:v>
                </c:pt>
                <c:pt idx="21">
                  <c:v>18.672999999999998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6E2-415F-8A77-10471F695B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6392544"/>
        <c:axId val="56374240"/>
      </c:lineChart>
      <c:catAx>
        <c:axId val="563925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18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6374240"/>
        <c:crosses val="autoZero"/>
        <c:auto val="1"/>
        <c:lblAlgn val="ctr"/>
        <c:lblOffset val="100"/>
        <c:noMultiLvlLbl val="0"/>
      </c:catAx>
      <c:valAx>
        <c:axId val="563742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63925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1"/>
        <c:ser>
          <c:idx val="0"/>
          <c:order val="0"/>
          <c:tx>
            <c:v>Northeast</c:v>
          </c:tx>
          <c:spPr>
            <a:ln w="28575" cmpd="sng">
              <a:solidFill>
                <a:schemeClr val="accent3"/>
              </a:solidFill>
            </a:ln>
          </c:spPr>
          <c:marker>
            <c:symbol val="circle"/>
            <c:size val="5"/>
            <c:spPr>
              <a:solidFill>
                <a:schemeClr val="accent3"/>
              </a:solidFill>
              <a:ln cmpd="sng">
                <a:solidFill>
                  <a:schemeClr val="accent3"/>
                </a:solidFill>
              </a:ln>
            </c:spPr>
          </c:marker>
          <c:cat>
            <c:numRef>
              <c:f>'[AP Census.xlsx]Line Chart'!$B$2:$B$23</c:f>
              <c:numCache>
                <c:formatCode>General</c:formatCode>
                <c:ptCount val="22"/>
                <c:pt idx="0">
                  <c:v>1999</c:v>
                </c:pt>
                <c:pt idx="1">
                  <c:v>2000</c:v>
                </c:pt>
                <c:pt idx="2">
                  <c:v>2001</c:v>
                </c:pt>
                <c:pt idx="3">
                  <c:v>2002</c:v>
                </c:pt>
                <c:pt idx="4">
                  <c:v>2003</c:v>
                </c:pt>
                <c:pt idx="5">
                  <c:v>2004</c:v>
                </c:pt>
                <c:pt idx="6">
                  <c:v>2005</c:v>
                </c:pt>
                <c:pt idx="7">
                  <c:v>2006</c:v>
                </c:pt>
                <c:pt idx="8">
                  <c:v>2007</c:v>
                </c:pt>
                <c:pt idx="9">
                  <c:v>2008</c:v>
                </c:pt>
                <c:pt idx="10">
                  <c:v>2009</c:v>
                </c:pt>
                <c:pt idx="11">
                  <c:v>2010</c:v>
                </c:pt>
                <c:pt idx="12">
                  <c:v>2011</c:v>
                </c:pt>
                <c:pt idx="13">
                  <c:v>2012</c:v>
                </c:pt>
                <c:pt idx="14">
                  <c:v>2013</c:v>
                </c:pt>
                <c:pt idx="15">
                  <c:v>2014</c:v>
                </c:pt>
                <c:pt idx="16">
                  <c:v>2015</c:v>
                </c:pt>
                <c:pt idx="17">
                  <c:v>2016</c:v>
                </c:pt>
                <c:pt idx="18">
                  <c:v>2017</c:v>
                </c:pt>
                <c:pt idx="19">
                  <c:v>2018</c:v>
                </c:pt>
                <c:pt idx="20">
                  <c:v>2019</c:v>
                </c:pt>
                <c:pt idx="21">
                  <c:v>2020</c:v>
                </c:pt>
              </c:numCache>
            </c:numRef>
          </c:cat>
          <c:val>
            <c:numRef>
              <c:f>'[AP Census.xlsx]Line Chart'!$C$2:$C$23</c:f>
              <c:numCache>
                <c:formatCode>General</c:formatCode>
                <c:ptCount val="22"/>
                <c:pt idx="0">
                  <c:v>19.378</c:v>
                </c:pt>
                <c:pt idx="1">
                  <c:v>20.210999999999999</c:v>
                </c:pt>
                <c:pt idx="2">
                  <c:v>19.350000000000001</c:v>
                </c:pt>
                <c:pt idx="3">
                  <c:v>19</c:v>
                </c:pt>
                <c:pt idx="4">
                  <c:v>18.21</c:v>
                </c:pt>
                <c:pt idx="5">
                  <c:v>16.628</c:v>
                </c:pt>
                <c:pt idx="6">
                  <c:v>16.282</c:v>
                </c:pt>
                <c:pt idx="7">
                  <c:v>16.353000000000002</c:v>
                </c:pt>
                <c:pt idx="8">
                  <c:v>13.973000000000001</c:v>
                </c:pt>
                <c:pt idx="9">
                  <c:v>14.178000000000001</c:v>
                </c:pt>
                <c:pt idx="10">
                  <c:v>14.005000000000001</c:v>
                </c:pt>
                <c:pt idx="11">
                  <c:v>13.971</c:v>
                </c:pt>
                <c:pt idx="12">
                  <c:v>13.948</c:v>
                </c:pt>
                <c:pt idx="13">
                  <c:v>12.923</c:v>
                </c:pt>
                <c:pt idx="14">
                  <c:v>12.621</c:v>
                </c:pt>
                <c:pt idx="15">
                  <c:v>12.811999999999999</c:v>
                </c:pt>
                <c:pt idx="16">
                  <c:v>12.32</c:v>
                </c:pt>
                <c:pt idx="17">
                  <c:v>11.996</c:v>
                </c:pt>
                <c:pt idx="18">
                  <c:v>11.326000000000001</c:v>
                </c:pt>
                <c:pt idx="19">
                  <c:v>11.022</c:v>
                </c:pt>
                <c:pt idx="20">
                  <c:v>11.670999999999999</c:v>
                </c:pt>
                <c:pt idx="21">
                  <c:v>14.378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5A7-490B-94E3-D1F699583FD4}"/>
            </c:ext>
          </c:extLst>
        </c:ser>
        <c:ser>
          <c:idx val="1"/>
          <c:order val="1"/>
          <c:tx>
            <c:v>Midwest</c:v>
          </c:tx>
          <c:spPr>
            <a:ln w="28575" cmpd="sng">
              <a:solidFill>
                <a:schemeClr val="accent1"/>
              </a:solidFill>
            </a:ln>
          </c:spPr>
          <c:marker>
            <c:symbol val="circle"/>
            <c:size val="5"/>
            <c:spPr>
              <a:solidFill>
                <a:schemeClr val="accent1"/>
              </a:solidFill>
              <a:ln cmpd="sng">
                <a:solidFill>
                  <a:schemeClr val="accent1"/>
                </a:solidFill>
              </a:ln>
            </c:spPr>
          </c:marker>
          <c:cat>
            <c:numRef>
              <c:f>'[AP Census.xlsx]Line Chart'!$B$2:$B$23</c:f>
              <c:numCache>
                <c:formatCode>General</c:formatCode>
                <c:ptCount val="22"/>
                <c:pt idx="0">
                  <c:v>1999</c:v>
                </c:pt>
                <c:pt idx="1">
                  <c:v>2000</c:v>
                </c:pt>
                <c:pt idx="2">
                  <c:v>2001</c:v>
                </c:pt>
                <c:pt idx="3">
                  <c:v>2002</c:v>
                </c:pt>
                <c:pt idx="4">
                  <c:v>2003</c:v>
                </c:pt>
                <c:pt idx="5">
                  <c:v>2004</c:v>
                </c:pt>
                <c:pt idx="6">
                  <c:v>2005</c:v>
                </c:pt>
                <c:pt idx="7">
                  <c:v>2006</c:v>
                </c:pt>
                <c:pt idx="8">
                  <c:v>2007</c:v>
                </c:pt>
                <c:pt idx="9">
                  <c:v>2008</c:v>
                </c:pt>
                <c:pt idx="10">
                  <c:v>2009</c:v>
                </c:pt>
                <c:pt idx="11">
                  <c:v>2010</c:v>
                </c:pt>
                <c:pt idx="12">
                  <c:v>2011</c:v>
                </c:pt>
                <c:pt idx="13">
                  <c:v>2012</c:v>
                </c:pt>
                <c:pt idx="14">
                  <c:v>2013</c:v>
                </c:pt>
                <c:pt idx="15">
                  <c:v>2014</c:v>
                </c:pt>
                <c:pt idx="16">
                  <c:v>2015</c:v>
                </c:pt>
                <c:pt idx="17">
                  <c:v>2016</c:v>
                </c:pt>
                <c:pt idx="18">
                  <c:v>2017</c:v>
                </c:pt>
                <c:pt idx="19">
                  <c:v>2018</c:v>
                </c:pt>
                <c:pt idx="20">
                  <c:v>2019</c:v>
                </c:pt>
                <c:pt idx="21">
                  <c:v>2020</c:v>
                </c:pt>
              </c:numCache>
            </c:numRef>
          </c:cat>
          <c:val>
            <c:numRef>
              <c:f>'[AP Census.xlsx]Line Chart'!$C$24:$C$45</c:f>
              <c:numCache>
                <c:formatCode>General</c:formatCode>
                <c:ptCount val="22"/>
                <c:pt idx="0">
                  <c:v>21.06</c:v>
                </c:pt>
                <c:pt idx="1">
                  <c:v>21.885000000000002</c:v>
                </c:pt>
                <c:pt idx="2">
                  <c:v>22.463999999999999</c:v>
                </c:pt>
                <c:pt idx="3">
                  <c:v>22.173999999999999</c:v>
                </c:pt>
                <c:pt idx="4">
                  <c:v>20.960999999999999</c:v>
                </c:pt>
                <c:pt idx="5">
                  <c:v>20.86</c:v>
                </c:pt>
                <c:pt idx="6">
                  <c:v>19.041</c:v>
                </c:pt>
                <c:pt idx="7">
                  <c:v>17.722999999999999</c:v>
                </c:pt>
                <c:pt idx="8">
                  <c:v>17.120999999999999</c:v>
                </c:pt>
                <c:pt idx="9">
                  <c:v>18.640999999999998</c:v>
                </c:pt>
                <c:pt idx="10">
                  <c:v>17.539000000000001</c:v>
                </c:pt>
                <c:pt idx="11">
                  <c:v>18.573</c:v>
                </c:pt>
                <c:pt idx="12">
                  <c:v>17.146999999999998</c:v>
                </c:pt>
                <c:pt idx="13">
                  <c:v>16.317</c:v>
                </c:pt>
                <c:pt idx="14">
                  <c:v>15.442</c:v>
                </c:pt>
                <c:pt idx="15">
                  <c:v>15.855</c:v>
                </c:pt>
                <c:pt idx="16">
                  <c:v>15.952999999999999</c:v>
                </c:pt>
                <c:pt idx="17">
                  <c:v>15.503</c:v>
                </c:pt>
                <c:pt idx="18">
                  <c:v>15.632</c:v>
                </c:pt>
                <c:pt idx="19">
                  <c:v>15.313000000000001</c:v>
                </c:pt>
                <c:pt idx="20">
                  <c:v>15.409000000000001</c:v>
                </c:pt>
                <c:pt idx="21">
                  <c:v>18.856999999999999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5A7-490B-94E3-D1F699583FD4}"/>
            </c:ext>
          </c:extLst>
        </c:ser>
        <c:ser>
          <c:idx val="2"/>
          <c:order val="2"/>
          <c:tx>
            <c:v>South</c:v>
          </c:tx>
          <c:spPr>
            <a:ln w="28575" cmpd="sng">
              <a:solidFill>
                <a:schemeClr val="accent2"/>
              </a:solidFill>
            </a:ln>
          </c:spPr>
          <c:marker>
            <c:symbol val="circle"/>
            <c:size val="5"/>
            <c:spPr>
              <a:solidFill>
                <a:schemeClr val="accent2"/>
              </a:solidFill>
              <a:ln cmpd="sng">
                <a:solidFill>
                  <a:schemeClr val="accent2"/>
                </a:solidFill>
              </a:ln>
            </c:spPr>
          </c:marker>
          <c:cat>
            <c:numRef>
              <c:f>'[AP Census.xlsx]Line Chart'!$B$2:$B$23</c:f>
              <c:numCache>
                <c:formatCode>General</c:formatCode>
                <c:ptCount val="22"/>
                <c:pt idx="0">
                  <c:v>1999</c:v>
                </c:pt>
                <c:pt idx="1">
                  <c:v>2000</c:v>
                </c:pt>
                <c:pt idx="2">
                  <c:v>2001</c:v>
                </c:pt>
                <c:pt idx="3">
                  <c:v>2002</c:v>
                </c:pt>
                <c:pt idx="4">
                  <c:v>2003</c:v>
                </c:pt>
                <c:pt idx="5">
                  <c:v>2004</c:v>
                </c:pt>
                <c:pt idx="6">
                  <c:v>2005</c:v>
                </c:pt>
                <c:pt idx="7">
                  <c:v>2006</c:v>
                </c:pt>
                <c:pt idx="8">
                  <c:v>2007</c:v>
                </c:pt>
                <c:pt idx="9">
                  <c:v>2008</c:v>
                </c:pt>
                <c:pt idx="10">
                  <c:v>2009</c:v>
                </c:pt>
                <c:pt idx="11">
                  <c:v>2010</c:v>
                </c:pt>
                <c:pt idx="12">
                  <c:v>2011</c:v>
                </c:pt>
                <c:pt idx="13">
                  <c:v>2012</c:v>
                </c:pt>
                <c:pt idx="14">
                  <c:v>2013</c:v>
                </c:pt>
                <c:pt idx="15">
                  <c:v>2014</c:v>
                </c:pt>
                <c:pt idx="16">
                  <c:v>2015</c:v>
                </c:pt>
                <c:pt idx="17">
                  <c:v>2016</c:v>
                </c:pt>
                <c:pt idx="18">
                  <c:v>2017</c:v>
                </c:pt>
                <c:pt idx="19">
                  <c:v>2018</c:v>
                </c:pt>
                <c:pt idx="20">
                  <c:v>2019</c:v>
                </c:pt>
                <c:pt idx="21">
                  <c:v>2020</c:v>
                </c:pt>
              </c:numCache>
            </c:numRef>
          </c:cat>
          <c:val>
            <c:numRef>
              <c:f>'[AP Census.xlsx]Line Chart'!$C$46:$C$67</c:f>
              <c:numCache>
                <c:formatCode>General</c:formatCode>
                <c:ptCount val="22"/>
                <c:pt idx="0">
                  <c:v>24.943999999999999</c:v>
                </c:pt>
                <c:pt idx="1">
                  <c:v>24.734000000000002</c:v>
                </c:pt>
                <c:pt idx="2">
                  <c:v>27.183</c:v>
                </c:pt>
                <c:pt idx="3">
                  <c:v>24.876000000000001</c:v>
                </c:pt>
                <c:pt idx="4">
                  <c:v>24.109000000000002</c:v>
                </c:pt>
                <c:pt idx="5">
                  <c:v>21.315000000000001</c:v>
                </c:pt>
                <c:pt idx="6">
                  <c:v>20.748999999999999</c:v>
                </c:pt>
                <c:pt idx="7">
                  <c:v>21.373000000000001</c:v>
                </c:pt>
                <c:pt idx="8">
                  <c:v>19.832000000000001</c:v>
                </c:pt>
                <c:pt idx="9">
                  <c:v>19.952999999999999</c:v>
                </c:pt>
                <c:pt idx="10">
                  <c:v>18.995999999999999</c:v>
                </c:pt>
                <c:pt idx="11">
                  <c:v>19.21</c:v>
                </c:pt>
                <c:pt idx="12">
                  <c:v>18.388999999999999</c:v>
                </c:pt>
                <c:pt idx="13">
                  <c:v>17.765999999999998</c:v>
                </c:pt>
                <c:pt idx="14">
                  <c:v>16.948</c:v>
                </c:pt>
                <c:pt idx="15">
                  <c:v>16.064</c:v>
                </c:pt>
                <c:pt idx="16">
                  <c:v>16.773</c:v>
                </c:pt>
                <c:pt idx="17">
                  <c:v>16.574999999999999</c:v>
                </c:pt>
                <c:pt idx="18">
                  <c:v>16.292000000000002</c:v>
                </c:pt>
                <c:pt idx="19">
                  <c:v>16.123999999999999</c:v>
                </c:pt>
                <c:pt idx="20">
                  <c:v>15.788</c:v>
                </c:pt>
                <c:pt idx="21">
                  <c:v>19.263000000000002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5A7-490B-94E3-D1F699583FD4}"/>
            </c:ext>
          </c:extLst>
        </c:ser>
        <c:ser>
          <c:idx val="3"/>
          <c:order val="3"/>
          <c:tx>
            <c:v>West</c:v>
          </c:tx>
          <c:spPr>
            <a:ln w="28575" cmpd="sng">
              <a:solidFill>
                <a:schemeClr val="accent4"/>
              </a:solidFill>
            </a:ln>
          </c:spPr>
          <c:marker>
            <c:symbol val="circle"/>
            <c:size val="5"/>
            <c:spPr>
              <a:solidFill>
                <a:schemeClr val="accent4"/>
              </a:solidFill>
              <a:ln cmpd="sng">
                <a:solidFill>
                  <a:schemeClr val="accent4"/>
                </a:solidFill>
              </a:ln>
            </c:spPr>
          </c:marker>
          <c:cat>
            <c:numRef>
              <c:f>'[AP Census.xlsx]Line Chart'!$B$2:$B$23</c:f>
              <c:numCache>
                <c:formatCode>General</c:formatCode>
                <c:ptCount val="22"/>
                <c:pt idx="0">
                  <c:v>1999</c:v>
                </c:pt>
                <c:pt idx="1">
                  <c:v>2000</c:v>
                </c:pt>
                <c:pt idx="2">
                  <c:v>2001</c:v>
                </c:pt>
                <c:pt idx="3">
                  <c:v>2002</c:v>
                </c:pt>
                <c:pt idx="4">
                  <c:v>2003</c:v>
                </c:pt>
                <c:pt idx="5">
                  <c:v>2004</c:v>
                </c:pt>
                <c:pt idx="6">
                  <c:v>2005</c:v>
                </c:pt>
                <c:pt idx="7">
                  <c:v>2006</c:v>
                </c:pt>
                <c:pt idx="8">
                  <c:v>2007</c:v>
                </c:pt>
                <c:pt idx="9">
                  <c:v>2008</c:v>
                </c:pt>
                <c:pt idx="10">
                  <c:v>2009</c:v>
                </c:pt>
                <c:pt idx="11">
                  <c:v>2010</c:v>
                </c:pt>
                <c:pt idx="12">
                  <c:v>2011</c:v>
                </c:pt>
                <c:pt idx="13">
                  <c:v>2012</c:v>
                </c:pt>
                <c:pt idx="14">
                  <c:v>2013</c:v>
                </c:pt>
                <c:pt idx="15">
                  <c:v>2014</c:v>
                </c:pt>
                <c:pt idx="16">
                  <c:v>2015</c:v>
                </c:pt>
                <c:pt idx="17">
                  <c:v>2016</c:v>
                </c:pt>
                <c:pt idx="18">
                  <c:v>2017</c:v>
                </c:pt>
                <c:pt idx="19">
                  <c:v>2018</c:v>
                </c:pt>
                <c:pt idx="20">
                  <c:v>2019</c:v>
                </c:pt>
                <c:pt idx="21">
                  <c:v>2020</c:v>
                </c:pt>
              </c:numCache>
            </c:numRef>
          </c:cat>
          <c:val>
            <c:numRef>
              <c:f>'[AP Census.xlsx]Line Chart'!$C$68:$C$89</c:f>
              <c:numCache>
                <c:formatCode>General</c:formatCode>
                <c:ptCount val="22"/>
                <c:pt idx="0">
                  <c:v>19.815999999999999</c:v>
                </c:pt>
                <c:pt idx="1">
                  <c:v>18.61</c:v>
                </c:pt>
                <c:pt idx="2">
                  <c:v>20.975999999999999</c:v>
                </c:pt>
                <c:pt idx="3">
                  <c:v>20.359000000000002</c:v>
                </c:pt>
                <c:pt idx="4">
                  <c:v>20.731000000000002</c:v>
                </c:pt>
                <c:pt idx="5">
                  <c:v>18.893000000000001</c:v>
                </c:pt>
                <c:pt idx="6">
                  <c:v>18.902000000000001</c:v>
                </c:pt>
                <c:pt idx="7">
                  <c:v>17.882000000000001</c:v>
                </c:pt>
                <c:pt idx="8">
                  <c:v>16.22</c:v>
                </c:pt>
                <c:pt idx="9">
                  <c:v>16.849</c:v>
                </c:pt>
                <c:pt idx="10">
                  <c:v>16.791</c:v>
                </c:pt>
                <c:pt idx="11">
                  <c:v>17.126000000000001</c:v>
                </c:pt>
                <c:pt idx="12">
                  <c:v>16.605</c:v>
                </c:pt>
                <c:pt idx="13">
                  <c:v>16.035</c:v>
                </c:pt>
                <c:pt idx="14">
                  <c:v>14.356</c:v>
                </c:pt>
                <c:pt idx="15">
                  <c:v>15.166</c:v>
                </c:pt>
                <c:pt idx="16">
                  <c:v>15.522</c:v>
                </c:pt>
                <c:pt idx="17">
                  <c:v>14.89</c:v>
                </c:pt>
                <c:pt idx="18">
                  <c:v>14.407</c:v>
                </c:pt>
                <c:pt idx="19">
                  <c:v>14.433999999999999</c:v>
                </c:pt>
                <c:pt idx="20">
                  <c:v>14.646000000000001</c:v>
                </c:pt>
                <c:pt idx="21">
                  <c:v>18.207000000000001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75A7-490B-94E3-D1F699583F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46294819"/>
        <c:axId val="1639568240"/>
      </c:lineChart>
      <c:catAx>
        <c:axId val="946294819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 lvl="0">
                  <a:defRPr sz="1000" b="0" i="0">
                    <a:solidFill>
                      <a:srgbClr val="000000"/>
                    </a:solidFill>
                    <a:latin typeface="+mn-lt"/>
                  </a:defRPr>
                </a:pPr>
                <a:r>
                  <a:rPr lang="en-US" sz="1000" b="0" i="0">
                    <a:solidFill>
                      <a:srgbClr val="000000"/>
                    </a:solidFill>
                    <a:latin typeface="+mn-lt"/>
                  </a:rPr>
                  <a:t>Year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txPr>
          <a:bodyPr rot="-1800000"/>
          <a:lstStyle/>
          <a:p>
            <a:pPr lvl="0">
              <a:defRPr sz="900" b="0" i="0">
                <a:solidFill>
                  <a:srgbClr val="000000"/>
                </a:solidFill>
                <a:latin typeface="+mn-lt"/>
              </a:defRPr>
            </a:pPr>
            <a:endParaRPr lang="en-US"/>
          </a:p>
        </c:txPr>
        <c:crossAx val="1639568240"/>
        <c:crosses val="autoZero"/>
        <c:auto val="1"/>
        <c:lblAlgn val="ctr"/>
        <c:lblOffset val="100"/>
        <c:noMultiLvlLbl val="1"/>
      </c:catAx>
      <c:valAx>
        <c:axId val="1639568240"/>
        <c:scaling>
          <c:orientation val="minMax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 lvl="0">
                  <a:defRPr sz="1000" b="0" i="0">
                    <a:solidFill>
                      <a:srgbClr val="000000"/>
                    </a:solidFill>
                    <a:latin typeface="+mn-lt"/>
                  </a:defRPr>
                </a:pPr>
                <a:r>
                  <a:rPr lang="en-US" sz="1000" b="0" i="0">
                    <a:solidFill>
                      <a:srgbClr val="000000"/>
                    </a:solidFill>
                    <a:latin typeface="+mn-lt"/>
                  </a:rPr>
                  <a:t>Census Region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txPr>
          <a:bodyPr/>
          <a:lstStyle/>
          <a:p>
            <a:pPr lvl="0">
              <a:defRPr sz="900" b="0" i="0">
                <a:solidFill>
                  <a:srgbClr val="000000"/>
                </a:solidFill>
                <a:latin typeface="+mn-lt"/>
              </a:defRPr>
            </a:pPr>
            <a:endParaRPr lang="en-US"/>
          </a:p>
        </c:txPr>
        <c:crossAx val="946294819"/>
        <c:crosses val="autoZero"/>
        <c:crossBetween val="between"/>
      </c:valAx>
    </c:plotArea>
    <c:legend>
      <c:legendPos val="b"/>
      <c:overlay val="0"/>
      <c:txPr>
        <a:bodyPr/>
        <a:lstStyle/>
        <a:p>
          <a:pPr lvl="0">
            <a:defRPr sz="900" b="0" i="0">
              <a:solidFill>
                <a:srgbClr val="1A1A1A"/>
              </a:solidFill>
              <a:latin typeface="+mn-lt"/>
            </a:defRPr>
          </a:pPr>
          <a:endParaRPr lang="en-US"/>
        </a:p>
      </c:txPr>
    </c:legend>
    <c:plotVisOnly val="1"/>
    <c:dispBlanksAs val="zero"/>
    <c:showDLblsOverMax val="1"/>
  </c:chart>
  <c:spPr>
    <a:ln>
      <a:noFill/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1"/>
        <c:ser>
          <c:idx val="0"/>
          <c:order val="0"/>
          <c:tx>
            <c:v>Large Central Metro</c:v>
          </c:tx>
          <c:spPr>
            <a:ln w="25400" cap="rnd" cmpd="sng" algn="ctr">
              <a:solidFill>
                <a:schemeClr val="accent1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6350" cap="flat" cmpd="sng" algn="ctr">
                <a:solidFill>
                  <a:schemeClr val="accent1"/>
                </a:solidFill>
                <a:prstDash val="solid"/>
                <a:round/>
              </a:ln>
              <a:effectLst/>
            </c:spPr>
          </c:marker>
          <c:cat>
            <c:numRef>
              <c:f>'[Copy of Urbanization(1) (1).xlsx]Line Graph'!$B$2:$B$23</c:f>
              <c:numCache>
                <c:formatCode>General</c:formatCode>
                <c:ptCount val="22"/>
                <c:pt idx="0">
                  <c:v>1999</c:v>
                </c:pt>
                <c:pt idx="1">
                  <c:v>2000</c:v>
                </c:pt>
                <c:pt idx="2">
                  <c:v>2001</c:v>
                </c:pt>
                <c:pt idx="3">
                  <c:v>2002</c:v>
                </c:pt>
                <c:pt idx="4">
                  <c:v>2003</c:v>
                </c:pt>
                <c:pt idx="5">
                  <c:v>2004</c:v>
                </c:pt>
                <c:pt idx="6">
                  <c:v>2005</c:v>
                </c:pt>
                <c:pt idx="7">
                  <c:v>2006</c:v>
                </c:pt>
                <c:pt idx="8">
                  <c:v>2007</c:v>
                </c:pt>
                <c:pt idx="9">
                  <c:v>2008</c:v>
                </c:pt>
                <c:pt idx="10">
                  <c:v>2009</c:v>
                </c:pt>
                <c:pt idx="11">
                  <c:v>2010</c:v>
                </c:pt>
                <c:pt idx="12">
                  <c:v>2011</c:v>
                </c:pt>
                <c:pt idx="13">
                  <c:v>2012</c:v>
                </c:pt>
                <c:pt idx="14">
                  <c:v>2013</c:v>
                </c:pt>
                <c:pt idx="15">
                  <c:v>2014</c:v>
                </c:pt>
                <c:pt idx="16">
                  <c:v>2015</c:v>
                </c:pt>
                <c:pt idx="17">
                  <c:v>2016</c:v>
                </c:pt>
                <c:pt idx="18">
                  <c:v>2017</c:v>
                </c:pt>
                <c:pt idx="19">
                  <c:v>2018</c:v>
                </c:pt>
                <c:pt idx="20">
                  <c:v>2019</c:v>
                </c:pt>
                <c:pt idx="21">
                  <c:v>2020</c:v>
                </c:pt>
              </c:numCache>
            </c:numRef>
          </c:cat>
          <c:val>
            <c:numRef>
              <c:f>'[Copy of Urbanization(1) (1).xlsx]Line Graph'!$C$2:$C$23</c:f>
              <c:numCache>
                <c:formatCode>General</c:formatCode>
                <c:ptCount val="22"/>
                <c:pt idx="0">
                  <c:v>22.382999999999999</c:v>
                </c:pt>
                <c:pt idx="1">
                  <c:v>21.318999999999999</c:v>
                </c:pt>
                <c:pt idx="2">
                  <c:v>23.14</c:v>
                </c:pt>
                <c:pt idx="3">
                  <c:v>21.244</c:v>
                </c:pt>
                <c:pt idx="4">
                  <c:v>20.170000000000002</c:v>
                </c:pt>
                <c:pt idx="5">
                  <c:v>19.239999999999998</c:v>
                </c:pt>
                <c:pt idx="6">
                  <c:v>18.533000000000001</c:v>
                </c:pt>
                <c:pt idx="7">
                  <c:v>17.652000000000001</c:v>
                </c:pt>
                <c:pt idx="8">
                  <c:v>15.759</c:v>
                </c:pt>
                <c:pt idx="9">
                  <c:v>15.879</c:v>
                </c:pt>
                <c:pt idx="10">
                  <c:v>15.569000000000001</c:v>
                </c:pt>
                <c:pt idx="11">
                  <c:v>15.193</c:v>
                </c:pt>
                <c:pt idx="12">
                  <c:v>15.693</c:v>
                </c:pt>
                <c:pt idx="13">
                  <c:v>15.263999999999999</c:v>
                </c:pt>
                <c:pt idx="14">
                  <c:v>13.565</c:v>
                </c:pt>
                <c:pt idx="15">
                  <c:v>14.122999999999999</c:v>
                </c:pt>
                <c:pt idx="16">
                  <c:v>13.621</c:v>
                </c:pt>
                <c:pt idx="17">
                  <c:v>12.472</c:v>
                </c:pt>
                <c:pt idx="18">
                  <c:v>12.907</c:v>
                </c:pt>
                <c:pt idx="19">
                  <c:v>12.06</c:v>
                </c:pt>
                <c:pt idx="20">
                  <c:v>12.307</c:v>
                </c:pt>
                <c:pt idx="21">
                  <c:v>15.238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E72-4E01-93F4-64F1B3059DDE}"/>
            </c:ext>
          </c:extLst>
        </c:ser>
        <c:ser>
          <c:idx val="1"/>
          <c:order val="1"/>
          <c:tx>
            <c:v>Micropolitan (Nonmetro)</c:v>
          </c:tx>
          <c:spPr>
            <a:ln w="25400" cap="rnd" cmpd="sng" algn="ctr">
              <a:solidFill>
                <a:schemeClr val="accent2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6350" cap="flat" cmpd="sng" algn="ctr">
                <a:solidFill>
                  <a:schemeClr val="accent2"/>
                </a:solidFill>
                <a:prstDash val="solid"/>
                <a:round/>
              </a:ln>
              <a:effectLst/>
            </c:spPr>
          </c:marker>
          <c:cat>
            <c:numRef>
              <c:f>'[Copy of Urbanization(1) (1).xlsx]Line Graph'!$B$2:$B$23</c:f>
              <c:numCache>
                <c:formatCode>General</c:formatCode>
                <c:ptCount val="22"/>
                <c:pt idx="0">
                  <c:v>1999</c:v>
                </c:pt>
                <c:pt idx="1">
                  <c:v>2000</c:v>
                </c:pt>
                <c:pt idx="2">
                  <c:v>2001</c:v>
                </c:pt>
                <c:pt idx="3">
                  <c:v>2002</c:v>
                </c:pt>
                <c:pt idx="4">
                  <c:v>2003</c:v>
                </c:pt>
                <c:pt idx="5">
                  <c:v>2004</c:v>
                </c:pt>
                <c:pt idx="6">
                  <c:v>2005</c:v>
                </c:pt>
                <c:pt idx="7">
                  <c:v>2006</c:v>
                </c:pt>
                <c:pt idx="8">
                  <c:v>2007</c:v>
                </c:pt>
                <c:pt idx="9">
                  <c:v>2008</c:v>
                </c:pt>
                <c:pt idx="10">
                  <c:v>2009</c:v>
                </c:pt>
                <c:pt idx="11">
                  <c:v>2010</c:v>
                </c:pt>
                <c:pt idx="12">
                  <c:v>2011</c:v>
                </c:pt>
                <c:pt idx="13">
                  <c:v>2012</c:v>
                </c:pt>
                <c:pt idx="14">
                  <c:v>2013</c:v>
                </c:pt>
                <c:pt idx="15">
                  <c:v>2014</c:v>
                </c:pt>
                <c:pt idx="16">
                  <c:v>2015</c:v>
                </c:pt>
                <c:pt idx="17">
                  <c:v>2016</c:v>
                </c:pt>
                <c:pt idx="18">
                  <c:v>2017</c:v>
                </c:pt>
                <c:pt idx="19">
                  <c:v>2018</c:v>
                </c:pt>
                <c:pt idx="20">
                  <c:v>2019</c:v>
                </c:pt>
                <c:pt idx="21">
                  <c:v>2020</c:v>
                </c:pt>
              </c:numCache>
            </c:numRef>
          </c:cat>
          <c:val>
            <c:numRef>
              <c:f>'[Copy of Urbanization(1) (1).xlsx]Line Graph'!$C$24:$C$45</c:f>
              <c:numCache>
                <c:formatCode>General</c:formatCode>
                <c:ptCount val="22"/>
                <c:pt idx="0">
                  <c:v>22.471</c:v>
                </c:pt>
                <c:pt idx="1">
                  <c:v>24.259</c:v>
                </c:pt>
                <c:pt idx="2">
                  <c:v>25.457999999999998</c:v>
                </c:pt>
                <c:pt idx="3">
                  <c:v>25.364999999999998</c:v>
                </c:pt>
                <c:pt idx="4">
                  <c:v>23.853999999999999</c:v>
                </c:pt>
                <c:pt idx="5">
                  <c:v>22.431999999999999</c:v>
                </c:pt>
                <c:pt idx="6">
                  <c:v>21.402999999999999</c:v>
                </c:pt>
                <c:pt idx="7">
                  <c:v>21.917000000000002</c:v>
                </c:pt>
                <c:pt idx="8">
                  <c:v>20.446999999999999</c:v>
                </c:pt>
                <c:pt idx="9">
                  <c:v>22.11</c:v>
                </c:pt>
                <c:pt idx="10">
                  <c:v>20.382000000000001</c:v>
                </c:pt>
                <c:pt idx="11">
                  <c:v>20.806999999999999</c:v>
                </c:pt>
                <c:pt idx="12">
                  <c:v>20.738</c:v>
                </c:pt>
                <c:pt idx="13">
                  <c:v>20.713999999999999</c:v>
                </c:pt>
                <c:pt idx="14">
                  <c:v>18.827999999999999</c:v>
                </c:pt>
                <c:pt idx="15">
                  <c:v>19.648</c:v>
                </c:pt>
                <c:pt idx="16">
                  <c:v>20.45</c:v>
                </c:pt>
                <c:pt idx="17">
                  <c:v>20.911999999999999</c:v>
                </c:pt>
                <c:pt idx="18">
                  <c:v>18.262</c:v>
                </c:pt>
                <c:pt idx="19">
                  <c:v>16.96</c:v>
                </c:pt>
                <c:pt idx="20">
                  <c:v>18.72</c:v>
                </c:pt>
                <c:pt idx="21">
                  <c:v>22.908999999999999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E72-4E01-93F4-64F1B3059D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50256227"/>
        <c:axId val="655716015"/>
      </c:lineChart>
      <c:catAx>
        <c:axId val="1450256227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lvl="0">
                  <a:defRPr sz="1000" b="0" i="0" u="none" strike="noStrike" kern="1200" baseline="0">
                    <a:solidFill>
                      <a:srgbClr val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solidFill>
              <a:schemeClr val="tx1"/>
            </a:solidFill>
            <a:prstDash val="solid"/>
            <a:round/>
          </a:ln>
          <a:effectLst/>
        </c:spPr>
        <c:txPr>
          <a:bodyPr rot="-1800000" spcFirstLastPara="1" vertOverflow="ellipsis" wrap="square" anchor="ctr" anchorCtr="1"/>
          <a:lstStyle/>
          <a:p>
            <a:pPr lvl="0">
              <a:defRPr sz="900" b="0" i="0" u="none" strike="noStrike" kern="1200" baseline="0">
                <a:solidFill>
                  <a:srgbClr val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5716015"/>
        <c:crosses val="autoZero"/>
        <c:auto val="1"/>
        <c:lblAlgn val="ctr"/>
        <c:lblOffset val="100"/>
        <c:noMultiLvlLbl val="1"/>
      </c:catAx>
      <c:valAx>
        <c:axId val="655716015"/>
        <c:scaling>
          <c:orientation val="minMax"/>
        </c:scaling>
        <c:delete val="0"/>
        <c:axPos val="l"/>
        <c:majorGridlines>
          <c:spPr>
            <a:ln w="6350" cap="flat" cmpd="sng" algn="ctr">
              <a:solidFill>
                <a:srgbClr val="B7B7B7"/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0"/>
                  <a:t>Urbanization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solidFill>
              <a:schemeClr val="tx1"/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 lvl="0">
              <a:defRPr sz="900" b="0" i="0" u="none" strike="noStrike" kern="1200" baseline="0">
                <a:solidFill>
                  <a:srgbClr val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0256227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lvl="0">
            <a:defRPr sz="900" b="0" i="0" u="none" strike="noStrike" kern="1200" baseline="0">
              <a:solidFill>
                <a:srgbClr val="1A1A1A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zero"/>
    <c:showDLblsOverMax val="1"/>
  </c:chart>
  <c:spPr>
    <a:solidFill>
      <a:schemeClr val="bg1"/>
    </a:solidFill>
    <a:ln w="6350" cap="flat" cmpd="sng" algn="ctr">
      <a:noFill/>
      <a:prstDash val="solid"/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2025-06-04T13:34:00Z</dcterms:created>
  <dcterms:modified xsi:type="dcterms:W3CDTF">2025-06-04T13:34:00Z</dcterms:modified>
</cp:coreProperties>
</file>