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AFE5">
      <w:pPr>
        <w:spacing w:line="360" w:lineRule="auto"/>
        <w:jc w:val="both"/>
      </w:pPr>
      <w:bookmarkStart w:id="0" w:name="_GoBack"/>
      <w:bookmarkEnd w:id="0"/>
      <w:r>
        <w:rPr>
          <w:rFonts w:ascii="Times New Roman" w:hAnsi="Times New Roman" w:cs="Times New Roman"/>
          <w:kern w:val="0"/>
          <w:sz w:val="24"/>
          <w:szCs w:val="24"/>
          <w:highlight w:val="none"/>
        </w:rPr>
        <w:t>BLNK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highlight w:val="none"/>
        </w:rPr>
        <w:t>was downregulated in cHL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</w:rPr>
        <w:t xml:space="preserve">, which </w:t>
      </w:r>
      <w:r>
        <w:rPr>
          <w:rFonts w:ascii="Times New Roman" w:hAnsi="Times New Roman" w:cs="Times New Roman"/>
          <w:kern w:val="0"/>
          <w:sz w:val="24"/>
          <w:szCs w:val="24"/>
          <w:highlight w:val="none"/>
        </w:rPr>
        <w:t xml:space="preserve">was the prognostic variable 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</w:rPr>
        <w:t xml:space="preserve">on PFS </w:t>
      </w:r>
      <w:r>
        <w:rPr>
          <w:rFonts w:ascii="Times New Roman" w:hAnsi="Times New Roman" w:cs="Times New Roman"/>
          <w:kern w:val="0"/>
          <w:sz w:val="24"/>
          <w:szCs w:val="24"/>
          <w:highlight w:val="none"/>
        </w:rPr>
        <w:t xml:space="preserve">of 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</w:rPr>
        <w:t>cHL</w:t>
      </w:r>
      <w:r>
        <w:rPr>
          <w:rFonts w:ascii="Times New Roman" w:hAnsi="Times New Roman" w:cs="Times New Roman"/>
          <w:kern w:val="0"/>
          <w:sz w:val="24"/>
          <w:szCs w:val="24"/>
          <w:highlight w:val="none"/>
        </w:rPr>
        <w:t>.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highlight w:val="none"/>
        </w:rPr>
        <w:t>This study developed a BLNK-based prognostic model capable of predicting PFS outcomes in cHL patients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</w:rPr>
        <w:t xml:space="preserve">, and </w:t>
      </w:r>
      <w:r>
        <w:rPr>
          <w:rFonts w:ascii="Times New Roman" w:hAnsi="Times New Roman" w:cs="Times New Roman"/>
          <w:kern w:val="0"/>
          <w:sz w:val="24"/>
          <w:szCs w:val="24"/>
          <w:highlight w:val="none"/>
        </w:rPr>
        <w:t>screened the sensitive population of BLNK for PFS survival prediction.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D509"/>
    <w:rsid w:val="777521E1"/>
    <w:rsid w:val="7FE7D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2025-05-25T22:33:00Z</dcterms:created>
  <dc:creator>Adeline</dc:creator>
  <cp:lastModifiedBy>Adeline</cp:lastModifiedBy>
  <dcterms:modified xsi:type="dcterms:W3CDTF">2025-05-25T22:43:12Z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8C34350D9D6B85CF272A33684E2A4222_41</vt:lpwstr>
  </property>
</Properties>
</file>