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30F2F" w14:textId="3D24FED2" w:rsidR="00471EE2" w:rsidRDefault="00471EE2" w:rsidP="00471EE2">
      <w:pPr>
        <w:spacing w:line="36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</w:rPr>
        <w:drawing>
          <wp:inline distT="0" distB="0" distL="0" distR="0" wp14:anchorId="1F538ADD" wp14:editId="65D87C4A">
            <wp:extent cx="5943600" cy="4100195"/>
            <wp:effectExtent l="0" t="0" r="0" b="0"/>
            <wp:docPr id="904619788" name="Picture 1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Supplementary Fig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0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76A622F" w14:textId="77777777" w:rsidR="00471EE2" w:rsidRDefault="00471EE2" w:rsidP="00471EE2">
      <w:pPr>
        <w:spacing w:line="360" w:lineRule="auto"/>
        <w:rPr>
          <w:rFonts w:ascii="Times New Roman" w:hAnsi="Times New Roman"/>
          <w:b/>
          <w:bCs/>
        </w:rPr>
      </w:pPr>
      <w:hyperlink r:id="rId5" w:tgtFrame="https://www.ncbi.nlm.nih.gov/pmc/articles/PMC9987746/_blank" w:history="1">
        <w:r>
          <w:rPr>
            <w:rFonts w:ascii="Times New Roman" w:hAnsi="Times New Roman"/>
            <w:b/>
            <w:bCs/>
          </w:rPr>
          <w:t>Supplementary Figure 1</w:t>
        </w:r>
      </w:hyperlink>
      <w:r>
        <w:rPr>
          <w:rFonts w:ascii="Times New Roman" w:hAnsi="Times New Roman" w:hint="eastAsia"/>
          <w:b/>
          <w:bCs/>
        </w:rPr>
        <w:t xml:space="preserve"> </w:t>
      </w:r>
      <w:r>
        <w:rPr>
          <w:rFonts w:ascii="Times New Roman" w:hAnsi="Times New Roman" w:hint="eastAsia"/>
        </w:rPr>
        <w:t>Patients selection and flowchart of the study.</w:t>
      </w:r>
      <w:r>
        <w:rPr>
          <w:rFonts w:ascii="Times New Roman" w:hAnsi="Times New Roman" w:hint="eastAsia"/>
          <w:szCs w:val="21"/>
        </w:rPr>
        <w:t xml:space="preserve"> ICU, Intensive Care Unit; </w:t>
      </w:r>
      <w:r>
        <w:rPr>
          <w:rFonts w:ascii="Times New Roman" w:hAnsi="Times New Roman" w:hint="eastAsia"/>
        </w:rPr>
        <w:t xml:space="preserve">CRE, </w:t>
      </w:r>
      <w:r>
        <w:rPr>
          <w:rFonts w:ascii="Times New Roman" w:hAnsi="Times New Roman" w:hint="eastAsia"/>
          <w:szCs w:val="21"/>
        </w:rPr>
        <w:t>Carbapenem-resistant Enterobacteriaceae.</w:t>
      </w:r>
    </w:p>
    <w:p w14:paraId="0086DA44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E2"/>
    <w:rsid w:val="003C2EF4"/>
    <w:rsid w:val="00446799"/>
    <w:rsid w:val="00471EE2"/>
    <w:rsid w:val="004850E1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E73CD"/>
  <w15:chartTrackingRefBased/>
  <w15:docId w15:val="{9DD2AC92-3F8A-40BA-AC92-6A38AC5D3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EE2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1EE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EE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EE2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EE2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EE2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EE2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EE2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EE2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EE2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E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E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E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E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E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E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E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E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E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EE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1E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EE2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1E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EE2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1E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EE2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1E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EE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E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E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i.org/10.1080/07853890.2022.216049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>Springer Nature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2025-06-18T08:46:00Z</dcterms:created>
  <dcterms:modified xsi:type="dcterms:W3CDTF">2025-06-18T08:46:00Z</dcterms:modified>
</cp:coreProperties>
</file>