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CE4FE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 w:rsidRPr="00303F23">
        <w:rPr>
          <w:b/>
          <w:bCs/>
          <w:sz w:val="22"/>
          <w:szCs w:val="22"/>
        </w:rPr>
        <w:t xml:space="preserve">Supplementary Table 1 </w:t>
      </w:r>
      <w:r w:rsidRPr="00303F23">
        <w:rPr>
          <w:sz w:val="22"/>
          <w:szCs w:val="22"/>
        </w:rPr>
        <w:t xml:space="preserve">Differential analysis of transcription between regions containing visible migrating </w:t>
      </w:r>
      <w:r w:rsidRPr="00303F23">
        <w:rPr>
          <w:i/>
          <w:iCs/>
          <w:sz w:val="22"/>
          <w:szCs w:val="22"/>
        </w:rPr>
        <w:t>Toxocara canis</w:t>
      </w:r>
      <w:r w:rsidRPr="00303F23">
        <w:rPr>
          <w:sz w:val="22"/>
          <w:szCs w:val="22"/>
        </w:rPr>
        <w:t xml:space="preserve"> larvae and contralateral regions without visible larvae in mouse brain slice 4 (S4) – using Stereo-seq data.</w:t>
      </w:r>
    </w:p>
    <w:p w14:paraId="41E9C741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</w:p>
    <w:p w14:paraId="408DE06E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 w:rsidRPr="00303F23">
        <w:rPr>
          <w:b/>
          <w:bCs/>
          <w:sz w:val="22"/>
          <w:szCs w:val="22"/>
        </w:rPr>
        <w:t>Supplementary Table 2</w:t>
      </w:r>
      <w:r w:rsidRPr="00303F23">
        <w:rPr>
          <w:sz w:val="22"/>
          <w:szCs w:val="22"/>
        </w:rPr>
        <w:t xml:space="preserve"> Differential analysis of lipid metabolites between sera collected from </w:t>
      </w:r>
      <w:r w:rsidRPr="00303F23">
        <w:rPr>
          <w:i/>
          <w:iCs/>
          <w:sz w:val="22"/>
          <w:szCs w:val="22"/>
        </w:rPr>
        <w:t>Toxocara canis</w:t>
      </w:r>
      <w:r w:rsidRPr="00303F23">
        <w:rPr>
          <w:sz w:val="22"/>
          <w:szCs w:val="22"/>
        </w:rPr>
        <w:t>-infected mice at 21 days after infection and -uninfected controls –</w:t>
      </w:r>
      <w:r w:rsidRPr="00303F23">
        <w:rPr>
          <w:sz w:val="22"/>
          <w:szCs w:val="22"/>
          <w:lang w:eastAsia="zh-CN"/>
        </w:rPr>
        <w:t xml:space="preserve"> </w:t>
      </w:r>
      <w:r w:rsidRPr="00303F23">
        <w:rPr>
          <w:sz w:val="22"/>
          <w:szCs w:val="22"/>
        </w:rPr>
        <w:t>using LC-MS/MS data.</w:t>
      </w:r>
    </w:p>
    <w:p w14:paraId="1DE7B14F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</w:p>
    <w:p w14:paraId="5C89D2E7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  <w:lang w:val="en-US" w:eastAsia="zh-CN"/>
        </w:rPr>
      </w:pPr>
      <w:r w:rsidRPr="00303F23">
        <w:rPr>
          <w:b/>
          <w:bCs/>
          <w:sz w:val="22"/>
          <w:szCs w:val="22"/>
        </w:rPr>
        <w:t>Supplementary</w:t>
      </w:r>
      <w:r w:rsidRPr="00303F23">
        <w:rPr>
          <w:b/>
          <w:bCs/>
          <w:sz w:val="22"/>
          <w:szCs w:val="22"/>
          <w:lang w:val="en-US"/>
        </w:rPr>
        <w:t xml:space="preserve"> Table 3 </w:t>
      </w:r>
      <w:r w:rsidRPr="00303F23">
        <w:rPr>
          <w:sz w:val="22"/>
          <w:szCs w:val="22"/>
          <w:lang w:val="en-US"/>
        </w:rPr>
        <w:t xml:space="preserve">Differential analysis of </w:t>
      </w:r>
      <w:r w:rsidRPr="00303F23">
        <w:rPr>
          <w:sz w:val="22"/>
          <w:szCs w:val="22"/>
        </w:rPr>
        <w:t>transcription</w:t>
      </w:r>
      <w:r w:rsidRPr="00303F23">
        <w:rPr>
          <w:sz w:val="22"/>
          <w:szCs w:val="22"/>
          <w:lang w:val="en-US"/>
        </w:rPr>
        <w:t xml:space="preserve"> between infective larvae of </w:t>
      </w:r>
      <w:r w:rsidRPr="00303F23">
        <w:rPr>
          <w:i/>
          <w:iCs/>
          <w:sz w:val="22"/>
          <w:szCs w:val="22"/>
          <w:lang w:val="en-US"/>
        </w:rPr>
        <w:t>Toxocara canis</w:t>
      </w:r>
      <w:r w:rsidRPr="00303F23">
        <w:rPr>
          <w:sz w:val="22"/>
          <w:szCs w:val="22"/>
          <w:lang w:val="en-US"/>
        </w:rPr>
        <w:t xml:space="preserve"> incubated with serum from </w:t>
      </w:r>
      <w:r w:rsidRPr="00303F23">
        <w:rPr>
          <w:i/>
          <w:iCs/>
          <w:sz w:val="22"/>
          <w:szCs w:val="22"/>
          <w:lang w:val="en-US"/>
        </w:rPr>
        <w:t>Toxocara canis</w:t>
      </w:r>
      <w:r w:rsidRPr="00303F23">
        <w:rPr>
          <w:sz w:val="22"/>
          <w:szCs w:val="22"/>
          <w:lang w:val="en-US"/>
        </w:rPr>
        <w:t>-infected or uninfected control mice</w:t>
      </w:r>
      <w:r w:rsidRPr="00303F23">
        <w:rPr>
          <w:sz w:val="22"/>
          <w:szCs w:val="22"/>
          <w:lang w:val="en-US" w:eastAsia="zh-CN"/>
        </w:rPr>
        <w:t xml:space="preserve"> for 24 hours </w:t>
      </w:r>
      <w:r w:rsidRPr="00303F23">
        <w:rPr>
          <w:i/>
          <w:iCs/>
          <w:sz w:val="22"/>
          <w:szCs w:val="22"/>
          <w:lang w:val="en-US" w:eastAsia="zh-CN"/>
        </w:rPr>
        <w:t>in vitro</w:t>
      </w:r>
      <w:r w:rsidRPr="00303F23">
        <w:rPr>
          <w:sz w:val="22"/>
          <w:szCs w:val="22"/>
          <w:lang w:val="en-US" w:eastAsia="zh-CN"/>
        </w:rPr>
        <w:t xml:space="preserve"> – employing RNA-seq data.</w:t>
      </w:r>
    </w:p>
    <w:p w14:paraId="2E6CD264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  <w:lang w:eastAsia="zh-CN"/>
        </w:rPr>
      </w:pPr>
    </w:p>
    <w:p w14:paraId="1FD02471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  <w:highlight w:val="red"/>
          <w:lang w:eastAsia="zh-CN"/>
        </w:rPr>
      </w:pPr>
      <w:r w:rsidRPr="00303F23">
        <w:rPr>
          <w:b/>
          <w:bCs/>
          <w:sz w:val="22"/>
          <w:szCs w:val="22"/>
        </w:rPr>
        <w:t>Supplementary Table 4</w:t>
      </w:r>
      <w:r w:rsidRPr="00303F23">
        <w:rPr>
          <w:sz w:val="22"/>
          <w:szCs w:val="22"/>
        </w:rPr>
        <w:t xml:space="preserve"> Transcripts of </w:t>
      </w:r>
      <w:r w:rsidRPr="00303F23">
        <w:rPr>
          <w:i/>
          <w:iCs/>
          <w:sz w:val="22"/>
          <w:szCs w:val="22"/>
        </w:rPr>
        <w:t>Toxocara canis</w:t>
      </w:r>
      <w:r w:rsidRPr="00303F23">
        <w:rPr>
          <w:sz w:val="22"/>
          <w:szCs w:val="22"/>
        </w:rPr>
        <w:t xml:space="preserve"> sequenced in mouse brain slices S1, S2, S3, S4, S5 and S6 using </w:t>
      </w:r>
      <w:r w:rsidRPr="00303F23">
        <w:rPr>
          <w:sz w:val="22"/>
          <w:szCs w:val="22"/>
          <w:lang w:eastAsia="zh-CN"/>
        </w:rPr>
        <w:t>Stereo-seq data, and annotation of inferred proteins.</w:t>
      </w:r>
    </w:p>
    <w:p w14:paraId="0F12BBED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2"/>
          <w:szCs w:val="22"/>
          <w:highlight w:val="yellow"/>
          <w:lang w:val="en-US" w:eastAsia="zh-CN"/>
        </w:rPr>
      </w:pPr>
    </w:p>
    <w:p w14:paraId="5CC02167" w14:textId="77777777" w:rsidR="008F42DB" w:rsidRPr="00303F23" w:rsidRDefault="008F42DB" w:rsidP="008F42DB">
      <w:pPr>
        <w:adjustRightInd w:val="0"/>
        <w:snapToGrid w:val="0"/>
        <w:spacing w:line="480" w:lineRule="auto"/>
        <w:jc w:val="both"/>
        <w:rPr>
          <w:sz w:val="20"/>
          <w:szCs w:val="20"/>
        </w:rPr>
      </w:pPr>
      <w:r w:rsidRPr="00303F23">
        <w:rPr>
          <w:b/>
          <w:bCs/>
          <w:sz w:val="22"/>
          <w:szCs w:val="22"/>
        </w:rPr>
        <w:t>Supplementary Table 5</w:t>
      </w:r>
      <w:r w:rsidRPr="00303F23">
        <w:rPr>
          <w:sz w:val="22"/>
          <w:szCs w:val="22"/>
        </w:rPr>
        <w:t xml:space="preserve"> Oligonucleotide primers used in quantitative real-time PCR, molecular cloning, </w:t>
      </w:r>
      <w:r w:rsidRPr="00303F23">
        <w:rPr>
          <w:sz w:val="22"/>
          <w:szCs w:val="22"/>
          <w:lang w:eastAsia="zh-CN"/>
        </w:rPr>
        <w:t xml:space="preserve">small interfering RNA annealing </w:t>
      </w:r>
      <w:r w:rsidRPr="00303F23">
        <w:rPr>
          <w:sz w:val="22"/>
          <w:szCs w:val="22"/>
        </w:rPr>
        <w:t>and prokaryotic expression of recombinant proteins.</w:t>
      </w:r>
    </w:p>
    <w:p w14:paraId="51CE4FFF" w14:textId="77777777" w:rsidR="008F42DB" w:rsidRDefault="008F42DB" w:rsidP="008F42DB">
      <w:pPr>
        <w:spacing w:line="480" w:lineRule="auto"/>
        <w:rPr>
          <w:rFonts w:eastAsia="SimHei"/>
          <w:b/>
          <w:bCs/>
          <w:szCs w:val="32"/>
        </w:rPr>
      </w:pPr>
      <w:r>
        <w:rPr>
          <w:rFonts w:eastAsia="SimHei"/>
          <w:b/>
          <w:bCs/>
          <w:szCs w:val="32"/>
        </w:rPr>
        <w:br w:type="page"/>
      </w:r>
    </w:p>
    <w:p w14:paraId="73B2A058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2DB"/>
    <w:rsid w:val="0000313E"/>
    <w:rsid w:val="002E281E"/>
    <w:rsid w:val="003201BB"/>
    <w:rsid w:val="00865217"/>
    <w:rsid w:val="008F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EFC8A"/>
  <w15:chartTrackingRefBased/>
  <w15:docId w15:val="{A7DBBB51-E8BA-411C-B6DA-482BBBC4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2DB"/>
    <w:pPr>
      <w:spacing w:after="0" w:line="240" w:lineRule="auto"/>
    </w:pPr>
    <w:rPr>
      <w:rFonts w:ascii="Times New Roman" w:eastAsia="Times New Roman" w:hAnsi="Times New Roman" w:cs="Times New Roman"/>
      <w:kern w:val="0"/>
      <w:lang w:val="en-AU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42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42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42D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42D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42D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42D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42D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42D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42D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42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42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42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42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42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42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42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42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42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42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42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42D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42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42D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42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42D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42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42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42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42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867</Characters>
  <Application>Microsoft Office Word</Application>
  <DocSecurity>0</DocSecurity>
  <Lines>7</Lines>
  <Paragraphs>2</Paragraphs>
  <ScaleCrop>false</ScaleCrop>
  <Company>Springer Nature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2025-06-09T09:32:00Z</dcterms:created>
  <dcterms:modified xsi:type="dcterms:W3CDTF">2025-06-09T09:32:00Z</dcterms:modified>
</cp:coreProperties>
</file>