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D2902"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1 </w:t>
      </w:r>
      <w:r>
        <w:rPr>
          <w:b/>
          <w:bCs/>
          <w:sz w:val="22"/>
          <w:szCs w:val="22"/>
        </w:rPr>
        <w:t xml:space="preserve">| </w:t>
      </w:r>
      <w:r w:rsidRPr="00303F23">
        <w:rPr>
          <w:b/>
          <w:bCs/>
          <w:sz w:val="22"/>
          <w:szCs w:val="22"/>
        </w:rPr>
        <w:t>Murine brain slices subjected to Stereo-seq and single-nucleus RNA sequencing.</w:t>
      </w:r>
      <w:r>
        <w:rPr>
          <w:b/>
          <w:bCs/>
          <w:sz w:val="22"/>
          <w:szCs w:val="22"/>
          <w:lang w:eastAsia="zh-CN"/>
        </w:rPr>
        <w:t xml:space="preserve"> </w:t>
      </w:r>
      <w:r w:rsidRPr="00303F23">
        <w:rPr>
          <w:b/>
          <w:bCs/>
          <w:sz w:val="22"/>
          <w:szCs w:val="22"/>
        </w:rPr>
        <w:t>a</w:t>
      </w:r>
      <w:r w:rsidRPr="00303F23">
        <w:rPr>
          <w:sz w:val="22"/>
          <w:szCs w:val="22"/>
        </w:rPr>
        <w:t xml:space="preserve"> Schematic diagrams showing the dorsal view of the murine brain and coronal cross-sections of the olfactory bulb (slice S1), cerebrum (slices S2–S5) and cerebellum (slice S6) collected from </w:t>
      </w:r>
      <w:r w:rsidRPr="00303F23">
        <w:rPr>
          <w:i/>
          <w:iCs/>
          <w:sz w:val="22"/>
          <w:szCs w:val="22"/>
        </w:rPr>
        <w:t>Toxocara canis</w:t>
      </w:r>
      <w:r w:rsidRPr="00303F23">
        <w:rPr>
          <w:sz w:val="22"/>
          <w:szCs w:val="22"/>
        </w:rPr>
        <w:t xml:space="preserve">-infected BALB/c mice. Lesions and migrating larvae are indicated by red and blue dots, respectively. </w:t>
      </w:r>
      <w:r w:rsidRPr="00303F23">
        <w:rPr>
          <w:b/>
          <w:bCs/>
          <w:sz w:val="22"/>
          <w:szCs w:val="22"/>
        </w:rPr>
        <w:t>b</w:t>
      </w:r>
      <w:r w:rsidRPr="00303F23">
        <w:rPr>
          <w:sz w:val="22"/>
          <w:szCs w:val="22"/>
        </w:rPr>
        <w:t xml:space="preserve"> Schematic diagrams showing coronal brain slices adjacent to cerebrum slices S4 and S5, and cerebellum slice S6, containing migrating </w:t>
      </w:r>
      <w:r w:rsidRPr="00303F23">
        <w:rPr>
          <w:i/>
          <w:iCs/>
          <w:sz w:val="22"/>
          <w:szCs w:val="22"/>
        </w:rPr>
        <w:t>T. canis</w:t>
      </w:r>
      <w:r w:rsidRPr="00303F23">
        <w:rPr>
          <w:sz w:val="22"/>
          <w:szCs w:val="22"/>
        </w:rPr>
        <w:t xml:space="preserve"> larvae.</w:t>
      </w:r>
    </w:p>
    <w:p w14:paraId="112AF46A" w14:textId="77777777" w:rsidR="003121EB" w:rsidRPr="00303F23" w:rsidRDefault="003121EB" w:rsidP="003121EB">
      <w:pPr>
        <w:adjustRightInd w:val="0"/>
        <w:snapToGrid w:val="0"/>
        <w:spacing w:line="480" w:lineRule="auto"/>
        <w:jc w:val="both"/>
        <w:rPr>
          <w:sz w:val="22"/>
          <w:szCs w:val="22"/>
        </w:rPr>
      </w:pPr>
    </w:p>
    <w:p w14:paraId="37EF534F"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2 </w:t>
      </w:r>
      <w:r>
        <w:rPr>
          <w:b/>
          <w:bCs/>
          <w:sz w:val="22"/>
          <w:szCs w:val="22"/>
        </w:rPr>
        <w:t xml:space="preserve">| </w:t>
      </w:r>
      <w:r w:rsidRPr="00303F23">
        <w:rPr>
          <w:b/>
          <w:bCs/>
          <w:sz w:val="22"/>
          <w:szCs w:val="22"/>
        </w:rPr>
        <w:t>Cell clustering, marker selection and annotation based on Stereo-seq data.</w:t>
      </w:r>
      <w:r>
        <w:rPr>
          <w:b/>
          <w:bCs/>
          <w:sz w:val="22"/>
          <w:szCs w:val="22"/>
          <w:lang w:eastAsia="zh-CN"/>
        </w:rPr>
        <w:t xml:space="preserve"> </w:t>
      </w:r>
      <w:r w:rsidRPr="00303F23">
        <w:rPr>
          <w:b/>
          <w:bCs/>
          <w:sz w:val="22"/>
          <w:szCs w:val="22"/>
        </w:rPr>
        <w:t>a</w:t>
      </w:r>
      <w:r w:rsidRPr="00303F23">
        <w:rPr>
          <w:sz w:val="22"/>
          <w:szCs w:val="22"/>
        </w:rPr>
        <w:t xml:space="preserve"> Heatmap of selected gene transcripts defining cell clusters in different slices of the murine olfactory bulb (S1), cerebrum (S2–S5) and cerebellum (S6) – using public reference data for mammalian cells. </w:t>
      </w:r>
      <w:r w:rsidRPr="00303F23">
        <w:rPr>
          <w:b/>
          <w:bCs/>
          <w:sz w:val="22"/>
          <w:szCs w:val="22"/>
        </w:rPr>
        <w:t>b</w:t>
      </w:r>
      <w:r w:rsidRPr="00303F23">
        <w:rPr>
          <w:sz w:val="22"/>
          <w:szCs w:val="22"/>
        </w:rPr>
        <w:t xml:space="preserve"> SciBet-scale UMAP plots showing annotation of murine cell populations in these different slices. In S1, astrocytes, Bergmann glial cells, brain pericytes, neurons, oligodendrocytes, oligodendrocyte precursor cells (OPCs), stromal cells and a pancreatic stellate-like cluster were identified. In S2, astrocytes, Bergmann glial cells, brain pericytes, epithelial cells, mesenchymal cells, neurons, oligodendrocytes, OPCs, stromal cells and a pancreatic stellate-like cluster were detected. In S3, astrocytes, brain pericytes, neurons, oligodendrocytes and OPCs were identified. In S4, astrocytes, Bergmann glial cells, brain pericytes, neurons, oligodendrocytes, OPCs and professional antigen-presenting cells were annotated. In S5, astrocytes, Bergmann glial cells, brain pericytes, mesenchymal cells, neurons, oligodendrocytes, OPCs, stromal cells and a pancreatic stellate-like cluster were found. In S6, astrocytes, Bergmann glial cells, brain pericytes, neurons, oligodendrocytes, OPCs and a pancreatic stellate-like cluster were identified.</w:t>
      </w:r>
    </w:p>
    <w:p w14:paraId="735BDE81" w14:textId="77777777" w:rsidR="003121EB" w:rsidRPr="00303F23" w:rsidRDefault="003121EB" w:rsidP="003121EB">
      <w:pPr>
        <w:adjustRightInd w:val="0"/>
        <w:snapToGrid w:val="0"/>
        <w:spacing w:line="480" w:lineRule="auto"/>
        <w:jc w:val="both"/>
        <w:rPr>
          <w:sz w:val="22"/>
          <w:szCs w:val="22"/>
        </w:rPr>
      </w:pPr>
    </w:p>
    <w:p w14:paraId="2673EEC7"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3 </w:t>
      </w:r>
      <w:r>
        <w:rPr>
          <w:b/>
          <w:bCs/>
          <w:sz w:val="22"/>
          <w:szCs w:val="22"/>
        </w:rPr>
        <w:t xml:space="preserve">| </w:t>
      </w:r>
      <w:r w:rsidRPr="00303F23">
        <w:rPr>
          <w:b/>
          <w:bCs/>
          <w:sz w:val="22"/>
          <w:szCs w:val="22"/>
        </w:rPr>
        <w:t>Marker selection and annotation based on Stereo-seq data.</w:t>
      </w:r>
      <w:r>
        <w:rPr>
          <w:b/>
          <w:bCs/>
          <w:sz w:val="22"/>
          <w:szCs w:val="22"/>
          <w:lang w:eastAsia="zh-CN"/>
        </w:rPr>
        <w:t xml:space="preserve"> </w:t>
      </w:r>
      <w:r w:rsidRPr="00303F23">
        <w:rPr>
          <w:sz w:val="22"/>
          <w:szCs w:val="22"/>
        </w:rPr>
        <w:t>Violin plots showing the transcription levels of marker genes identified for neurons, erythrocytes, B cells, natural killer (NK) cells, T cells, oligodendrocytes, macrophages, monocytes, granulocytes, dendritic cells, microglia, epithelial cells, astrocytes, adipocytes, cardiomyocytes, hepatocytes, fibroblasts and endothelial cells across the murine olfactory bulb (slice S1), cerebrum (slices S2–S5) and cerebellum (slice S6).</w:t>
      </w:r>
    </w:p>
    <w:p w14:paraId="489C2222" w14:textId="77777777" w:rsidR="003121EB" w:rsidRPr="00303F23" w:rsidRDefault="003121EB" w:rsidP="003121EB">
      <w:pPr>
        <w:adjustRightInd w:val="0"/>
        <w:snapToGrid w:val="0"/>
        <w:spacing w:line="480" w:lineRule="auto"/>
        <w:jc w:val="both"/>
        <w:rPr>
          <w:b/>
          <w:bCs/>
          <w:sz w:val="22"/>
          <w:szCs w:val="22"/>
        </w:rPr>
      </w:pPr>
    </w:p>
    <w:p w14:paraId="28D64406"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lastRenderedPageBreak/>
        <w:t xml:space="preserve">Supplementary Fig. 4 </w:t>
      </w:r>
      <w:r>
        <w:rPr>
          <w:b/>
          <w:bCs/>
          <w:sz w:val="22"/>
          <w:szCs w:val="22"/>
        </w:rPr>
        <w:t xml:space="preserve">| </w:t>
      </w:r>
      <w:r w:rsidRPr="00303F23">
        <w:rPr>
          <w:b/>
          <w:bCs/>
          <w:sz w:val="22"/>
          <w:szCs w:val="22"/>
        </w:rPr>
        <w:t>Single-nucleus RNA sequencing, cell clustering and annotation.</w:t>
      </w:r>
      <w:r>
        <w:rPr>
          <w:b/>
          <w:bCs/>
          <w:sz w:val="22"/>
          <w:szCs w:val="22"/>
          <w:lang w:eastAsia="zh-CN"/>
        </w:rPr>
        <w:t xml:space="preserve"> </w:t>
      </w:r>
      <w:r w:rsidRPr="00303F23">
        <w:rPr>
          <w:sz w:val="22"/>
          <w:szCs w:val="22"/>
        </w:rPr>
        <w:t>Cell clustering, marker gene identification and annotation of murine cerebrum and cerebellum slices are shown. Annotated cell clusters include astrocytes, epithelial cells, microglia, neurons and oligodendrocytes in the slice adjacent to cerebrum slice S4; astrocytes, endothelial cells, neurons and oligodendrocytes in the slice adjacent to cerebrum slice S5; and astrocytes, endothelial cells, epithelial cells, neurons and oligodendrocytes in the slice adjacent to cerebellum s</w:t>
      </w:r>
      <w:r w:rsidRPr="00303F23">
        <w:rPr>
          <w:sz w:val="22"/>
          <w:szCs w:val="22"/>
          <w:lang w:eastAsia="zh-CN"/>
        </w:rPr>
        <w:t>lice</w:t>
      </w:r>
      <w:r w:rsidRPr="00303F23">
        <w:rPr>
          <w:sz w:val="22"/>
          <w:szCs w:val="22"/>
        </w:rPr>
        <w:t xml:space="preserve"> S6.</w:t>
      </w:r>
    </w:p>
    <w:p w14:paraId="3EFC7392" w14:textId="77777777" w:rsidR="003121EB" w:rsidRPr="00303F23" w:rsidRDefault="003121EB" w:rsidP="003121EB">
      <w:pPr>
        <w:adjustRightInd w:val="0"/>
        <w:snapToGrid w:val="0"/>
        <w:spacing w:line="480" w:lineRule="auto"/>
        <w:jc w:val="both"/>
        <w:rPr>
          <w:sz w:val="22"/>
          <w:szCs w:val="22"/>
        </w:rPr>
      </w:pPr>
    </w:p>
    <w:p w14:paraId="75EA7643"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5 </w:t>
      </w:r>
      <w:r>
        <w:rPr>
          <w:b/>
          <w:bCs/>
          <w:sz w:val="22"/>
          <w:szCs w:val="22"/>
        </w:rPr>
        <w:t xml:space="preserve">| </w:t>
      </w:r>
      <w:r w:rsidRPr="00303F23">
        <w:rPr>
          <w:b/>
          <w:bCs/>
          <w:sz w:val="22"/>
          <w:szCs w:val="22"/>
        </w:rPr>
        <w:t xml:space="preserve">Influence of murine immune defence on </w:t>
      </w:r>
      <w:r w:rsidRPr="00303F23">
        <w:rPr>
          <w:b/>
          <w:bCs/>
          <w:i/>
          <w:iCs/>
          <w:sz w:val="22"/>
          <w:szCs w:val="22"/>
        </w:rPr>
        <w:t>Toxocara canis</w:t>
      </w:r>
      <w:r w:rsidRPr="00303F23">
        <w:rPr>
          <w:b/>
          <w:bCs/>
          <w:sz w:val="22"/>
          <w:szCs w:val="22"/>
        </w:rPr>
        <w:t xml:space="preserve"> larvae </w:t>
      </w:r>
      <w:r w:rsidRPr="00303F23">
        <w:rPr>
          <w:b/>
          <w:bCs/>
          <w:i/>
          <w:iCs/>
          <w:sz w:val="22"/>
          <w:szCs w:val="22"/>
        </w:rPr>
        <w:t>in vitro.</w:t>
      </w:r>
      <w:r>
        <w:rPr>
          <w:b/>
          <w:bCs/>
          <w:sz w:val="22"/>
          <w:szCs w:val="22"/>
          <w:lang w:eastAsia="zh-CN"/>
        </w:rPr>
        <w:t xml:space="preserve"> </w:t>
      </w:r>
      <w:r w:rsidRPr="00303F23">
        <w:rPr>
          <w:b/>
          <w:bCs/>
          <w:sz w:val="22"/>
          <w:szCs w:val="22"/>
        </w:rPr>
        <w:t>a</w:t>
      </w:r>
      <w:r w:rsidRPr="00303F23">
        <w:rPr>
          <w:sz w:val="22"/>
          <w:szCs w:val="22"/>
        </w:rPr>
        <w:t xml:space="preserve"> Differential lipid metabolite analysis between positive (PTV) sera (</w:t>
      </w:r>
      <w:r w:rsidRPr="00303F23">
        <w:rPr>
          <w:i/>
          <w:iCs/>
          <w:sz w:val="22"/>
          <w:szCs w:val="22"/>
        </w:rPr>
        <w:t>n</w:t>
      </w:r>
      <w:r w:rsidRPr="00303F23">
        <w:rPr>
          <w:sz w:val="22"/>
          <w:szCs w:val="22"/>
        </w:rPr>
        <w:t xml:space="preserve"> = 6) and negative control (NC) sera (</w:t>
      </w:r>
      <w:r w:rsidRPr="00303F23">
        <w:rPr>
          <w:i/>
          <w:iCs/>
          <w:sz w:val="22"/>
          <w:szCs w:val="22"/>
        </w:rPr>
        <w:t>n</w:t>
      </w:r>
      <w:r w:rsidRPr="00303F23">
        <w:rPr>
          <w:sz w:val="22"/>
          <w:szCs w:val="22"/>
        </w:rPr>
        <w:t xml:space="preserve"> = 6) from </w:t>
      </w:r>
      <w:r w:rsidRPr="00303F23">
        <w:rPr>
          <w:i/>
          <w:iCs/>
          <w:sz w:val="22"/>
          <w:szCs w:val="22"/>
        </w:rPr>
        <w:t>T. canis</w:t>
      </w:r>
      <w:r w:rsidRPr="00303F23">
        <w:rPr>
          <w:sz w:val="22"/>
          <w:szCs w:val="22"/>
        </w:rPr>
        <w:t>-infected mice. Metabolites with significantly higher (</w:t>
      </w:r>
      <w:r w:rsidRPr="00303F23">
        <w:rPr>
          <w:i/>
          <w:iCs/>
          <w:sz w:val="22"/>
          <w:szCs w:val="22"/>
        </w:rPr>
        <w:t>n</w:t>
      </w:r>
      <w:r w:rsidRPr="00303F23">
        <w:rPr>
          <w:sz w:val="22"/>
          <w:szCs w:val="22"/>
        </w:rPr>
        <w:t xml:space="preserve"> = 367) or lower (</w:t>
      </w:r>
      <w:r w:rsidRPr="00303F23">
        <w:rPr>
          <w:i/>
          <w:iCs/>
          <w:sz w:val="22"/>
          <w:szCs w:val="22"/>
        </w:rPr>
        <w:t>n</w:t>
      </w:r>
      <w:r w:rsidRPr="00303F23">
        <w:rPr>
          <w:sz w:val="22"/>
          <w:szCs w:val="22"/>
        </w:rPr>
        <w:t xml:space="preserve"> = 368) abundance (fold change &gt; 1.5, </w:t>
      </w:r>
      <w:r w:rsidRPr="00303F23">
        <w:rPr>
          <w:i/>
          <w:iCs/>
          <w:sz w:val="22"/>
          <w:szCs w:val="22"/>
        </w:rPr>
        <w:t>p</w:t>
      </w:r>
      <w:r w:rsidRPr="00303F23">
        <w:rPr>
          <w:sz w:val="22"/>
          <w:szCs w:val="22"/>
        </w:rPr>
        <w:t xml:space="preserve"> &lt; 0.05) in PTV sera compared to NC sera are shown in volcano and bar plots. </w:t>
      </w:r>
      <w:r w:rsidRPr="00303F23">
        <w:rPr>
          <w:b/>
          <w:bCs/>
          <w:sz w:val="22"/>
          <w:szCs w:val="22"/>
        </w:rPr>
        <w:t>b</w:t>
      </w:r>
      <w:r w:rsidRPr="00303F23">
        <w:rPr>
          <w:sz w:val="22"/>
          <w:szCs w:val="22"/>
        </w:rPr>
        <w:t xml:space="preserve"> Differential transcriptomic analysis of </w:t>
      </w:r>
      <w:r w:rsidRPr="00303F23">
        <w:rPr>
          <w:i/>
          <w:iCs/>
          <w:sz w:val="22"/>
          <w:szCs w:val="22"/>
        </w:rPr>
        <w:t>T. canis</w:t>
      </w:r>
      <w:r w:rsidRPr="00303F23">
        <w:rPr>
          <w:sz w:val="22"/>
          <w:szCs w:val="22"/>
        </w:rPr>
        <w:t xml:space="preserve"> larvae treated with PTV or NC sera </w:t>
      </w:r>
      <w:r w:rsidRPr="00303F23">
        <w:rPr>
          <w:i/>
          <w:iCs/>
          <w:sz w:val="22"/>
          <w:szCs w:val="22"/>
        </w:rPr>
        <w:t>in vitro</w:t>
      </w:r>
      <w:r w:rsidRPr="00303F23">
        <w:rPr>
          <w:sz w:val="22"/>
          <w:szCs w:val="22"/>
        </w:rPr>
        <w:t xml:space="preserve">. Genes with significantly altered transcript levels (fold change &gt; 1.5, </w:t>
      </w:r>
      <w:r w:rsidRPr="00303F23">
        <w:rPr>
          <w:i/>
          <w:iCs/>
          <w:sz w:val="22"/>
          <w:szCs w:val="22"/>
        </w:rPr>
        <w:t>p</w:t>
      </w:r>
      <w:r w:rsidRPr="00303F23">
        <w:rPr>
          <w:sz w:val="22"/>
          <w:szCs w:val="22"/>
        </w:rPr>
        <w:t xml:space="preserve"> &lt; 0.05) are shown in a volcano plot. Kyoto Encyclopedia of Genes and Genomes (KEGG) pathway enrichment analysis is presented in a dot plot, indicating gene number, rich factor and </w:t>
      </w:r>
      <w:r w:rsidRPr="00303F23">
        <w:rPr>
          <w:i/>
          <w:iCs/>
          <w:sz w:val="22"/>
          <w:szCs w:val="22"/>
        </w:rPr>
        <w:t>P</w:t>
      </w:r>
      <w:r w:rsidRPr="00303F23">
        <w:rPr>
          <w:sz w:val="22"/>
          <w:szCs w:val="22"/>
        </w:rPr>
        <w:t xml:space="preserve"> value. </w:t>
      </w:r>
      <w:r w:rsidRPr="00303F23">
        <w:rPr>
          <w:b/>
          <w:bCs/>
          <w:sz w:val="22"/>
          <w:szCs w:val="22"/>
        </w:rPr>
        <w:t>c</w:t>
      </w:r>
      <w:r w:rsidRPr="00303F23">
        <w:rPr>
          <w:sz w:val="22"/>
          <w:szCs w:val="22"/>
        </w:rPr>
        <w:t xml:space="preserve"> Differential lipid metabolite analysis between prenatal and positive (PRG_PTV) sera (</w:t>
      </w:r>
      <w:r w:rsidRPr="00303F23">
        <w:rPr>
          <w:i/>
          <w:iCs/>
          <w:sz w:val="22"/>
          <w:szCs w:val="22"/>
        </w:rPr>
        <w:t>n</w:t>
      </w:r>
      <w:r w:rsidRPr="00303F23">
        <w:rPr>
          <w:sz w:val="22"/>
          <w:szCs w:val="22"/>
        </w:rPr>
        <w:t xml:space="preserve"> = 6) and PTV sera (</w:t>
      </w:r>
      <w:r w:rsidRPr="00303F23">
        <w:rPr>
          <w:i/>
          <w:iCs/>
          <w:sz w:val="22"/>
          <w:szCs w:val="22"/>
        </w:rPr>
        <w:t>n</w:t>
      </w:r>
      <w:r w:rsidRPr="00303F23">
        <w:rPr>
          <w:sz w:val="22"/>
          <w:szCs w:val="22"/>
        </w:rPr>
        <w:t xml:space="preserve"> = 6). Metabolites with significantly higher (</w:t>
      </w:r>
      <w:r w:rsidRPr="00303F23">
        <w:rPr>
          <w:i/>
          <w:iCs/>
          <w:sz w:val="22"/>
          <w:szCs w:val="22"/>
        </w:rPr>
        <w:t>n</w:t>
      </w:r>
      <w:r w:rsidRPr="00303F23">
        <w:rPr>
          <w:sz w:val="22"/>
          <w:szCs w:val="22"/>
        </w:rPr>
        <w:t xml:space="preserve"> = 162) or lower (</w:t>
      </w:r>
      <w:r w:rsidRPr="00303F23">
        <w:rPr>
          <w:i/>
          <w:iCs/>
          <w:sz w:val="22"/>
          <w:szCs w:val="22"/>
        </w:rPr>
        <w:t>n</w:t>
      </w:r>
      <w:r w:rsidRPr="00303F23">
        <w:rPr>
          <w:sz w:val="22"/>
          <w:szCs w:val="22"/>
        </w:rPr>
        <w:t xml:space="preserve"> = 74) abundance (fold change &gt; 1.5, </w:t>
      </w:r>
      <w:r w:rsidRPr="00303F23">
        <w:rPr>
          <w:i/>
          <w:iCs/>
          <w:sz w:val="22"/>
          <w:szCs w:val="22"/>
        </w:rPr>
        <w:t>p</w:t>
      </w:r>
      <w:r w:rsidRPr="00303F23">
        <w:rPr>
          <w:sz w:val="22"/>
          <w:szCs w:val="22"/>
        </w:rPr>
        <w:t xml:space="preserve"> &lt; 0.05) are shown in volcano and bar plots. KEGG pathway enrichment of differentially abundant metabolites is shown in a dot plot. </w:t>
      </w:r>
      <w:r w:rsidRPr="00303F23">
        <w:rPr>
          <w:b/>
          <w:bCs/>
          <w:sz w:val="22"/>
          <w:szCs w:val="22"/>
        </w:rPr>
        <w:t>d</w:t>
      </w:r>
      <w:r w:rsidRPr="00303F23">
        <w:rPr>
          <w:sz w:val="22"/>
          <w:szCs w:val="22"/>
        </w:rPr>
        <w:t xml:space="preserve"> Differential transcriptomic analysis of </w:t>
      </w:r>
      <w:r w:rsidRPr="00303F23">
        <w:rPr>
          <w:i/>
          <w:iCs/>
          <w:sz w:val="22"/>
          <w:szCs w:val="22"/>
        </w:rPr>
        <w:t>T. canis</w:t>
      </w:r>
      <w:r w:rsidRPr="00303F23">
        <w:rPr>
          <w:sz w:val="22"/>
          <w:szCs w:val="22"/>
        </w:rPr>
        <w:t xml:space="preserve"> larvae treated with PRG_PTV or PTV sera. Genes with significantly altered transcript levels (fold change &gt; 1.5, </w:t>
      </w:r>
      <w:r w:rsidRPr="00303F23">
        <w:rPr>
          <w:i/>
          <w:iCs/>
          <w:sz w:val="22"/>
          <w:szCs w:val="22"/>
        </w:rPr>
        <w:t>p</w:t>
      </w:r>
      <w:r w:rsidRPr="00303F23">
        <w:rPr>
          <w:sz w:val="22"/>
          <w:szCs w:val="22"/>
        </w:rPr>
        <w:t xml:space="preserve"> &lt; 0.05) are shown in a volcano plot. Gene Ontology (GO) and KEGG pathway enrichment of differentially transcribed genes is shown in dot plots, with gene number, rich factor and </w:t>
      </w:r>
      <w:r w:rsidRPr="00303F23">
        <w:rPr>
          <w:i/>
          <w:iCs/>
          <w:sz w:val="22"/>
          <w:szCs w:val="22"/>
        </w:rPr>
        <w:t>P</w:t>
      </w:r>
      <w:r w:rsidRPr="00303F23">
        <w:rPr>
          <w:sz w:val="22"/>
          <w:szCs w:val="22"/>
        </w:rPr>
        <w:t xml:space="preserve"> value indicated.</w:t>
      </w:r>
    </w:p>
    <w:p w14:paraId="3EC7DA75" w14:textId="77777777" w:rsidR="003121EB" w:rsidRPr="00303F23" w:rsidRDefault="003121EB" w:rsidP="003121EB">
      <w:pPr>
        <w:adjustRightInd w:val="0"/>
        <w:snapToGrid w:val="0"/>
        <w:spacing w:line="480" w:lineRule="auto"/>
        <w:jc w:val="both"/>
        <w:rPr>
          <w:sz w:val="22"/>
          <w:szCs w:val="22"/>
        </w:rPr>
      </w:pPr>
    </w:p>
    <w:p w14:paraId="1414868F"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6 </w:t>
      </w:r>
      <w:bookmarkStart w:id="0" w:name="OLE_LINK2"/>
      <w:r>
        <w:rPr>
          <w:b/>
          <w:bCs/>
          <w:sz w:val="22"/>
          <w:szCs w:val="22"/>
        </w:rPr>
        <w:t xml:space="preserve">| </w:t>
      </w:r>
      <w:bookmarkEnd w:id="0"/>
      <w:r w:rsidRPr="00303F23">
        <w:rPr>
          <w:b/>
          <w:bCs/>
          <w:sz w:val="22"/>
          <w:szCs w:val="22"/>
        </w:rPr>
        <w:t xml:space="preserve">Functional characterisation of </w:t>
      </w:r>
      <w:r w:rsidRPr="00303F23">
        <w:rPr>
          <w:b/>
          <w:bCs/>
          <w:i/>
          <w:iCs/>
          <w:sz w:val="22"/>
          <w:szCs w:val="22"/>
        </w:rPr>
        <w:t>Toxocara canis</w:t>
      </w:r>
      <w:r w:rsidRPr="00303F23">
        <w:rPr>
          <w:b/>
          <w:bCs/>
          <w:sz w:val="22"/>
          <w:szCs w:val="22"/>
        </w:rPr>
        <w:t xml:space="preserve"> phosphatidylethanolamine-binding protein (</w:t>
      </w:r>
      <w:r w:rsidRPr="00303F23">
        <w:rPr>
          <w:b/>
          <w:bCs/>
          <w:i/>
          <w:iCs/>
          <w:sz w:val="22"/>
          <w:szCs w:val="22"/>
        </w:rPr>
        <w:t>Tc</w:t>
      </w:r>
      <w:r w:rsidRPr="00303F23">
        <w:rPr>
          <w:b/>
          <w:bCs/>
          <w:sz w:val="22"/>
          <w:szCs w:val="22"/>
        </w:rPr>
        <w:t>-PEBP-1) in the NOD–NF-κB axis in murine macrophages.</w:t>
      </w:r>
      <w:r>
        <w:rPr>
          <w:b/>
          <w:bCs/>
          <w:sz w:val="22"/>
          <w:szCs w:val="22"/>
          <w:lang w:eastAsia="zh-CN"/>
        </w:rPr>
        <w:t xml:space="preserve"> </w:t>
      </w:r>
      <w:r w:rsidRPr="00303F23">
        <w:rPr>
          <w:b/>
          <w:bCs/>
          <w:sz w:val="22"/>
          <w:szCs w:val="22"/>
        </w:rPr>
        <w:t>a</w:t>
      </w:r>
      <w:r w:rsidRPr="00303F23">
        <w:rPr>
          <w:sz w:val="22"/>
          <w:szCs w:val="22"/>
        </w:rPr>
        <w:t xml:space="preserve"> Domain architecture comparison between mouse PEBP1 (</w:t>
      </w:r>
      <w:r w:rsidRPr="00303F23">
        <w:rPr>
          <w:i/>
          <w:iCs/>
          <w:sz w:val="22"/>
          <w:szCs w:val="22"/>
        </w:rPr>
        <w:t>Mm</w:t>
      </w:r>
      <w:r w:rsidRPr="00303F23">
        <w:rPr>
          <w:sz w:val="22"/>
          <w:szCs w:val="22"/>
        </w:rPr>
        <w:t xml:space="preserve">PEBP1) and </w:t>
      </w:r>
      <w:r w:rsidRPr="00303F23">
        <w:rPr>
          <w:i/>
          <w:iCs/>
          <w:sz w:val="22"/>
          <w:szCs w:val="22"/>
        </w:rPr>
        <w:t>Tc</w:t>
      </w:r>
      <w:r w:rsidRPr="00303F23">
        <w:rPr>
          <w:sz w:val="22"/>
          <w:szCs w:val="22"/>
        </w:rPr>
        <w:t xml:space="preserve">-PEBP-1 (also known as TES-26). </w:t>
      </w:r>
      <w:r w:rsidRPr="00303F23">
        <w:rPr>
          <w:i/>
          <w:iCs/>
          <w:sz w:val="22"/>
          <w:szCs w:val="22"/>
        </w:rPr>
        <w:t>Tc</w:t>
      </w:r>
      <w:r w:rsidRPr="00303F23">
        <w:rPr>
          <w:sz w:val="22"/>
          <w:szCs w:val="22"/>
        </w:rPr>
        <w:t xml:space="preserve">-PEBP-1 incorporates a signal peptide and two ShK toxin (ShKT) domains at the N-terminus; the amino acid sequence similarity between PEBP domains is 34.8%. </w:t>
      </w:r>
      <w:r w:rsidRPr="00303F23">
        <w:rPr>
          <w:b/>
          <w:bCs/>
          <w:sz w:val="22"/>
          <w:szCs w:val="22"/>
        </w:rPr>
        <w:t>b</w:t>
      </w:r>
      <w:r w:rsidRPr="00303F23">
        <w:rPr>
          <w:sz w:val="22"/>
          <w:szCs w:val="22"/>
        </w:rPr>
        <w:t xml:space="preserve"> Predicted protein structures of </w:t>
      </w:r>
      <w:r w:rsidRPr="00303F23">
        <w:rPr>
          <w:i/>
          <w:iCs/>
          <w:sz w:val="22"/>
          <w:szCs w:val="22"/>
        </w:rPr>
        <w:t>Mm</w:t>
      </w:r>
      <w:r w:rsidRPr="00303F23">
        <w:rPr>
          <w:sz w:val="22"/>
          <w:szCs w:val="22"/>
        </w:rPr>
        <w:t xml:space="preserve">PEBP1 and </w:t>
      </w:r>
      <w:r w:rsidRPr="00303F23">
        <w:rPr>
          <w:i/>
          <w:iCs/>
          <w:sz w:val="22"/>
          <w:szCs w:val="22"/>
        </w:rPr>
        <w:t>Tc</w:t>
      </w:r>
      <w:r w:rsidRPr="00303F23">
        <w:rPr>
          <w:sz w:val="22"/>
          <w:szCs w:val="22"/>
        </w:rPr>
        <w:t xml:space="preserve">-PEBP-1 (excluding the signal peptide) generated using AlphaFold2, superimposed with an RMSD of 1.36. </w:t>
      </w:r>
      <w:r w:rsidRPr="00303F23">
        <w:rPr>
          <w:i/>
          <w:iCs/>
          <w:sz w:val="22"/>
          <w:szCs w:val="22"/>
        </w:rPr>
        <w:t>Tc</w:t>
      </w:r>
      <w:r w:rsidRPr="00303F23">
        <w:rPr>
          <w:sz w:val="22"/>
          <w:szCs w:val="22"/>
        </w:rPr>
        <w:t xml:space="preserve">-PEBP-1 lacks the N' and C' </w:t>
      </w:r>
      <w:r w:rsidRPr="00303F23">
        <w:rPr>
          <w:sz w:val="22"/>
          <w:szCs w:val="22"/>
        </w:rPr>
        <w:lastRenderedPageBreak/>
        <w:t xml:space="preserve">terminal peptides present in </w:t>
      </w:r>
      <w:r w:rsidRPr="00303F23">
        <w:rPr>
          <w:i/>
          <w:iCs/>
          <w:sz w:val="22"/>
          <w:szCs w:val="22"/>
        </w:rPr>
        <w:t>Mm</w:t>
      </w:r>
      <w:r w:rsidRPr="00303F23">
        <w:rPr>
          <w:sz w:val="22"/>
          <w:szCs w:val="22"/>
        </w:rPr>
        <w:t xml:space="preserve">PEBP1 (shown in blue), but includes additional ShKT domains (shown in red). </w:t>
      </w:r>
      <w:r w:rsidRPr="00303F23">
        <w:rPr>
          <w:b/>
          <w:bCs/>
          <w:sz w:val="22"/>
          <w:szCs w:val="22"/>
        </w:rPr>
        <w:t>c</w:t>
      </w:r>
      <w:r w:rsidRPr="00303F23">
        <w:rPr>
          <w:sz w:val="22"/>
          <w:szCs w:val="22"/>
        </w:rPr>
        <w:t xml:space="preserve"> Cell viability of murine macrophages incubated with 0 (control), 5, 10, 15, 20, 25, 30 and 40 μg/mL recombinant </w:t>
      </w:r>
      <w:r w:rsidRPr="00303F23">
        <w:rPr>
          <w:i/>
          <w:iCs/>
          <w:sz w:val="22"/>
          <w:szCs w:val="22"/>
        </w:rPr>
        <w:t>Tc</w:t>
      </w:r>
      <w:r w:rsidRPr="00303F23">
        <w:rPr>
          <w:sz w:val="22"/>
          <w:szCs w:val="22"/>
        </w:rPr>
        <w:t>-PEBP-1 (r</w:t>
      </w:r>
      <w:r w:rsidRPr="00303F23">
        <w:rPr>
          <w:i/>
          <w:iCs/>
          <w:sz w:val="22"/>
          <w:szCs w:val="22"/>
        </w:rPr>
        <w:t>Tc</w:t>
      </w:r>
      <w:r w:rsidRPr="00303F23">
        <w:rPr>
          <w:sz w:val="22"/>
          <w:szCs w:val="22"/>
        </w:rPr>
        <w:t xml:space="preserve">-PEBP-1) produced in </w:t>
      </w:r>
      <w:r w:rsidRPr="00303F23">
        <w:rPr>
          <w:i/>
          <w:iCs/>
          <w:sz w:val="22"/>
          <w:szCs w:val="22"/>
        </w:rPr>
        <w:t>Escherichia coli</w:t>
      </w:r>
      <w:r w:rsidRPr="00303F23">
        <w:rPr>
          <w:sz w:val="22"/>
          <w:szCs w:val="22"/>
        </w:rPr>
        <w:t xml:space="preserve">. </w:t>
      </w:r>
      <w:r w:rsidRPr="00303F23">
        <w:rPr>
          <w:b/>
          <w:bCs/>
          <w:sz w:val="22"/>
          <w:szCs w:val="22"/>
        </w:rPr>
        <w:t>d</w:t>
      </w:r>
      <w:r w:rsidRPr="00303F23">
        <w:rPr>
          <w:sz w:val="22"/>
          <w:szCs w:val="22"/>
        </w:rPr>
        <w:t xml:space="preserve"> Representative images of macrophages treated with 0.1 μg/mL lipopolysaccharide (LPS), 5 μg/mL and 15 μg/mL r</w:t>
      </w:r>
      <w:r w:rsidRPr="00303F23">
        <w:rPr>
          <w:i/>
          <w:iCs/>
          <w:sz w:val="22"/>
          <w:szCs w:val="22"/>
        </w:rPr>
        <w:t>Tc</w:t>
      </w:r>
      <w:r w:rsidRPr="00303F23">
        <w:rPr>
          <w:sz w:val="22"/>
          <w:szCs w:val="22"/>
        </w:rPr>
        <w:t xml:space="preserve">-PEBP-1, or culture medium (control). </w:t>
      </w:r>
      <w:r w:rsidRPr="00303F23">
        <w:rPr>
          <w:b/>
          <w:bCs/>
          <w:sz w:val="22"/>
          <w:szCs w:val="22"/>
        </w:rPr>
        <w:t>e–g</w:t>
      </w:r>
      <w:r w:rsidRPr="00303F23">
        <w:rPr>
          <w:sz w:val="22"/>
          <w:szCs w:val="22"/>
        </w:rPr>
        <w:t xml:space="preserve"> Western blot analysis of NOD1, NOD2, RIP2, NF-κB p65 and phosphorylated NF-κB p65 (p-p65) in macrophages incubated with 0 (control), 5, 10, 15 and 20 μg/mL r</w:t>
      </w:r>
      <w:r w:rsidRPr="00303F23">
        <w:rPr>
          <w:i/>
          <w:iCs/>
          <w:sz w:val="22"/>
          <w:szCs w:val="22"/>
        </w:rPr>
        <w:t>Tc</w:t>
      </w:r>
      <w:r w:rsidRPr="00303F23">
        <w:rPr>
          <w:sz w:val="22"/>
          <w:szCs w:val="22"/>
        </w:rPr>
        <w:t xml:space="preserve">-PEBP-1. GAPDH is used as internal control. Band intensities relative to GAPDH are quantified and shown in bar plots. </w:t>
      </w:r>
      <w:r w:rsidRPr="00303F23">
        <w:rPr>
          <w:b/>
          <w:bCs/>
          <w:sz w:val="22"/>
          <w:szCs w:val="22"/>
        </w:rPr>
        <w:t>h</w:t>
      </w:r>
      <w:r w:rsidRPr="00303F23">
        <w:rPr>
          <w:sz w:val="22"/>
          <w:szCs w:val="22"/>
        </w:rPr>
        <w:t xml:space="preserve"> Western blotting of NF-κB p65 and p-p65 in macrophages treated with 5 μg/mL r</w:t>
      </w:r>
      <w:r w:rsidRPr="00303F23">
        <w:rPr>
          <w:i/>
          <w:iCs/>
          <w:sz w:val="22"/>
          <w:szCs w:val="22"/>
        </w:rPr>
        <w:t>Tc</w:t>
      </w:r>
      <w:r w:rsidRPr="00303F23">
        <w:rPr>
          <w:sz w:val="22"/>
          <w:szCs w:val="22"/>
        </w:rPr>
        <w:t xml:space="preserve">-PEBP-1 combined with small interfering RNA (siRNA) targeting </w:t>
      </w:r>
      <w:r w:rsidRPr="00303F23">
        <w:rPr>
          <w:i/>
          <w:iCs/>
          <w:sz w:val="22"/>
          <w:szCs w:val="22"/>
        </w:rPr>
        <w:t>Nod1</w:t>
      </w:r>
      <w:r w:rsidRPr="00303F23">
        <w:rPr>
          <w:sz w:val="22"/>
          <w:szCs w:val="22"/>
        </w:rPr>
        <w:t xml:space="preserve">, </w:t>
      </w:r>
      <w:r w:rsidRPr="00303F23">
        <w:rPr>
          <w:i/>
          <w:iCs/>
          <w:sz w:val="22"/>
          <w:szCs w:val="22"/>
        </w:rPr>
        <w:t>Nod2</w:t>
      </w:r>
      <w:r w:rsidRPr="00303F23">
        <w:rPr>
          <w:sz w:val="22"/>
          <w:szCs w:val="22"/>
        </w:rPr>
        <w:t xml:space="preserve"> or </w:t>
      </w:r>
      <w:r w:rsidRPr="00303F23">
        <w:rPr>
          <w:i/>
          <w:iCs/>
          <w:sz w:val="22"/>
          <w:szCs w:val="22"/>
        </w:rPr>
        <w:t>Rip2</w:t>
      </w:r>
      <w:r w:rsidRPr="00303F23">
        <w:rPr>
          <w:sz w:val="22"/>
          <w:szCs w:val="22"/>
        </w:rPr>
        <w:t xml:space="preserve"> gene, or control medium. Band intensities relative to GAPDH are shown in bar plots. Statistical significance among treatments is assessed by one-way ANOVA; different letters indicate significant differences (</w:t>
      </w:r>
      <w:r w:rsidRPr="00303F23">
        <w:rPr>
          <w:i/>
          <w:iCs/>
          <w:sz w:val="22"/>
          <w:szCs w:val="22"/>
        </w:rPr>
        <w:t>p</w:t>
      </w:r>
      <w:r w:rsidRPr="00303F23">
        <w:rPr>
          <w:sz w:val="22"/>
          <w:szCs w:val="22"/>
        </w:rPr>
        <w:t xml:space="preserve"> &lt; 0.05).</w:t>
      </w:r>
    </w:p>
    <w:p w14:paraId="727ADD6F" w14:textId="77777777" w:rsidR="003121EB" w:rsidRPr="00303F23" w:rsidRDefault="003121EB" w:rsidP="003121EB">
      <w:pPr>
        <w:adjustRightInd w:val="0"/>
        <w:snapToGrid w:val="0"/>
        <w:spacing w:line="480" w:lineRule="auto"/>
        <w:jc w:val="both"/>
        <w:rPr>
          <w:sz w:val="22"/>
          <w:szCs w:val="22"/>
        </w:rPr>
      </w:pPr>
    </w:p>
    <w:p w14:paraId="6E8DE215" w14:textId="77777777" w:rsidR="003121EB" w:rsidRPr="00303F23" w:rsidRDefault="003121EB" w:rsidP="003121EB">
      <w:pPr>
        <w:adjustRightInd w:val="0"/>
        <w:snapToGrid w:val="0"/>
        <w:spacing w:line="480" w:lineRule="auto"/>
        <w:jc w:val="both"/>
        <w:rPr>
          <w:b/>
          <w:bCs/>
          <w:sz w:val="22"/>
          <w:szCs w:val="22"/>
          <w:lang w:eastAsia="zh-CN"/>
        </w:rPr>
      </w:pPr>
      <w:r w:rsidRPr="00303F23">
        <w:rPr>
          <w:b/>
          <w:bCs/>
          <w:sz w:val="22"/>
          <w:szCs w:val="22"/>
        </w:rPr>
        <w:t xml:space="preserve">Supplementary Fig. 7 </w:t>
      </w:r>
      <w:r>
        <w:rPr>
          <w:b/>
          <w:bCs/>
          <w:sz w:val="22"/>
          <w:szCs w:val="22"/>
        </w:rPr>
        <w:t xml:space="preserve">| </w:t>
      </w:r>
      <w:r w:rsidRPr="00303F23">
        <w:rPr>
          <w:b/>
          <w:bCs/>
          <w:sz w:val="22"/>
          <w:szCs w:val="22"/>
        </w:rPr>
        <w:t xml:space="preserve">Pathological consequences of </w:t>
      </w:r>
      <w:r w:rsidRPr="00303F23">
        <w:rPr>
          <w:b/>
          <w:bCs/>
          <w:i/>
          <w:iCs/>
          <w:sz w:val="22"/>
          <w:szCs w:val="22"/>
        </w:rPr>
        <w:t>Toxocara canis</w:t>
      </w:r>
      <w:r w:rsidRPr="00303F23">
        <w:rPr>
          <w:b/>
          <w:bCs/>
          <w:sz w:val="22"/>
          <w:szCs w:val="22"/>
        </w:rPr>
        <w:t xml:space="preserve"> neuroinvasion in mice.</w:t>
      </w:r>
      <w:r>
        <w:rPr>
          <w:b/>
          <w:bCs/>
          <w:sz w:val="22"/>
          <w:szCs w:val="22"/>
          <w:lang w:eastAsia="zh-CN"/>
        </w:rPr>
        <w:t xml:space="preserve"> </w:t>
      </w:r>
      <w:r w:rsidRPr="00303F23">
        <w:rPr>
          <w:sz w:val="22"/>
          <w:szCs w:val="22"/>
        </w:rPr>
        <w:t>Annotation of cell clusters and spatial mapping in cerebrum slices S2 and S3. Unsymmetrical distributions of astrocytes, dendritic cells, neurons, oligodendrocytes and T cells are highlighted in black boxes. Associated Gene Ontology biological processes include axonogenesis, cell–substrate adhesion, dendritic spine formation, gliogenesis and synapse organisation. Enriched pathways include cellular responses to alkaloid, cholinergic synapse, negative regulation of cell migration and neuron projection development, high-density lipoprotein particle, oxytocin signalling and wound healing.</w:t>
      </w:r>
    </w:p>
    <w:p w14:paraId="54273C15" w14:textId="77777777" w:rsidR="003121EB" w:rsidRPr="00303F23" w:rsidRDefault="003121EB" w:rsidP="003121EB">
      <w:pPr>
        <w:contextualSpacing/>
        <w:jc w:val="both"/>
        <w:rPr>
          <w:sz w:val="22"/>
          <w:szCs w:val="22"/>
          <w:lang w:eastAsia="zh-CN"/>
        </w:rPr>
      </w:pPr>
    </w:p>
    <w:p w14:paraId="2924C177" w14:textId="77777777" w:rsidR="00865217" w:rsidRDefault="00865217"/>
    <w:sectPr w:rsidR="00865217" w:rsidSect="003121EB">
      <w:footerReference w:type="even" r:id="rId4"/>
      <w:footerReference w:type="default" r:id="rId5"/>
      <w:pgSz w:w="11906" w:h="16838"/>
      <w:pgMar w:top="1440" w:right="1080" w:bottom="1440" w:left="108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8825240"/>
      <w:docPartObj>
        <w:docPartGallery w:val="Page Numbers (Bottom of Page)"/>
        <w:docPartUnique/>
      </w:docPartObj>
    </w:sdtPr>
    <w:sdtContent>
      <w:p w14:paraId="0038E699" w14:textId="77777777" w:rsidR="00000000" w:rsidRDefault="00000000" w:rsidP="00986A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F31D74" w14:textId="77777777" w:rsidR="00000000" w:rsidRDefault="00000000" w:rsidP="00E0418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1878857"/>
      <w:docPartObj>
        <w:docPartGallery w:val="Page Numbers (Bottom of Page)"/>
        <w:docPartUnique/>
      </w:docPartObj>
    </w:sdtPr>
    <w:sdtContent>
      <w:p w14:paraId="34106CBC" w14:textId="77777777" w:rsidR="00000000" w:rsidRDefault="00000000" w:rsidP="00986A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282669" w14:textId="77777777" w:rsidR="00000000" w:rsidRDefault="00000000" w:rsidP="00E0418C">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1EB"/>
    <w:rsid w:val="0000313E"/>
    <w:rsid w:val="002E281E"/>
    <w:rsid w:val="003121EB"/>
    <w:rsid w:val="003201BB"/>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79CB0"/>
  <w15:chartTrackingRefBased/>
  <w15:docId w15:val="{400B0E24-0815-4E3B-AC4E-89E3BA52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1EB"/>
    <w:pPr>
      <w:spacing w:after="0" w:line="240" w:lineRule="auto"/>
    </w:pPr>
    <w:rPr>
      <w:rFonts w:ascii="Times New Roman" w:eastAsia="Times New Roman" w:hAnsi="Times New Roman" w:cs="Times New Roman"/>
      <w:kern w:val="0"/>
      <w:lang w:val="en-AU" w:eastAsia="en-GB"/>
      <w14:ligatures w14:val="none"/>
    </w:rPr>
  </w:style>
  <w:style w:type="paragraph" w:styleId="Heading1">
    <w:name w:val="heading 1"/>
    <w:basedOn w:val="Normal"/>
    <w:next w:val="Normal"/>
    <w:link w:val="Heading1Char"/>
    <w:uiPriority w:val="9"/>
    <w:qFormat/>
    <w:rsid w:val="003121E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3121E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3121E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3121E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3121E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3121E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3121EB"/>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3121EB"/>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3121EB"/>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1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21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21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21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21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2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2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2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21EB"/>
    <w:rPr>
      <w:rFonts w:eastAsiaTheme="majorEastAsia" w:cstheme="majorBidi"/>
      <w:color w:val="272727" w:themeColor="text1" w:themeTint="D8"/>
    </w:rPr>
  </w:style>
  <w:style w:type="paragraph" w:styleId="Title">
    <w:name w:val="Title"/>
    <w:basedOn w:val="Normal"/>
    <w:next w:val="Normal"/>
    <w:link w:val="TitleChar"/>
    <w:uiPriority w:val="10"/>
    <w:qFormat/>
    <w:rsid w:val="003121EB"/>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312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21E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312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21EB"/>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3121EB"/>
    <w:rPr>
      <w:i/>
      <w:iCs/>
      <w:color w:val="404040" w:themeColor="text1" w:themeTint="BF"/>
    </w:rPr>
  </w:style>
  <w:style w:type="paragraph" w:styleId="ListParagraph">
    <w:name w:val="List Paragraph"/>
    <w:basedOn w:val="Normal"/>
    <w:uiPriority w:val="34"/>
    <w:qFormat/>
    <w:rsid w:val="003121EB"/>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3121EB"/>
    <w:rPr>
      <w:i/>
      <w:iCs/>
      <w:color w:val="0F4761" w:themeColor="accent1" w:themeShade="BF"/>
    </w:rPr>
  </w:style>
  <w:style w:type="paragraph" w:styleId="IntenseQuote">
    <w:name w:val="Intense Quote"/>
    <w:basedOn w:val="Normal"/>
    <w:next w:val="Normal"/>
    <w:link w:val="IntenseQuoteChar"/>
    <w:uiPriority w:val="30"/>
    <w:qFormat/>
    <w:rsid w:val="003121E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3121EB"/>
    <w:rPr>
      <w:i/>
      <w:iCs/>
      <w:color w:val="0F4761" w:themeColor="accent1" w:themeShade="BF"/>
    </w:rPr>
  </w:style>
  <w:style w:type="character" w:styleId="IntenseReference">
    <w:name w:val="Intense Reference"/>
    <w:basedOn w:val="DefaultParagraphFont"/>
    <w:uiPriority w:val="32"/>
    <w:qFormat/>
    <w:rsid w:val="003121EB"/>
    <w:rPr>
      <w:b/>
      <w:bCs/>
      <w:smallCaps/>
      <w:color w:val="0F4761" w:themeColor="accent1" w:themeShade="BF"/>
      <w:spacing w:val="5"/>
    </w:rPr>
  </w:style>
  <w:style w:type="paragraph" w:styleId="Footer">
    <w:name w:val="footer"/>
    <w:basedOn w:val="Normal"/>
    <w:link w:val="FooterChar"/>
    <w:uiPriority w:val="99"/>
    <w:unhideWhenUsed/>
    <w:rsid w:val="003121EB"/>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3121EB"/>
    <w:rPr>
      <w:rFonts w:ascii="Times New Roman" w:eastAsia="Times New Roman" w:hAnsi="Times New Roman" w:cs="Times New Roman"/>
      <w:kern w:val="0"/>
      <w:sz w:val="18"/>
      <w:szCs w:val="18"/>
      <w:lang w:val="en-AU" w:eastAsia="en-GB"/>
      <w14:ligatures w14:val="none"/>
    </w:rPr>
  </w:style>
  <w:style w:type="character" w:styleId="PageNumber">
    <w:name w:val="page number"/>
    <w:basedOn w:val="DefaultParagraphFont"/>
    <w:uiPriority w:val="99"/>
    <w:semiHidden/>
    <w:unhideWhenUsed/>
    <w:rsid w:val="003121EB"/>
  </w:style>
  <w:style w:type="character" w:styleId="LineNumber">
    <w:name w:val="line number"/>
    <w:basedOn w:val="DefaultParagraphFont"/>
    <w:uiPriority w:val="99"/>
    <w:semiHidden/>
    <w:unhideWhenUsed/>
    <w:rsid w:val="00312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5833</Characters>
  <Application>Microsoft Office Word</Application>
  <DocSecurity>0</DocSecurity>
  <Lines>48</Lines>
  <Paragraphs>13</Paragraphs>
  <ScaleCrop>false</ScaleCrop>
  <Company>Springer Nature</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2025-06-09T09:37:00Z</dcterms:created>
  <dcterms:modified xsi:type="dcterms:W3CDTF">2025-06-09T09:37:00Z</dcterms:modified>
</cp:coreProperties>
</file>