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3A84" w14:textId="201F503A" w:rsidR="007B1406" w:rsidRPr="00283E09" w:rsidRDefault="007B1406" w:rsidP="00283E09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283E09">
        <w:rPr>
          <w:rFonts w:ascii="Arial" w:hAnsi="Arial" w:cs="Arial"/>
          <w:b/>
          <w:bCs/>
          <w:sz w:val="22"/>
          <w:szCs w:val="22"/>
        </w:rPr>
        <w:t>Supplementary Figure Legends:</w:t>
      </w:r>
    </w:p>
    <w:p w14:paraId="33117866" w14:textId="3D1CC0E2" w:rsidR="00AD2AB8" w:rsidRPr="00283E09" w:rsidRDefault="00AD2AB8" w:rsidP="00283E09">
      <w:pPr>
        <w:spacing w:after="0" w:line="480" w:lineRule="auto"/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</w:pPr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Supplementary Figure S1:</w:t>
      </w:r>
    </w:p>
    <w:p w14:paraId="4044AEAE" w14:textId="4E1430A0" w:rsidR="00AD2AB8" w:rsidRPr="00283E09" w:rsidRDefault="00AD2AB8" w:rsidP="00283E09">
      <w:pPr>
        <w:spacing w:after="0" w:line="480" w:lineRule="auto"/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</w:pPr>
      <w:r w:rsidRPr="00283E09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14:ligatures w14:val="none"/>
        </w:rPr>
        <w:t xml:space="preserve">Assembly alignment to canonical </w:t>
      </w:r>
      <w:proofErr w:type="spellStart"/>
      <w:r w:rsidRPr="00283E09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14:ligatures w14:val="none"/>
        </w:rPr>
        <w:t>pLVPK</w:t>
      </w:r>
      <w:proofErr w:type="spellEnd"/>
      <w:r w:rsidRPr="00283E09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14:ligatures w14:val="none"/>
        </w:rPr>
        <w:t xml:space="preserve"> sequence</w:t>
      </w:r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. The three clinical isolates from the patient are represented in green and the three spontaneous </w:t>
      </w:r>
      <w:proofErr w:type="gramStart"/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capsule</w:t>
      </w:r>
      <w:proofErr w:type="gramEnd"/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 minus derivatives are represented in teal. Assemblies of all six isolates possess sequences that align to a significant fraction of </w:t>
      </w:r>
      <w:proofErr w:type="spellStart"/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pLVPK</w:t>
      </w:r>
      <w:proofErr w:type="spellEnd"/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 sequence, including regions that carry the five canonical virulence biomarkers: </w:t>
      </w:r>
      <w:proofErr w:type="spellStart"/>
      <w:r w:rsidRPr="00283E09">
        <w:rPr>
          <w:rFonts w:ascii="Arial" w:eastAsia="Times New Roman" w:hAnsi="Arial" w:cs="Arial"/>
          <w:i/>
          <w:iCs/>
          <w:color w:val="212121"/>
          <w:kern w:val="0"/>
          <w:sz w:val="22"/>
          <w:szCs w:val="22"/>
          <w14:ligatures w14:val="none"/>
        </w:rPr>
        <w:t>iucA</w:t>
      </w:r>
      <w:proofErr w:type="spellEnd"/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, </w:t>
      </w:r>
      <w:proofErr w:type="spellStart"/>
      <w:r w:rsidRPr="00283E09">
        <w:rPr>
          <w:rFonts w:ascii="Arial" w:eastAsia="Times New Roman" w:hAnsi="Arial" w:cs="Arial"/>
          <w:i/>
          <w:iCs/>
          <w:color w:val="212121"/>
          <w:kern w:val="0"/>
          <w:sz w:val="22"/>
          <w:szCs w:val="22"/>
          <w14:ligatures w14:val="none"/>
        </w:rPr>
        <w:t>iroB</w:t>
      </w:r>
      <w:proofErr w:type="spellEnd"/>
      <w:r w:rsidRPr="00283E09">
        <w:rPr>
          <w:rFonts w:ascii="Arial" w:eastAsia="Times New Roman" w:hAnsi="Arial" w:cs="Arial"/>
          <w:i/>
          <w:iCs/>
          <w:color w:val="212121"/>
          <w:kern w:val="0"/>
          <w:sz w:val="22"/>
          <w:szCs w:val="22"/>
          <w14:ligatures w14:val="none"/>
        </w:rPr>
        <w:t>, peg-344,</w:t>
      </w:r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 and </w:t>
      </w:r>
      <w:proofErr w:type="spellStart"/>
      <w:r w:rsidRPr="00283E09">
        <w:rPr>
          <w:rFonts w:ascii="Arial" w:eastAsia="Times New Roman" w:hAnsi="Arial" w:cs="Arial"/>
          <w:i/>
          <w:iCs/>
          <w:color w:val="212121"/>
          <w:kern w:val="0"/>
          <w:sz w:val="22"/>
          <w:szCs w:val="22"/>
          <w14:ligatures w14:val="none"/>
        </w:rPr>
        <w:t>rmpA</w:t>
      </w:r>
      <w:proofErr w:type="spellEnd"/>
      <w:r w:rsidRPr="00283E09">
        <w:rPr>
          <w:rFonts w:ascii="Arial" w:eastAsia="Times New Roman" w:hAnsi="Arial" w:cs="Arial"/>
          <w:i/>
          <w:iCs/>
          <w:color w:val="212121"/>
          <w:kern w:val="0"/>
          <w:sz w:val="22"/>
          <w:szCs w:val="22"/>
          <w14:ligatures w14:val="none"/>
        </w:rPr>
        <w:t>/A2</w:t>
      </w:r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. Alignment boundaries to the </w:t>
      </w:r>
      <w:proofErr w:type="spellStart"/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pLVPK</w:t>
      </w:r>
      <w:proofErr w:type="spellEnd"/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 xml:space="preserve"> sequence indicate that the six isolates likely carry identical or very genetically similar </w:t>
      </w:r>
      <w:proofErr w:type="spellStart"/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pLVPK</w:t>
      </w:r>
      <w:proofErr w:type="spellEnd"/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-like plasmids.</w:t>
      </w:r>
    </w:p>
    <w:p w14:paraId="25EE29F2" w14:textId="77777777" w:rsidR="00AD2AB8" w:rsidRPr="00283E09" w:rsidRDefault="00AD2AB8" w:rsidP="00283E09">
      <w:pPr>
        <w:spacing w:after="0" w:line="480" w:lineRule="auto"/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</w:pPr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 </w:t>
      </w:r>
    </w:p>
    <w:p w14:paraId="76AFB905" w14:textId="151ADBE4" w:rsidR="00AD2AB8" w:rsidRPr="00283E09" w:rsidRDefault="00AD2AB8" w:rsidP="00283E09">
      <w:pPr>
        <w:spacing w:after="0" w:line="480" w:lineRule="auto"/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</w:pPr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Supplementary Figure S2:</w:t>
      </w:r>
    </w:p>
    <w:p w14:paraId="4E59E582" w14:textId="6B97C357" w:rsidR="00AD2AB8" w:rsidRPr="00283E09" w:rsidRDefault="00AD2AB8" w:rsidP="00283E09">
      <w:pPr>
        <w:spacing w:after="0" w:line="480" w:lineRule="auto"/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</w:pPr>
      <w:r w:rsidRPr="00283E09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14:ligatures w14:val="none"/>
        </w:rPr>
        <w:t>Protein alignment of the </w:t>
      </w:r>
      <w:proofErr w:type="spellStart"/>
      <w:r w:rsidRPr="00283E09">
        <w:rPr>
          <w:rFonts w:ascii="Arial" w:eastAsia="Times New Roman" w:hAnsi="Arial" w:cs="Arial"/>
          <w:b/>
          <w:bCs/>
          <w:i/>
          <w:iCs/>
          <w:color w:val="212121"/>
          <w:kern w:val="0"/>
          <w:sz w:val="22"/>
          <w:szCs w:val="22"/>
          <w14:ligatures w14:val="none"/>
        </w:rPr>
        <w:t>wcaJ</w:t>
      </w:r>
      <w:proofErr w:type="spellEnd"/>
      <w:r w:rsidRPr="00283E09">
        <w:rPr>
          <w:rFonts w:ascii="Arial" w:eastAsia="Times New Roman" w:hAnsi="Arial" w:cs="Arial"/>
          <w:b/>
          <w:bCs/>
          <w:i/>
          <w:iCs/>
          <w:color w:val="212121"/>
          <w:kern w:val="0"/>
          <w:sz w:val="22"/>
          <w:szCs w:val="22"/>
          <w14:ligatures w14:val="none"/>
        </w:rPr>
        <w:t> </w:t>
      </w:r>
      <w:r w:rsidRPr="00283E09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14:ligatures w14:val="none"/>
        </w:rPr>
        <w:t xml:space="preserve">gene between the three clinical isolates and each of the three spontaneous </w:t>
      </w:r>
      <w:proofErr w:type="gramStart"/>
      <w:r w:rsidRPr="00283E09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14:ligatures w14:val="none"/>
        </w:rPr>
        <w:t>capsule</w:t>
      </w:r>
      <w:proofErr w:type="gramEnd"/>
      <w:r w:rsidRPr="00283E09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14:ligatures w14:val="none"/>
        </w:rPr>
        <w:t xml:space="preserve"> minus derivatives</w:t>
      </w:r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. Kpn031824-1 G2 possesses a </w:t>
      </w:r>
      <w:proofErr w:type="spellStart"/>
      <w:r w:rsidRPr="00283E09">
        <w:rPr>
          <w:rFonts w:ascii="Arial" w:eastAsia="Times New Roman" w:hAnsi="Arial" w:cs="Arial"/>
          <w:i/>
          <w:iCs/>
          <w:color w:val="212121"/>
          <w:kern w:val="0"/>
          <w:sz w:val="22"/>
          <w:szCs w:val="22"/>
          <w14:ligatures w14:val="none"/>
        </w:rPr>
        <w:t>wcaJ</w:t>
      </w:r>
      <w:proofErr w:type="spellEnd"/>
      <w:r w:rsidRPr="00283E09">
        <w:rPr>
          <w:rFonts w:ascii="Arial" w:eastAsia="Times New Roman" w:hAnsi="Arial" w:cs="Arial"/>
          <w:i/>
          <w:iCs/>
          <w:color w:val="212121"/>
          <w:kern w:val="0"/>
          <w:sz w:val="22"/>
          <w:szCs w:val="22"/>
          <w14:ligatures w14:val="none"/>
        </w:rPr>
        <w:t> </w:t>
      </w:r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variant that differs from wild-type by one amino acid residue at site 173. Kpn031824-1 G1 possesses a </w:t>
      </w:r>
      <w:proofErr w:type="spellStart"/>
      <w:r w:rsidRPr="00283E09">
        <w:rPr>
          <w:rFonts w:ascii="Arial" w:eastAsia="Times New Roman" w:hAnsi="Arial" w:cs="Arial"/>
          <w:i/>
          <w:iCs/>
          <w:color w:val="212121"/>
          <w:kern w:val="0"/>
          <w:sz w:val="22"/>
          <w:szCs w:val="22"/>
          <w14:ligatures w14:val="none"/>
        </w:rPr>
        <w:t>wcaJ</w:t>
      </w:r>
      <w:proofErr w:type="spellEnd"/>
      <w:r w:rsidRPr="00283E09">
        <w:rPr>
          <w:rFonts w:ascii="Arial" w:eastAsia="Times New Roman" w:hAnsi="Arial" w:cs="Arial"/>
          <w:i/>
          <w:iCs/>
          <w:color w:val="212121"/>
          <w:kern w:val="0"/>
          <w:sz w:val="22"/>
          <w:szCs w:val="22"/>
          <w14:ligatures w14:val="none"/>
        </w:rPr>
        <w:t> </w:t>
      </w:r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variant with an early stop codon at site 250. KPN031824-1 G3 possesses a </w:t>
      </w:r>
      <w:proofErr w:type="spellStart"/>
      <w:r w:rsidRPr="00283E09">
        <w:rPr>
          <w:rFonts w:ascii="Arial" w:eastAsia="Times New Roman" w:hAnsi="Arial" w:cs="Arial"/>
          <w:i/>
          <w:iCs/>
          <w:color w:val="212121"/>
          <w:kern w:val="0"/>
          <w:sz w:val="22"/>
          <w:szCs w:val="22"/>
          <w14:ligatures w14:val="none"/>
        </w:rPr>
        <w:t>wcaJ</w:t>
      </w:r>
      <w:proofErr w:type="spellEnd"/>
      <w:r w:rsidRPr="00283E09">
        <w:rPr>
          <w:rFonts w:ascii="Arial" w:eastAsia="Times New Roman" w:hAnsi="Arial" w:cs="Arial"/>
          <w:i/>
          <w:iCs/>
          <w:color w:val="212121"/>
          <w:kern w:val="0"/>
          <w:sz w:val="22"/>
          <w:szCs w:val="22"/>
          <w14:ligatures w14:val="none"/>
        </w:rPr>
        <w:t> </w:t>
      </w:r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variant with a frameshift mutation beginning at site 272, eventually hitting a stop codon 16 residues downstream of the frameshift. Both stop codon mutations are high impact variants, likely leading to loss of function of </w:t>
      </w:r>
      <w:proofErr w:type="spellStart"/>
      <w:r w:rsidRPr="00283E09">
        <w:rPr>
          <w:rFonts w:ascii="Arial" w:eastAsia="Times New Roman" w:hAnsi="Arial" w:cs="Arial"/>
          <w:i/>
          <w:iCs/>
          <w:color w:val="212121"/>
          <w:kern w:val="0"/>
          <w:sz w:val="22"/>
          <w:szCs w:val="22"/>
          <w14:ligatures w14:val="none"/>
        </w:rPr>
        <w:t>wcaJ</w:t>
      </w:r>
      <w:proofErr w:type="spellEnd"/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. The missense mutation in Kpn031824-1 G2 has a putative effect on the final protein structure of </w:t>
      </w:r>
      <w:proofErr w:type="spellStart"/>
      <w:r w:rsidRPr="00283E09">
        <w:rPr>
          <w:rFonts w:ascii="Arial" w:eastAsia="Times New Roman" w:hAnsi="Arial" w:cs="Arial"/>
          <w:i/>
          <w:iCs/>
          <w:color w:val="212121"/>
          <w:kern w:val="0"/>
          <w:sz w:val="22"/>
          <w:szCs w:val="22"/>
          <w14:ligatures w14:val="none"/>
        </w:rPr>
        <w:t>wcaJ</w:t>
      </w:r>
      <w:proofErr w:type="spellEnd"/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, potentially leading to a loss of function or decreased functional efficacy.</w:t>
      </w:r>
    </w:p>
    <w:p w14:paraId="604F8579" w14:textId="13208308" w:rsidR="00283E09" w:rsidRPr="006F7523" w:rsidRDefault="00AD2AB8" w:rsidP="006F7523">
      <w:pPr>
        <w:spacing w:after="0" w:line="480" w:lineRule="auto"/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</w:pPr>
      <w:r w:rsidRPr="00283E09">
        <w:rPr>
          <w:rFonts w:ascii="Arial" w:eastAsia="Times New Roman" w:hAnsi="Arial" w:cs="Arial"/>
          <w:color w:val="212121"/>
          <w:kern w:val="0"/>
          <w:sz w:val="22"/>
          <w:szCs w:val="22"/>
          <w14:ligatures w14:val="none"/>
        </w:rPr>
        <w:t> </w:t>
      </w:r>
    </w:p>
    <w:p w14:paraId="5F1E3760" w14:textId="1734624E" w:rsidR="00283E09" w:rsidRPr="00283E09" w:rsidRDefault="00283E09" w:rsidP="00283E09">
      <w:pPr>
        <w:spacing w:line="480" w:lineRule="auto"/>
        <w:rPr>
          <w:rFonts w:ascii="Arial" w:hAnsi="Arial" w:cs="Arial"/>
          <w:sz w:val="22"/>
          <w:szCs w:val="22"/>
        </w:rPr>
      </w:pPr>
      <w:r w:rsidRPr="00283E09">
        <w:rPr>
          <w:rFonts w:ascii="Arial" w:hAnsi="Arial" w:cs="Arial"/>
          <w:sz w:val="22"/>
          <w:szCs w:val="22"/>
        </w:rPr>
        <w:t>Supplementary Figure S</w:t>
      </w:r>
      <w:r>
        <w:rPr>
          <w:rFonts w:ascii="Arial" w:hAnsi="Arial" w:cs="Arial"/>
          <w:sz w:val="22"/>
          <w:szCs w:val="22"/>
        </w:rPr>
        <w:t>3</w:t>
      </w:r>
    </w:p>
    <w:p w14:paraId="08FDCE7A" w14:textId="38CF1D44" w:rsidR="00283E09" w:rsidRPr="00283E09" w:rsidRDefault="00283E09" w:rsidP="00283E09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283E09">
        <w:rPr>
          <w:rFonts w:ascii="Arial" w:hAnsi="Arial" w:cs="Arial"/>
          <w:b/>
          <w:bCs/>
          <w:sz w:val="22"/>
          <w:szCs w:val="22"/>
        </w:rPr>
        <w:t>In vitro growth assessment in LB, che-M9-CA-te, and human serum, ∆56 serum, and ascites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283E09">
        <w:rPr>
          <w:rFonts w:ascii="Arial" w:hAnsi="Arial" w:cs="Arial"/>
          <w:sz w:val="22"/>
          <w:szCs w:val="22"/>
          <w:u w:val="single"/>
        </w:rPr>
        <w:t xml:space="preserve">Panels </w:t>
      </w:r>
      <w:r w:rsidRPr="00283E09">
        <w:rPr>
          <w:rFonts w:ascii="Arial" w:hAnsi="Arial" w:cs="Arial"/>
          <w:sz w:val="22"/>
          <w:szCs w:val="22"/>
          <w:u w:val="single"/>
        </w:rPr>
        <w:t>a-b</w:t>
      </w:r>
      <w:r w:rsidRPr="00283E09">
        <w:rPr>
          <w:rFonts w:ascii="Arial" w:hAnsi="Arial" w:cs="Arial"/>
          <w:b/>
          <w:bCs/>
          <w:sz w:val="22"/>
          <w:szCs w:val="22"/>
        </w:rPr>
        <w:t xml:space="preserve">. </w:t>
      </w:r>
      <w:r w:rsidRPr="00283E09">
        <w:rPr>
          <w:rFonts w:ascii="Arial" w:hAnsi="Arial" w:cs="Arial"/>
          <w:sz w:val="22"/>
          <w:szCs w:val="22"/>
        </w:rPr>
        <w:t>Growth curves for Kp031824-1, Kp031824-2, Kp070124, Kp031824-1 G1, Kp031824-1 G2, and Kp031824-2 G3 in LB and che-M9-CA-te, respectively. Growth was measured by OD</w:t>
      </w:r>
      <w:r w:rsidRPr="00283E09">
        <w:rPr>
          <w:rFonts w:ascii="Arial" w:hAnsi="Arial" w:cs="Arial"/>
          <w:sz w:val="22"/>
          <w:szCs w:val="22"/>
          <w:vertAlign w:val="subscript"/>
        </w:rPr>
        <w:t xml:space="preserve">600 </w:t>
      </w:r>
      <w:r w:rsidRPr="00283E09">
        <w:rPr>
          <w:rFonts w:ascii="Arial" w:hAnsi="Arial" w:cs="Arial"/>
          <w:sz w:val="22"/>
          <w:szCs w:val="22"/>
        </w:rPr>
        <w:t xml:space="preserve">over 24 hours. hvKp1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hvKp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r w:rsidRPr="00283E09">
        <w:rPr>
          <w:rFonts w:ascii="Arial" w:hAnsi="Arial" w:cs="Arial"/>
          <w:sz w:val="22"/>
          <w:szCs w:val="22"/>
        </w:rPr>
        <w:t>and hvKp87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F7523">
        <w:rPr>
          <w:rFonts w:ascii="Arial" w:hAnsi="Arial" w:cs="Arial"/>
          <w:sz w:val="22"/>
          <w:szCs w:val="22"/>
        </w:rPr>
        <w:t>hvKp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283E09">
        <w:rPr>
          <w:rFonts w:ascii="Arial" w:hAnsi="Arial" w:cs="Arial"/>
          <w:sz w:val="22"/>
          <w:szCs w:val="22"/>
        </w:rPr>
        <w:t xml:space="preserve"> were utilized as controls</w:t>
      </w:r>
      <w:r>
        <w:rPr>
          <w:rFonts w:ascii="Arial" w:hAnsi="Arial" w:cs="Arial"/>
          <w:sz w:val="22"/>
          <w:szCs w:val="22"/>
        </w:rPr>
        <w:t xml:space="preserve">. </w:t>
      </w:r>
      <w:r w:rsidRPr="00283E09">
        <w:rPr>
          <w:rFonts w:ascii="Arial" w:hAnsi="Arial" w:cs="Arial"/>
          <w:sz w:val="22"/>
          <w:szCs w:val="22"/>
        </w:rPr>
        <w:t xml:space="preserve">A </w:t>
      </w:r>
      <w:r w:rsidRPr="00283E09">
        <w:rPr>
          <w:rFonts w:ascii="Arial" w:hAnsi="Arial" w:cs="Arial"/>
          <w:sz w:val="22"/>
          <w:szCs w:val="22"/>
        </w:rPr>
        <w:lastRenderedPageBreak/>
        <w:t xml:space="preserve">minimum of three biological replicates with three technical repeats was performed for each strain. </w:t>
      </w:r>
      <w:r w:rsidR="006F7523" w:rsidRPr="006F7523">
        <w:rPr>
          <w:rFonts w:ascii="Arial" w:hAnsi="Arial" w:cs="Arial"/>
          <w:sz w:val="22"/>
          <w:szCs w:val="22"/>
          <w:u w:val="single"/>
        </w:rPr>
        <w:t>Panels c-e</w:t>
      </w:r>
      <w:r w:rsidR="006F7523">
        <w:rPr>
          <w:rFonts w:ascii="Arial" w:hAnsi="Arial" w:cs="Arial"/>
          <w:b/>
          <w:bCs/>
          <w:sz w:val="22"/>
          <w:szCs w:val="22"/>
        </w:rPr>
        <w:t>.</w:t>
      </w:r>
      <w:r w:rsidRPr="00283E09">
        <w:rPr>
          <w:rFonts w:ascii="Arial" w:hAnsi="Arial" w:cs="Arial"/>
          <w:sz w:val="22"/>
          <w:szCs w:val="22"/>
        </w:rPr>
        <w:t xml:space="preserve"> Growth curves for Kp031824-1, Kp031824-2, Kp070124, Kp031824-1 G1, Kp031824-1 G2, and Kp031824-2 G3 in 90% human serum, ∆56 serum, and ascites</w:t>
      </w:r>
      <w:r w:rsidR="006F7523">
        <w:rPr>
          <w:rFonts w:ascii="Arial" w:hAnsi="Arial" w:cs="Arial"/>
          <w:sz w:val="22"/>
          <w:szCs w:val="22"/>
        </w:rPr>
        <w:t>.</w:t>
      </w:r>
      <w:r w:rsidRPr="00283E09">
        <w:rPr>
          <w:rFonts w:ascii="Arial" w:hAnsi="Arial" w:cs="Arial"/>
          <w:sz w:val="22"/>
          <w:szCs w:val="22"/>
        </w:rPr>
        <w:t xml:space="preserve"> Growth was measured via enumeration of colony-forming units over 24 hours. MRSN110821</w:t>
      </w:r>
      <w:r w:rsidR="006F752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F7523">
        <w:rPr>
          <w:rFonts w:ascii="Arial" w:hAnsi="Arial" w:cs="Arial"/>
          <w:sz w:val="22"/>
          <w:szCs w:val="22"/>
        </w:rPr>
        <w:t>cKp</w:t>
      </w:r>
      <w:proofErr w:type="spellEnd"/>
      <w:r w:rsidR="006F7523">
        <w:rPr>
          <w:rFonts w:ascii="Arial" w:hAnsi="Arial" w:cs="Arial"/>
          <w:sz w:val="22"/>
          <w:szCs w:val="22"/>
        </w:rPr>
        <w:t>)</w:t>
      </w:r>
      <w:r w:rsidRPr="00283E09">
        <w:rPr>
          <w:rFonts w:ascii="Arial" w:hAnsi="Arial" w:cs="Arial"/>
          <w:sz w:val="22"/>
          <w:szCs w:val="22"/>
        </w:rPr>
        <w:t xml:space="preserve"> was utilized as a control. A minimum of three biological replicates with two or three technical repeats was performed for all strains in excluding control strains. </w:t>
      </w:r>
    </w:p>
    <w:p w14:paraId="0BE6E67B" w14:textId="77777777" w:rsidR="00283E09" w:rsidRPr="00283E09" w:rsidRDefault="00283E09" w:rsidP="00283E09">
      <w:pPr>
        <w:spacing w:line="480" w:lineRule="auto"/>
        <w:rPr>
          <w:rFonts w:ascii="Arial" w:hAnsi="Arial" w:cs="Arial"/>
          <w:sz w:val="22"/>
          <w:szCs w:val="22"/>
        </w:rPr>
      </w:pPr>
    </w:p>
    <w:p w14:paraId="7E110BDE" w14:textId="13956191" w:rsidR="00283E09" w:rsidRPr="00283E09" w:rsidRDefault="00283E09" w:rsidP="00283E09">
      <w:pPr>
        <w:spacing w:line="480" w:lineRule="auto"/>
        <w:rPr>
          <w:rFonts w:ascii="Arial" w:hAnsi="Arial" w:cs="Arial"/>
          <w:sz w:val="22"/>
          <w:szCs w:val="22"/>
        </w:rPr>
      </w:pPr>
      <w:r w:rsidRPr="00283E09">
        <w:rPr>
          <w:rFonts w:ascii="Arial" w:hAnsi="Arial" w:cs="Arial"/>
          <w:sz w:val="22"/>
          <w:szCs w:val="22"/>
        </w:rPr>
        <w:t>Supplementary Figure S</w:t>
      </w:r>
      <w:r w:rsidR="006B38AB">
        <w:rPr>
          <w:rFonts w:ascii="Arial" w:hAnsi="Arial" w:cs="Arial"/>
          <w:sz w:val="22"/>
          <w:szCs w:val="22"/>
        </w:rPr>
        <w:t>4</w:t>
      </w:r>
    </w:p>
    <w:p w14:paraId="1B16DC17" w14:textId="7C601557" w:rsidR="00283E09" w:rsidRPr="006B38AB" w:rsidRDefault="00283E09" w:rsidP="00283E09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283E09">
        <w:rPr>
          <w:rFonts w:ascii="Arial" w:hAnsi="Arial" w:cs="Arial"/>
          <w:b/>
          <w:bCs/>
          <w:sz w:val="22"/>
          <w:szCs w:val="22"/>
        </w:rPr>
        <w:t>Quantification of T</w:t>
      </w:r>
      <w:r w:rsidRPr="00283E09">
        <w:rPr>
          <w:rFonts w:ascii="Arial" w:hAnsi="Arial" w:cs="Arial"/>
          <w:b/>
          <w:bCs/>
          <w:sz w:val="22"/>
          <w:szCs w:val="22"/>
          <w:vertAlign w:val="subscript"/>
        </w:rPr>
        <w:t>0</w:t>
      </w:r>
      <w:r w:rsidRPr="00283E09">
        <w:rPr>
          <w:rFonts w:ascii="Arial" w:hAnsi="Arial" w:cs="Arial"/>
          <w:b/>
          <w:bCs/>
          <w:sz w:val="22"/>
          <w:szCs w:val="22"/>
        </w:rPr>
        <w:t xml:space="preserve"> bacterial input, </w:t>
      </w:r>
      <w:proofErr w:type="spellStart"/>
      <w:r w:rsidRPr="00283E09">
        <w:rPr>
          <w:rFonts w:ascii="Arial" w:hAnsi="Arial" w:cs="Arial"/>
          <w:b/>
          <w:bCs/>
          <w:sz w:val="22"/>
          <w:szCs w:val="22"/>
        </w:rPr>
        <w:t>T</w:t>
      </w:r>
      <w:r w:rsidRPr="00283E09">
        <w:rPr>
          <w:rFonts w:ascii="Arial" w:hAnsi="Arial" w:cs="Arial"/>
          <w:b/>
          <w:bCs/>
          <w:sz w:val="22"/>
          <w:szCs w:val="22"/>
          <w:vertAlign w:val="subscript"/>
        </w:rPr>
        <w:t>p</w:t>
      </w:r>
      <w:proofErr w:type="spellEnd"/>
      <w:r w:rsidRPr="00283E09">
        <w:rPr>
          <w:rFonts w:ascii="Arial" w:hAnsi="Arial" w:cs="Arial"/>
          <w:b/>
          <w:bCs/>
          <w:sz w:val="22"/>
          <w:szCs w:val="22"/>
        </w:rPr>
        <w:t xml:space="preserve"> bacterial survival, and cytochalasin D (CD) percent survival for phagocytosis assay</w:t>
      </w:r>
      <w:r w:rsidR="006B38AB">
        <w:rPr>
          <w:rFonts w:ascii="Arial" w:hAnsi="Arial" w:cs="Arial"/>
          <w:b/>
          <w:bCs/>
          <w:sz w:val="22"/>
          <w:szCs w:val="22"/>
        </w:rPr>
        <w:t xml:space="preserve">. </w:t>
      </w:r>
      <w:r w:rsidR="006B38AB" w:rsidRPr="006B38AB">
        <w:rPr>
          <w:rFonts w:ascii="Arial" w:hAnsi="Arial" w:cs="Arial"/>
          <w:sz w:val="22"/>
          <w:szCs w:val="22"/>
          <w:u w:val="single"/>
        </w:rPr>
        <w:t>Panel a</w:t>
      </w:r>
      <w:r w:rsidR="006B38AB">
        <w:rPr>
          <w:rFonts w:ascii="Arial" w:hAnsi="Arial" w:cs="Arial"/>
          <w:b/>
          <w:bCs/>
          <w:sz w:val="22"/>
          <w:szCs w:val="22"/>
        </w:rPr>
        <w:t xml:space="preserve">. </w:t>
      </w:r>
      <w:r w:rsidRPr="00283E09">
        <w:rPr>
          <w:rFonts w:ascii="Arial" w:hAnsi="Arial" w:cs="Arial"/>
          <w:sz w:val="22"/>
          <w:szCs w:val="22"/>
        </w:rPr>
        <w:t xml:space="preserve"> Concentrations of bacteria at T</w:t>
      </w:r>
      <w:r w:rsidRPr="00283E09">
        <w:rPr>
          <w:rFonts w:ascii="Arial" w:hAnsi="Arial" w:cs="Arial"/>
          <w:sz w:val="22"/>
          <w:szCs w:val="22"/>
          <w:vertAlign w:val="subscript"/>
        </w:rPr>
        <w:t>0</w:t>
      </w:r>
      <w:r w:rsidRPr="00283E09">
        <w:rPr>
          <w:rFonts w:ascii="Arial" w:hAnsi="Arial" w:cs="Arial"/>
          <w:sz w:val="22"/>
          <w:szCs w:val="22"/>
        </w:rPr>
        <w:t xml:space="preserve"> prior to infection of macrophages, measured in CFU/mL via enumeration of colony-forming units on LB agar. An initial target concentration of approximately 5x10</w:t>
      </w:r>
      <w:r w:rsidRPr="00283E09">
        <w:rPr>
          <w:rFonts w:ascii="Arial" w:hAnsi="Arial" w:cs="Arial"/>
          <w:sz w:val="22"/>
          <w:szCs w:val="22"/>
          <w:vertAlign w:val="superscript"/>
        </w:rPr>
        <w:t xml:space="preserve">6 </w:t>
      </w:r>
      <w:r w:rsidRPr="00283E09">
        <w:rPr>
          <w:rFonts w:ascii="Arial" w:hAnsi="Arial" w:cs="Arial"/>
          <w:sz w:val="22"/>
          <w:szCs w:val="22"/>
        </w:rPr>
        <w:t xml:space="preserve">CFU/mL was attained as shown, from which 500 </w:t>
      </w:r>
      <w:r w:rsidRPr="00283E09">
        <w:rPr>
          <w:rFonts w:ascii="Arial" w:hAnsi="Arial" w:cs="Arial"/>
          <w:sz w:val="22"/>
          <w:szCs w:val="22"/>
          <w:lang w:val="el-GR"/>
        </w:rPr>
        <w:t>μ</w:t>
      </w:r>
      <w:r w:rsidRPr="00283E09">
        <w:rPr>
          <w:rFonts w:ascii="Arial" w:hAnsi="Arial" w:cs="Arial"/>
          <w:sz w:val="22"/>
          <w:szCs w:val="22"/>
        </w:rPr>
        <w:t>L of this cell suspension was added to each well, achieving a concentration of 2.5x10</w:t>
      </w:r>
      <w:r w:rsidRPr="00283E09">
        <w:rPr>
          <w:rFonts w:ascii="Arial" w:hAnsi="Arial" w:cs="Arial"/>
          <w:sz w:val="22"/>
          <w:szCs w:val="22"/>
          <w:vertAlign w:val="superscript"/>
        </w:rPr>
        <w:t>6</w:t>
      </w:r>
      <w:r w:rsidRPr="00283E09">
        <w:rPr>
          <w:rFonts w:ascii="Arial" w:hAnsi="Arial" w:cs="Arial"/>
          <w:sz w:val="22"/>
          <w:szCs w:val="22"/>
        </w:rPr>
        <w:t xml:space="preserve"> CFU/well, and a multiplicity of infection of 10 bacteria for every macrophage. A minimum of three biological replicates for each strain is shown. </w:t>
      </w:r>
      <w:r w:rsidR="006B38AB" w:rsidRPr="006B38AB">
        <w:rPr>
          <w:rFonts w:ascii="Arial" w:hAnsi="Arial" w:cs="Arial"/>
          <w:sz w:val="22"/>
          <w:szCs w:val="22"/>
          <w:u w:val="single"/>
        </w:rPr>
        <w:t>Panel b</w:t>
      </w:r>
      <w:r w:rsidRPr="00283E09">
        <w:rPr>
          <w:rFonts w:ascii="Arial" w:hAnsi="Arial" w:cs="Arial"/>
          <w:b/>
          <w:bCs/>
          <w:sz w:val="22"/>
          <w:szCs w:val="22"/>
        </w:rPr>
        <w:t>.</w:t>
      </w:r>
      <w:r w:rsidRPr="00283E09">
        <w:rPr>
          <w:rFonts w:ascii="Arial" w:hAnsi="Arial" w:cs="Arial"/>
          <w:sz w:val="22"/>
          <w:szCs w:val="22"/>
        </w:rPr>
        <w:t xml:space="preserve"> Concentration of surviving bacteria after a </w:t>
      </w:r>
      <w:proofErr w:type="gramStart"/>
      <w:r w:rsidRPr="00283E09">
        <w:rPr>
          <w:rFonts w:ascii="Arial" w:hAnsi="Arial" w:cs="Arial"/>
          <w:sz w:val="22"/>
          <w:szCs w:val="22"/>
        </w:rPr>
        <w:t>30 minute</w:t>
      </w:r>
      <w:proofErr w:type="gramEnd"/>
      <w:r w:rsidRPr="00283E09">
        <w:rPr>
          <w:rFonts w:ascii="Arial" w:hAnsi="Arial" w:cs="Arial"/>
          <w:sz w:val="22"/>
          <w:szCs w:val="22"/>
        </w:rPr>
        <w:t xml:space="preserve"> infection period, </w:t>
      </w:r>
      <w:proofErr w:type="gramStart"/>
      <w:r w:rsidRPr="00283E09">
        <w:rPr>
          <w:rFonts w:ascii="Arial" w:hAnsi="Arial" w:cs="Arial"/>
          <w:sz w:val="22"/>
          <w:szCs w:val="22"/>
        </w:rPr>
        <w:t>15 minute</w:t>
      </w:r>
      <w:proofErr w:type="gramEnd"/>
      <w:r w:rsidRPr="00283E09">
        <w:rPr>
          <w:rFonts w:ascii="Arial" w:hAnsi="Arial" w:cs="Arial"/>
          <w:sz w:val="22"/>
          <w:szCs w:val="22"/>
        </w:rPr>
        <w:t xml:space="preserve"> gentamicin treatment, and </w:t>
      </w:r>
      <w:proofErr w:type="gramStart"/>
      <w:r w:rsidRPr="00283E09">
        <w:rPr>
          <w:rFonts w:ascii="Arial" w:hAnsi="Arial" w:cs="Arial"/>
          <w:sz w:val="22"/>
          <w:szCs w:val="22"/>
        </w:rPr>
        <w:t>20 minute</w:t>
      </w:r>
      <w:proofErr w:type="gramEnd"/>
      <w:r w:rsidRPr="00283E09">
        <w:rPr>
          <w:rFonts w:ascii="Arial" w:hAnsi="Arial" w:cs="Arial"/>
          <w:sz w:val="22"/>
          <w:szCs w:val="22"/>
        </w:rPr>
        <w:t xml:space="preserve"> lysis of macrophages (time point </w:t>
      </w:r>
      <w:proofErr w:type="spellStart"/>
      <w:r w:rsidRPr="00283E09">
        <w:rPr>
          <w:rFonts w:ascii="Arial" w:hAnsi="Arial" w:cs="Arial"/>
          <w:sz w:val="22"/>
          <w:szCs w:val="22"/>
        </w:rPr>
        <w:t>T</w:t>
      </w:r>
      <w:r w:rsidRPr="00283E09">
        <w:rPr>
          <w:rFonts w:ascii="Arial" w:hAnsi="Arial" w:cs="Arial"/>
          <w:sz w:val="22"/>
          <w:szCs w:val="22"/>
          <w:vertAlign w:val="subscript"/>
        </w:rPr>
        <w:t>p</w:t>
      </w:r>
      <w:proofErr w:type="spellEnd"/>
      <w:r w:rsidRPr="00283E09">
        <w:rPr>
          <w:rFonts w:ascii="Arial" w:hAnsi="Arial" w:cs="Arial"/>
          <w:sz w:val="22"/>
          <w:szCs w:val="22"/>
        </w:rPr>
        <w:t xml:space="preserve">), via enumeration of colony-forming units on LB agar. Control wells were treated with </w:t>
      </w:r>
      <w:r w:rsidR="00A84E9B">
        <w:rPr>
          <w:rFonts w:ascii="Arial" w:hAnsi="Arial" w:cs="Arial"/>
          <w:sz w:val="22"/>
          <w:szCs w:val="22"/>
        </w:rPr>
        <w:t>cytochalasin D (</w:t>
      </w:r>
      <w:r w:rsidRPr="00283E09">
        <w:rPr>
          <w:rFonts w:ascii="Arial" w:hAnsi="Arial" w:cs="Arial"/>
          <w:sz w:val="22"/>
          <w:szCs w:val="22"/>
        </w:rPr>
        <w:t>CD</w:t>
      </w:r>
      <w:r w:rsidR="00A84E9B">
        <w:rPr>
          <w:rFonts w:ascii="Arial" w:hAnsi="Arial" w:cs="Arial"/>
          <w:sz w:val="22"/>
          <w:szCs w:val="22"/>
        </w:rPr>
        <w:t>)</w:t>
      </w:r>
      <w:r w:rsidRPr="00283E09">
        <w:rPr>
          <w:rFonts w:ascii="Arial" w:hAnsi="Arial" w:cs="Arial"/>
          <w:sz w:val="22"/>
          <w:szCs w:val="22"/>
        </w:rPr>
        <w:t xml:space="preserve"> for 30 minutes prior to infection with bacteria. A minimum of three biological replicates with three technical repeats was performed for bacteria </w:t>
      </w:r>
      <w:r w:rsidR="00A84E9B">
        <w:rPr>
          <w:rFonts w:ascii="Arial" w:hAnsi="Arial" w:cs="Arial"/>
          <w:sz w:val="22"/>
          <w:szCs w:val="22"/>
        </w:rPr>
        <w:t xml:space="preserve">that </w:t>
      </w:r>
      <w:r w:rsidRPr="00283E09">
        <w:rPr>
          <w:rFonts w:ascii="Arial" w:hAnsi="Arial" w:cs="Arial"/>
          <w:sz w:val="22"/>
          <w:szCs w:val="22"/>
        </w:rPr>
        <w:t xml:space="preserve">interacted with non-CD treated macrophages. </w:t>
      </w:r>
      <w:r w:rsidR="006B38AB" w:rsidRPr="00A84E9B">
        <w:rPr>
          <w:rFonts w:ascii="Arial" w:hAnsi="Arial" w:cs="Arial"/>
          <w:sz w:val="22"/>
          <w:szCs w:val="22"/>
          <w:u w:val="single"/>
        </w:rPr>
        <w:t>Panel c</w:t>
      </w:r>
      <w:r w:rsidR="006B38AB">
        <w:rPr>
          <w:rFonts w:ascii="Arial" w:hAnsi="Arial" w:cs="Arial"/>
          <w:b/>
          <w:bCs/>
          <w:sz w:val="22"/>
          <w:szCs w:val="22"/>
        </w:rPr>
        <w:t xml:space="preserve">. </w:t>
      </w:r>
      <w:r w:rsidRPr="00283E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3E09">
        <w:rPr>
          <w:rFonts w:ascii="Arial" w:hAnsi="Arial" w:cs="Arial"/>
          <w:sz w:val="22"/>
          <w:szCs w:val="22"/>
        </w:rPr>
        <w:t xml:space="preserve">Survival of bacteria </w:t>
      </w:r>
      <w:r w:rsidR="00A84E9B">
        <w:rPr>
          <w:rFonts w:ascii="Arial" w:hAnsi="Arial" w:cs="Arial"/>
          <w:sz w:val="22"/>
          <w:szCs w:val="22"/>
        </w:rPr>
        <w:t xml:space="preserve">that </w:t>
      </w:r>
      <w:r w:rsidRPr="00283E09">
        <w:rPr>
          <w:rFonts w:ascii="Arial" w:hAnsi="Arial" w:cs="Arial"/>
          <w:sz w:val="22"/>
          <w:szCs w:val="22"/>
        </w:rPr>
        <w:t xml:space="preserve">interacted with CD-treated macrophages as a percentage of surviving bacteria interacted with untreated macrophages. For a given strain, percent survival was calculated by dividing the </w:t>
      </w:r>
      <w:proofErr w:type="spellStart"/>
      <w:r w:rsidRPr="00283E09">
        <w:rPr>
          <w:rFonts w:ascii="Arial" w:hAnsi="Arial" w:cs="Arial"/>
          <w:sz w:val="22"/>
          <w:szCs w:val="22"/>
        </w:rPr>
        <w:t>T</w:t>
      </w:r>
      <w:r w:rsidRPr="00283E09">
        <w:rPr>
          <w:rFonts w:ascii="Arial" w:hAnsi="Arial" w:cs="Arial"/>
          <w:sz w:val="22"/>
          <w:szCs w:val="22"/>
          <w:vertAlign w:val="subscript"/>
        </w:rPr>
        <w:t>p</w:t>
      </w:r>
      <w:proofErr w:type="spellEnd"/>
      <w:r w:rsidRPr="00283E09">
        <w:rPr>
          <w:rFonts w:ascii="Arial" w:hAnsi="Arial" w:cs="Arial"/>
          <w:sz w:val="22"/>
          <w:szCs w:val="22"/>
        </w:rPr>
        <w:t xml:space="preserve"> concentration of bacteria in CD-treated wells by the </w:t>
      </w:r>
      <w:proofErr w:type="spellStart"/>
      <w:r w:rsidRPr="00283E09">
        <w:rPr>
          <w:rFonts w:ascii="Arial" w:hAnsi="Arial" w:cs="Arial"/>
          <w:sz w:val="22"/>
          <w:szCs w:val="22"/>
        </w:rPr>
        <w:t>T</w:t>
      </w:r>
      <w:r w:rsidRPr="00283E09">
        <w:rPr>
          <w:rFonts w:ascii="Arial" w:hAnsi="Arial" w:cs="Arial"/>
          <w:sz w:val="22"/>
          <w:szCs w:val="22"/>
          <w:vertAlign w:val="subscript"/>
        </w:rPr>
        <w:t>p</w:t>
      </w:r>
      <w:proofErr w:type="spellEnd"/>
      <w:r w:rsidRPr="00283E09">
        <w:rPr>
          <w:rFonts w:ascii="Arial" w:hAnsi="Arial" w:cs="Arial"/>
          <w:sz w:val="22"/>
          <w:szCs w:val="22"/>
        </w:rPr>
        <w:t xml:space="preserve"> concentration of bacteria in untreated wells. These data provide insight into CD’s effectiveness at inhibiting phagocytosis and the bactericidal activity of gentamicin for a given experiment. A minimum of three biological </w:t>
      </w:r>
      <w:r w:rsidRPr="00283E09">
        <w:rPr>
          <w:rFonts w:ascii="Arial" w:hAnsi="Arial" w:cs="Arial"/>
          <w:sz w:val="22"/>
          <w:szCs w:val="22"/>
        </w:rPr>
        <w:lastRenderedPageBreak/>
        <w:t xml:space="preserve">replicates per condition for each strain is shown. hvKp2 and hvKp2∆pVir were utilized as controls for phagocytic uptake. All data is presented as the mean ± SD. </w:t>
      </w:r>
    </w:p>
    <w:p w14:paraId="5706211E" w14:textId="77777777" w:rsidR="00283E09" w:rsidRPr="00283E09" w:rsidRDefault="00283E09" w:rsidP="00283E09">
      <w:pPr>
        <w:spacing w:line="480" w:lineRule="auto"/>
        <w:rPr>
          <w:rFonts w:ascii="Arial" w:hAnsi="Arial" w:cs="Arial"/>
          <w:sz w:val="22"/>
          <w:szCs w:val="22"/>
        </w:rPr>
      </w:pPr>
      <w:r w:rsidRPr="00283E09">
        <w:rPr>
          <w:rFonts w:ascii="Arial" w:hAnsi="Arial" w:cs="Arial"/>
          <w:sz w:val="22"/>
          <w:szCs w:val="22"/>
        </w:rPr>
        <w:t xml:space="preserve"> </w:t>
      </w:r>
    </w:p>
    <w:p w14:paraId="1ECC3BD4" w14:textId="77777777" w:rsidR="007B1406" w:rsidRPr="00283E09" w:rsidRDefault="007B1406" w:rsidP="00283E09">
      <w:pPr>
        <w:spacing w:line="480" w:lineRule="auto"/>
        <w:rPr>
          <w:rFonts w:ascii="Arial" w:hAnsi="Arial" w:cs="Arial"/>
          <w:sz w:val="22"/>
          <w:szCs w:val="22"/>
        </w:rPr>
      </w:pPr>
    </w:p>
    <w:sectPr w:rsidR="007B1406" w:rsidRPr="00283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14"/>
    <w:rsid w:val="0000323D"/>
    <w:rsid w:val="00013331"/>
    <w:rsid w:val="00082DAF"/>
    <w:rsid w:val="00105702"/>
    <w:rsid w:val="00123F14"/>
    <w:rsid w:val="001B6ACF"/>
    <w:rsid w:val="002667FF"/>
    <w:rsid w:val="00274C8D"/>
    <w:rsid w:val="00283E09"/>
    <w:rsid w:val="00284707"/>
    <w:rsid w:val="00443758"/>
    <w:rsid w:val="004D654C"/>
    <w:rsid w:val="005A44EE"/>
    <w:rsid w:val="0062738C"/>
    <w:rsid w:val="00682627"/>
    <w:rsid w:val="00683A70"/>
    <w:rsid w:val="006B38AB"/>
    <w:rsid w:val="006F7523"/>
    <w:rsid w:val="00733C8C"/>
    <w:rsid w:val="007B1406"/>
    <w:rsid w:val="007B5874"/>
    <w:rsid w:val="007F01F0"/>
    <w:rsid w:val="00847E67"/>
    <w:rsid w:val="00850DD9"/>
    <w:rsid w:val="009247D0"/>
    <w:rsid w:val="009B3D64"/>
    <w:rsid w:val="00A434E3"/>
    <w:rsid w:val="00A84E9B"/>
    <w:rsid w:val="00AD2AB8"/>
    <w:rsid w:val="00AE2095"/>
    <w:rsid w:val="00D61546"/>
    <w:rsid w:val="00D7076A"/>
    <w:rsid w:val="00DC7611"/>
    <w:rsid w:val="00DE1CBD"/>
    <w:rsid w:val="00E162B4"/>
    <w:rsid w:val="00E3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4EE29"/>
  <w15:chartTrackingRefBased/>
  <w15:docId w15:val="{6D5FB5A2-F077-F644-8702-00C59E8E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F1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D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Russo</dc:creator>
  <cp:keywords/>
  <dc:description/>
  <cp:lastModifiedBy>Thomas Russo</cp:lastModifiedBy>
  <cp:revision>8</cp:revision>
  <dcterms:created xsi:type="dcterms:W3CDTF">2025-05-12T15:33:00Z</dcterms:created>
  <dcterms:modified xsi:type="dcterms:W3CDTF">2025-05-16T17:38:00Z</dcterms:modified>
</cp:coreProperties>
</file>