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Supp. Table 1: SelleckChem compounds used in a cell line/stain set pilot screen.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500"/>
        <w:gridCol w:w="2295"/>
        <w:gridCol w:w="255"/>
        <w:gridCol w:w="1680"/>
        <w:gridCol w:w="2130"/>
        <w:tblGridChange w:id="0">
          <w:tblGrid>
            <w:gridCol w:w="1500"/>
            <w:gridCol w:w="2295"/>
            <w:gridCol w:w="255"/>
            <w:gridCol w:w="1680"/>
            <w:gridCol w:w="21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Compound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HighScoring Class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Compound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MedScoring Class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DCC-2036 (Rebastinib)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ABL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CCT128930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GNF-2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GDC-0068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GNF-5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ABL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GSK690693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GZD824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MK-2206 2HCl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Imatinib Mesylate (STI571)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ABL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PF-04691502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Ponatinib (AP24534)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TIC10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Akt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Dexmedetomidine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ABT-263 (Navitoclax)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Epinephrine Bitartrate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ABT-737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Isoprenaline HCl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AT101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Mirabegron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Gossypol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Ritodrine HCl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HA14-1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Tetrahydrozoline HCl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Adrenergic.Receptor.agonist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Obatoclax Mesylate (GX15-070)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BCL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CYC116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AGI-5198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Danusertib (PHA-739358)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Azathioprine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MK-5108 (VX-689)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CPI-613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MK-8745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Gimeracil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MLN8054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MK-8245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PHA-680632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Aurora.Kinase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Mycophenolate Mofetil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Dehydrogenase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Lornoxicam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3-Deazaneplanocin A (DZNeP)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Mesalamine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Entacapone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Naproxen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EPZ-6438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Phenacetin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EPZ5676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Sulfasalazine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MM-102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Triflusal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COX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SGC 0946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Histone.Methyltransferase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1-Azakenpaullone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Asiatic Acid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AR-A014418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LY2228820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AZD1080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PH-797804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AZD2858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SB202190 (FHPI)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BIO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SB203580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CHIR-99021 (CT99021) HCl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GSK-3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Skepinone-L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p38.MAPK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Azacyclonol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AG-14361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Azatadine dimaleate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AZD2461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Bepotastine Besilate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Iniparib (BSI-201)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Betahistine 2HCl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INO-1001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Brompheniramine hydrogen maleate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ME0328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Clemastine Fumarate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Histamine.Receptor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Olaparib (AZD2281; Ku-0059436)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PARP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17-AAG (Tanespimycin)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Ciprofibrate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AT13387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GW9662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AUY922 (NVP-AUY922)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Rosiglitazone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CH5138303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Rosiglitazone HCl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Ganetespib (STA-9090)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Rosiglitazone maleate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HSP990 (NVP-HSP990)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HSP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T0070907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PPAR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CYT997 (Lexibulin)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Clopamide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Docetaxel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Dibucaine HCl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Epothilone A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Ibutilide Fumarate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Epothilone B (EPO906; Patupilone)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Oxcarbazepine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Nocodazole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Phenytoin sodium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Paclitaxel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Microtubule.Associated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Procaine HCl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Sodium.Channel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Cilazapril Monohydrate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FH535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Wnt.beta-catenin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Clinofibrate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IWP-2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Wnt.beta-catenin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Enalapril Maleate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IWP-L6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Wnt.beta-catenin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Moexipril HCl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Olmesartan Medoxomil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Quinapril HCl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RAAS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Ki8751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KRN 633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Pazopanib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Regorafenib (BAY 73-4506)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Telatinib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Tivozanib (AV-951)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VEGFR.KIT.PDGFR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color w:val="000000"/>
        </w:rPr>
      </w:pPr>
      <w:r w:rsidDel="00000000" w:rsidR="00000000" w:rsidRPr="00000000">
        <w:rPr>
          <w:rtl w:val="0"/>
        </w:rPr>
        <w:t xml:space="preserve">Supp. Table 2: Positive controls used in 10</w:t>
      </w:r>
      <w:r w:rsidDel="00000000" w:rsidR="00000000" w:rsidRPr="00000000">
        <w:rPr>
          <w:color w:val="000000"/>
          <w:rtl w:val="0"/>
        </w:rPr>
        <w:t xml:space="preserve">μM TargetMol screen</w:t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4410"/>
        <w:gridCol w:w="3090"/>
        <w:gridCol w:w="1860"/>
        <w:tblGridChange w:id="0">
          <w:tblGrid>
            <w:gridCol w:w="4410"/>
            <w:gridCol w:w="3090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Cat #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AMG 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Cayman Chemical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19176-1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NVS-PAK1-1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Cayman Chemical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19964-5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Alrestatin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Cayman Chemical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29888-5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Daporinad (fk866, Apo866)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Fisher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501362977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TCS 7004, Tocris Bioscience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Fisher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508810RD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Desametasone, C22H29FO5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Fisher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MP21993506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LY2109761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Sigma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SML2051-5MG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Quinidine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Spectrum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TCI-Q0006-5G</w:t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rPr/>
      </w:pPr>
      <w:r w:rsidDel="00000000" w:rsidR="00000000" w:rsidRPr="00000000">
        <w:rPr>
          <w:rtl w:val="0"/>
        </w:rPr>
        <w:t xml:space="preserve">Supp. Table 3: List of stains used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4440"/>
        <w:gridCol w:w="3015"/>
        <w:gridCol w:w="1905"/>
        <w:tblGridChange w:id="0">
          <w:tblGrid>
            <w:gridCol w:w="4440"/>
            <w:gridCol w:w="3015"/>
            <w:gridCol w:w="190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</w:p>
        </w:tc>
        <w:tc>
          <w:tcPr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Cat #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Hoechst 33342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Technologies</w:t>
            </w:r>
          </w:p>
        </w:tc>
        <w:tc>
          <w:tcPr>
            <w:tcBorders>
              <w:top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H3570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MitoTracker Deep Red FM</w:t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Invitrogen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M22426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Glu7-PhalloidinTMR </w:t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(synthetized in house)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iNOS (D6B6S) Rabbit mAb</w:t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Cell Signaling Technologies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13120S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GM130 mouse</w:t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Fisher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BDB610823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alpha-tubulin-FITC antibody mouse monoclonal</w:t>
            </w:r>
          </w:p>
        </w:tc>
        <w:tc>
          <w:tcPr>
            <w:tcBorders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F2168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Phospho histone H3 (Ser10) Recombinant Rabbit Monoclonal Antibody (9H12L10)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Invitrogen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701258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anti-Mouse IgG (H+L) Cross-Adsorbed Secondary Antibody Alexa Fluor 488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Technologies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A21200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anti-Rabbit IgG (H+L) Cross-Adsorbed Secondary Antibody Alexa Fluor 647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Technologies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A21443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SYTO14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Fisher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S7576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Concanavalin A, Alexa Fluor 488 Conjugate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Thermo Fisher Scientific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C11252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Wheat Germ Agglutinin (WGA) Alexa Fluor 555 Conjugate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Thermo Fisher Scientific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W32464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Mouse anti-GR G-5, RRID:AB_2687823</w:t>
            </w:r>
          </w:p>
        </w:tc>
        <w:tc>
          <w:tcPr>
            <w:tcBorders>
              <w:lef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Santa Cruz Biotech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sc-393232</w:t>
            </w:r>
          </w:p>
        </w:tc>
      </w:tr>
    </w:tbl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76" w:lineRule="auto"/>
        <w:ind w:firstLine="20"/>
        <w:rPr/>
      </w:pPr>
      <w:r w:rsidDel="00000000" w:rsidR="00000000" w:rsidRPr="00000000">
        <w:rPr>
          <w:rtl w:val="0"/>
        </w:rPr>
        <w:t xml:space="preserve">Supp. Table 4: Stepwise staining methods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375.0" w:type="dxa"/>
            <w:jc w:val="left"/>
            <w:tbl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  <w:insideH w:color="bfbfbf" w:space="0" w:sz="4" w:val="single"/>
              <w:insideV w:color="bfbfbf" w:space="0" w:sz="4" w:val="single"/>
            </w:tblBorders>
            <w:tblLayout w:type="fixed"/>
            <w:tblLook w:val="04A0"/>
          </w:tblPr>
          <w:tblGrid>
            <w:gridCol w:w="1575"/>
            <w:gridCol w:w="2535"/>
            <w:gridCol w:w="1515"/>
            <w:gridCol w:w="1725"/>
            <w:gridCol w:w="2025"/>
            <w:tblGridChange w:id="0">
              <w:tblGrid>
                <w:gridCol w:w="1575"/>
                <w:gridCol w:w="2535"/>
                <w:gridCol w:w="1515"/>
                <w:gridCol w:w="1725"/>
                <w:gridCol w:w="20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rFonts w:ascii="Verdana" w:cs="Verdana" w:eastAsia="Verdana" w:hAnsi="Verdana"/>
                    <w:b w:val="0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CP Screen and Pilot</w:t>
                  <w:br w:type="textWrapping"/>
                  <w:t xml:space="preserve">(JUMP stains)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GR assay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Pilot</w:t>
                  <w:br w:type="textWrapping"/>
                  <w:t xml:space="preserve">(“classic” stains)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Live stain(s)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500 nM MitoTracker Deep Red FM in complete media, 30 min</w:t>
                </w:r>
              </w:p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37°C 5% CO2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 μM EdU and 100 nM MitoTracker Deep Red FM in complete media, 1 h</w:t>
                </w:r>
              </w:p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37°C 5% CO2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Fix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4% formaldehyde, 6 min 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4% formaldehyde, 20 min 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Permeabilize and block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0.1% Triton X-100, 1% BSA, 1 h 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0.5% Triton X-100, 2% bovine serum albumin in PBS, 0.5 h RT dark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cold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Click reaction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 mg/mL TMR-azide, 4 mM CuSO4, 2 mg/mL sodium ascorbate in 100 mM Tris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Primary stain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8.25 nM TMR-Phalloidin,</w:t>
                </w:r>
              </w:p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 μg/ml Concanavalin A, 1 μg/ml Hoechst, 1.5 μg/ml WGA, 6 μM Syto14 in 0.1% Triton X-100, 1% BSA 17 min RT dark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mouse anti-GR</w:t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(and no primary controls)</w:t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 BSA PBS o/n 4 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1:5,000 rabbit anti-histone H3 phospho-S10, 1:1,000 mouse anti-GM-130, 2% BSA in PBS o/n 4 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1:5,000 mouse anti-tubulin ɑ, 2% BSA in PBS o/n 4 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Secondary stain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 μM Hoechst, 7 nM TMR-phalloidin, 1:1,000 AF647-anti-rabbit, 1:1,000 AF488-anti-mouse, 2 h RT dark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 μM Hoechst in 2% BSA in PBS 2 h RT dark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 Done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cold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Twice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Mounting medium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0.05% Na Az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bfbfbf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0.1% Na Az in PBS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rPr/>
      </w:pPr>
      <w:r w:rsidDel="00000000" w:rsidR="00000000" w:rsidRPr="00000000">
        <w:rPr>
          <w:rtl w:val="0"/>
        </w:rPr>
        <w:t xml:space="preserve">Supp. Table 5: Phenix imaging setup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360.0" w:type="dxa"/>
            <w:jc w:val="left"/>
            <w:tbl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  <w:insideH w:color="bfbfbf" w:space="0" w:sz="4" w:val="single"/>
              <w:insideV w:color="bfbfbf" w:space="0" w:sz="4" w:val="single"/>
            </w:tblBorders>
            <w:tblLayout w:type="fixed"/>
            <w:tblLook w:val="04A0"/>
          </w:tblPr>
          <w:tblGrid>
            <w:gridCol w:w="540"/>
            <w:gridCol w:w="2130"/>
            <w:gridCol w:w="1455"/>
            <w:gridCol w:w="1515"/>
            <w:gridCol w:w="2160"/>
            <w:gridCol w:w="1560"/>
            <w:tblGridChange w:id="0">
              <w:tblGrid>
                <w:gridCol w:w="540"/>
                <w:gridCol w:w="2130"/>
                <w:gridCol w:w="1455"/>
                <w:gridCol w:w="1515"/>
                <w:gridCol w:w="2160"/>
                <w:gridCol w:w="15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  <w:left w:color="bfbfbf" w:space="0" w:sz="4" w:val="single"/>
                  <w:bottom w:color="bfbfbf" w:space="0" w:sz="4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rPr>
                    <w:b w:val="0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fbfbf" w:space="0" w:sz="4" w:val="single"/>
                  <w:left w:color="000000" w:space="0" w:sz="0" w:val="nil"/>
                  <w:bottom w:color="bfbfbf" w:space="0" w:sz="4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Excitation laser and emission filter wavelengths (nm)</w:t>
                </w:r>
              </w:p>
            </w:tc>
            <w:tc>
              <w:tcPr>
                <w:tcBorders>
                  <w:top w:color="bfbfbf" w:space="0" w:sz="4" w:val="single"/>
                  <w:left w:color="000000" w:space="0" w:sz="0" w:val="nil"/>
                  <w:bottom w:color="bfbfbf" w:space="0" w:sz="4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Pilot with classic “cyto” stain set 1</w:t>
                </w:r>
              </w:p>
            </w:tc>
            <w:tc>
              <w:tcPr>
                <w:tcBorders>
                  <w:top w:color="bfbfbf" w:space="0" w:sz="4" w:val="single"/>
                  <w:left w:color="000000" w:space="0" w:sz="0" w:val="nil"/>
                  <w:bottom w:color="bfbfbf" w:space="0" w:sz="4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Pilot with classic “EdU” stain set 2</w:t>
                </w:r>
              </w:p>
            </w:tc>
            <w:tc>
              <w:tcPr>
                <w:tcBorders>
                  <w:top w:color="bfbfbf" w:space="0" w:sz="4" w:val="single"/>
                  <w:left w:color="000000" w:space="0" w:sz="0" w:val="nil"/>
                  <w:bottom w:color="bfbfbf" w:space="0" w:sz="4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Pilot with JUMP stain set and CP screen</w:t>
                </w:r>
              </w:p>
            </w:tc>
            <w:tc>
              <w:tcPr>
                <w:tcBorders>
                  <w:top w:color="bfbfbf" w:space="0" w:sz="4" w:val="single"/>
                  <w:left w:color="000000" w:space="0" w:sz="0" w:val="nil"/>
                  <w:bottom w:color="bfbfbf" w:space="0" w:sz="4" w:val="single"/>
                  <w:right w:color="bfbfbf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GR assay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fbfbf" w:space="0" w:sz="4" w:val="single"/>
                </w:tcBorders>
                <w:shd w:fill="408a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B1</w:t>
                </w:r>
              </w:p>
            </w:tc>
            <w:tc>
              <w:tcPr>
                <w:tcBorders>
                  <w:top w:color="bfbfbf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405, 435-480</w:t>
                </w:r>
              </w:p>
            </w:tc>
            <w:tc>
              <w:tcPr>
                <w:tcBorders>
                  <w:top w:color="bfbfbf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120 ms</w:t>
                </w:r>
              </w:p>
            </w:tc>
            <w:tc>
              <w:tcPr>
                <w:tcBorders>
                  <w:top w:color="bfbfbf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100 ms</w:t>
                </w:r>
              </w:p>
            </w:tc>
            <w:tc>
              <w:tcPr>
                <w:tcBorders>
                  <w:top w:color="bfbfbf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tcBorders>
                  <w:top w:color="bfbfbf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100 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408a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405, 435-550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160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00ff00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488, 500-530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160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00ff00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488, 500-550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500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200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50% 100 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00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488, 515-550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60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0000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561, 570-630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80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20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160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80 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c008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640, 650-760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400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100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40 ms (pilot) or 20 ms (screen)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400 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Brightfield 650-760 nm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40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50%, 100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95% 40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50% 100 ms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rPr>
                    <w:b w:val="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Sequence of capture (camera1/camera2)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B1/G2, R/M, BF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G1, Y, R/M, B1/BF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B1/G2, R/M, BF</w:t>
                </w:r>
              </w:p>
            </w:tc>
          </w:tr>
        </w:tbl>
      </w:sdtContent>
    </w:sdt>
    <w:p w:rsidR="00000000" w:rsidDel="00000000" w:rsidP="00000000" w:rsidRDefault="00000000" w:rsidRPr="00000000" w14:paraId="000001F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7212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3">
    <w:name w:val="Grid Table 4 Accent 3"/>
    <w:basedOn w:val="TableNormal"/>
    <w:uiPriority w:val="49"/>
    <w:rsid w:val="00BA4079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NormalWeb">
    <w:name w:val="Normal (Web)"/>
    <w:basedOn w:val="Normal"/>
    <w:uiPriority w:val="99"/>
    <w:unhideWhenUsed w:val="1"/>
    <w:rsid w:val="00BA4079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table" w:styleId="PlainTable1">
    <w:name w:val="Plain Table 1"/>
    <w:basedOn w:val="TableNormal"/>
    <w:uiPriority w:val="41"/>
    <w:rsid w:val="006B41D0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hIweAvUj9W0RAYA7RGx3mhayQ==">CgMxLjAaHwoBMBIaChgICVIUChJ0YWJsZS50ODlpb3l2anIwemoaHwoBMRIaChgICVIUChJ0YWJsZS5lMHlwNzBvM25qZmo4AGopChRzdWdnZXN0LjJqYzYyZXluNmc1NRIRQmV2ZXJsZXkgUmFiYml0dHNqKQoUc3VnZ2VzdC54cWkxdnhlbW52N3ASEUJldmVybGV5IFJhYmJpdHRzaikKFHN1Z2dlc3QubmV2bGF4b3BjZ21sEhFCZXZlcmxleSBSYWJiaXR0c2opChRzdWdnZXN0LjV1Mno5c29xY25uahIRQmV2ZXJsZXkgUmFiYml0dHNqKQoUc3VnZ2VzdC50cnFpOTg0amlldG4SEUJldmVybGV5IFJhYmJpdHRzciExbk05a1laWVg0QUxNUGkxX29GbDZ3c1M3SWNNb19JO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2024-07-08T11:49:00Z</dcterms:created>
  <dc:creator>Microsoft Office User</dc:creator>
</cp:coreProperties>
</file>