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3263" w14:textId="77777777" w:rsidR="00075DF2" w:rsidRPr="00075DF2" w:rsidRDefault="00075DF2" w:rsidP="00075DF2">
      <w:pPr>
        <w:spacing w:line="480" w:lineRule="auto"/>
        <w:rPr>
          <w:rFonts w:ascii="Times New Roman" w:hAnsi="Times New Roman" w:cs="Times New Roman"/>
          <w:sz w:val="24"/>
          <w:szCs w:val="24"/>
        </w:rPr>
      </w:pPr>
      <w:r w:rsidRPr="00075DF2">
        <w:rPr>
          <w:rFonts w:ascii="Times New Roman" w:hAnsi="Times New Roman" w:cs="Times New Roman"/>
          <w:sz w:val="24"/>
          <w:szCs w:val="24"/>
        </w:rPr>
        <w:t>The detailed protocol of treatment for ACLF</w:t>
      </w:r>
    </w:p>
    <w:p w14:paraId="4391C909" w14:textId="11348425" w:rsidR="002D2430" w:rsidRPr="00075DF2" w:rsidRDefault="00075DF2" w:rsidP="00075DF2">
      <w:pPr>
        <w:spacing w:line="480" w:lineRule="auto"/>
        <w:rPr>
          <w:rFonts w:ascii="Times New Roman" w:hAnsi="Times New Roman" w:cs="Times New Roman"/>
          <w:sz w:val="24"/>
          <w:szCs w:val="24"/>
        </w:rPr>
      </w:pPr>
      <w:r w:rsidRPr="00075DF2">
        <w:rPr>
          <w:rFonts w:ascii="Times New Roman" w:hAnsi="Times New Roman" w:cs="Times New Roman"/>
          <w:sz w:val="24"/>
          <w:szCs w:val="24"/>
        </w:rPr>
        <w:t xml:space="preserve">All patients received integrated treatment during hospitalization. Nutritional support therapy was used to all enrolled patients, including intravenous high glucose, vitamin, glutathione, adenosylmethionine, or branched-chain amino acids and use of albumin or plasma for hypoproteinemia. Among patients with HBV pathogen, nucleoside analogs were instantly given if HBV-DNA is positive (entecavir 0.5 mg, or </w:t>
      </w:r>
      <w:r>
        <w:rPr>
          <w:rFonts w:ascii="Times New Roman" w:hAnsi="Times New Roman" w:cs="Times New Roman"/>
          <w:sz w:val="24"/>
          <w:szCs w:val="24"/>
        </w:rPr>
        <w:t>tenofovir</w:t>
      </w:r>
      <w:r>
        <w:rPr>
          <w:rFonts w:ascii="Times New Roman" w:hAnsi="Times New Roman" w:cs="Times New Roman" w:hint="eastAsia"/>
          <w:sz w:val="24"/>
          <w:szCs w:val="24"/>
        </w:rPr>
        <w:t xml:space="preserve"> 300mg</w:t>
      </w:r>
      <w:r w:rsidRPr="00075DF2">
        <w:rPr>
          <w:rFonts w:ascii="Times New Roman" w:hAnsi="Times New Roman" w:cs="Times New Roman"/>
          <w:sz w:val="24"/>
          <w:szCs w:val="24"/>
        </w:rPr>
        <w:t xml:space="preserve"> </w:t>
      </w:r>
      <w:r>
        <w:rPr>
          <w:rFonts w:ascii="Times New Roman" w:hAnsi="Times New Roman" w:cs="Times New Roman" w:hint="eastAsia"/>
          <w:sz w:val="24"/>
          <w:szCs w:val="24"/>
        </w:rPr>
        <w:t>or t</w:t>
      </w:r>
      <w:r w:rsidRPr="00075DF2">
        <w:rPr>
          <w:rFonts w:ascii="Times New Roman" w:hAnsi="Times New Roman" w:cs="Times New Roman" w:hint="eastAsia"/>
          <w:sz w:val="24"/>
          <w:szCs w:val="24"/>
        </w:rPr>
        <w:t xml:space="preserve">enofovir alafenamide </w:t>
      </w:r>
      <w:r>
        <w:rPr>
          <w:rFonts w:ascii="Times New Roman" w:hAnsi="Times New Roman" w:cs="Times New Roman" w:hint="eastAsia"/>
          <w:sz w:val="24"/>
          <w:szCs w:val="24"/>
        </w:rPr>
        <w:t>f</w:t>
      </w:r>
      <w:r w:rsidRPr="00075DF2">
        <w:rPr>
          <w:rFonts w:ascii="Times New Roman" w:hAnsi="Times New Roman" w:cs="Times New Roman" w:hint="eastAsia"/>
          <w:sz w:val="24"/>
          <w:szCs w:val="24"/>
        </w:rPr>
        <w:t>umarate</w:t>
      </w:r>
      <w:r>
        <w:rPr>
          <w:rFonts w:ascii="Times New Roman" w:hAnsi="Times New Roman" w:cs="Times New Roman" w:hint="eastAsia"/>
          <w:sz w:val="24"/>
          <w:szCs w:val="24"/>
        </w:rPr>
        <w:t xml:space="preserve"> 25mg oral </w:t>
      </w:r>
      <w:r w:rsidRPr="00075DF2">
        <w:rPr>
          <w:rFonts w:ascii="Times New Roman" w:hAnsi="Times New Roman" w:cs="Times New Roman"/>
          <w:sz w:val="24"/>
          <w:szCs w:val="24"/>
        </w:rPr>
        <w:t>per day).</w:t>
      </w:r>
      <w:r>
        <w:rPr>
          <w:rFonts w:ascii="Times New Roman" w:hAnsi="Times New Roman" w:cs="Times New Roman" w:hint="eastAsia"/>
          <w:sz w:val="24"/>
          <w:szCs w:val="24"/>
        </w:rPr>
        <w:t xml:space="preserve"> </w:t>
      </w:r>
      <w:r w:rsidRPr="00075DF2">
        <w:rPr>
          <w:rFonts w:ascii="Times New Roman" w:hAnsi="Times New Roman" w:cs="Times New Roman"/>
          <w:sz w:val="24"/>
          <w:szCs w:val="24"/>
        </w:rPr>
        <w:t>Patients with moderate ascites were treated with sodium and water restriction and/or diuretics (anti-mineralocorticoids</w:t>
      </w:r>
      <w:r w:rsidRPr="00075DF2">
        <w:rPr>
          <w:rFonts w:ascii="Times New Roman" w:eastAsia="等线" w:hAnsi="Times New Roman" w:cs="Times New Roman"/>
          <w:sz w:val="24"/>
          <w:szCs w:val="24"/>
        </w:rPr>
        <w:t> </w:t>
      </w:r>
      <w:r w:rsidRPr="00075DF2">
        <w:rPr>
          <w:rFonts w:ascii="Times New Roman" w:hAnsi="Times New Roman" w:cs="Times New Roman"/>
          <w:sz w:val="24"/>
          <w:szCs w:val="24"/>
        </w:rPr>
        <w:t xml:space="preserve">and/or loop Diuretics). Diagnostic abdominocentesis was performed in patients with ascites to examine whether with spontaneous bacterial peritonitis. Paracentesis combined with intravenous albumin was used in those with large or refractory ascites. Patients with acute gastrointestinal hemorrhage received intravenous somatostatin, pituitrin, vitamin K and proton pump inhibitors. Urgent therapeutic endoscopy and/or </w:t>
      </w:r>
      <w:proofErr w:type="spellStart"/>
      <w:r w:rsidRPr="00075DF2">
        <w:rPr>
          <w:rFonts w:ascii="Times New Roman" w:hAnsi="Times New Roman" w:cs="Times New Roman"/>
          <w:sz w:val="24"/>
          <w:szCs w:val="24"/>
        </w:rPr>
        <w:t>transjugular</w:t>
      </w:r>
      <w:proofErr w:type="spellEnd"/>
      <w:r w:rsidRPr="00075DF2">
        <w:rPr>
          <w:rFonts w:ascii="Times New Roman" w:hAnsi="Times New Roman" w:cs="Times New Roman"/>
          <w:sz w:val="24"/>
          <w:szCs w:val="24"/>
        </w:rPr>
        <w:t xml:space="preserve"> intrahepatic portosystemic shunting were instantly performed for uncontrolled hemorrhage. Fluid replacement was performed in patients with mean arterial pressure &lt;70 mmHg, and vasoactive agents were used when necessary. Patients with hepatic encephalopathy were given lactulose, antibiotics, neomycin, sodium benzoate and L-ornithine aspartate; Although restriction of dietary protein remains is cornerstone of therapy, protein intake of l-2 g/kg per day still be required for maintaining an adequate nitrogen balance. Tracheal intubation was performed for patients with hepatic encephalopathy grade iii or iv. Patients with bacterial infection were treated with empirical antibiotic therapy firstly, then the </w:t>
      </w:r>
      <w:r w:rsidRPr="00075DF2">
        <w:rPr>
          <w:rFonts w:ascii="Times New Roman" w:hAnsi="Times New Roman" w:cs="Times New Roman"/>
          <w:sz w:val="24"/>
          <w:szCs w:val="24"/>
        </w:rPr>
        <w:lastRenderedPageBreak/>
        <w:t xml:space="preserve">strategy was adjusted immediately based on bacteria culture and antibiotic sensitivity test. Fungal superinfection would be avoided. Patients with renal failure were treated with intravenous albumin, or renal replacement therapy. vasoconstrictors (such as dopamine, noradrenaline, or </w:t>
      </w:r>
      <w:proofErr w:type="spellStart"/>
      <w:r w:rsidRPr="00075DF2">
        <w:rPr>
          <w:rFonts w:ascii="Times New Roman" w:hAnsi="Times New Roman" w:cs="Times New Roman"/>
          <w:sz w:val="24"/>
          <w:szCs w:val="24"/>
        </w:rPr>
        <w:t>terlipressine</w:t>
      </w:r>
      <w:proofErr w:type="spellEnd"/>
      <w:r w:rsidRPr="00075DF2">
        <w:rPr>
          <w:rFonts w:ascii="Times New Roman" w:hAnsi="Times New Roman" w:cs="Times New Roman"/>
          <w:sz w:val="24"/>
          <w:szCs w:val="24"/>
        </w:rPr>
        <w:t>) could be used in patients with refractory hypotension. Patients with PaO2 &lt; 80 mmHg were given persistent low flow oxygen therapy (2-4 L/min). Mechanical ventilation was chosen according to severity of respiratory dysfunction.</w:t>
      </w:r>
    </w:p>
    <w:sectPr w:rsidR="002D2430" w:rsidRPr="00075D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3493B" w14:textId="77777777" w:rsidR="000907A4" w:rsidRDefault="000907A4" w:rsidP="00075DF2">
      <w:pPr>
        <w:rPr>
          <w:rFonts w:hint="eastAsia"/>
        </w:rPr>
      </w:pPr>
      <w:r>
        <w:separator/>
      </w:r>
    </w:p>
  </w:endnote>
  <w:endnote w:type="continuationSeparator" w:id="0">
    <w:p w14:paraId="7336C8D5" w14:textId="77777777" w:rsidR="000907A4" w:rsidRDefault="000907A4" w:rsidP="00075D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9659A" w14:textId="77777777" w:rsidR="000907A4" w:rsidRDefault="000907A4" w:rsidP="00075DF2">
      <w:pPr>
        <w:rPr>
          <w:rFonts w:hint="eastAsia"/>
        </w:rPr>
      </w:pPr>
      <w:r>
        <w:separator/>
      </w:r>
    </w:p>
  </w:footnote>
  <w:footnote w:type="continuationSeparator" w:id="0">
    <w:p w14:paraId="3534CDD7" w14:textId="77777777" w:rsidR="000907A4" w:rsidRDefault="000907A4" w:rsidP="00075DF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AC"/>
    <w:rsid w:val="00075DF2"/>
    <w:rsid w:val="000907A4"/>
    <w:rsid w:val="002D2430"/>
    <w:rsid w:val="00A77CC0"/>
    <w:rsid w:val="00D9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59F4"/>
  <w15:chartTrackingRefBased/>
  <w15:docId w15:val="{6898A552-B2D6-43B6-A1D1-EF2865A7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DF2"/>
    <w:pPr>
      <w:tabs>
        <w:tab w:val="center" w:pos="4153"/>
        <w:tab w:val="right" w:pos="8306"/>
      </w:tabs>
      <w:snapToGrid w:val="0"/>
      <w:jc w:val="center"/>
    </w:pPr>
    <w:rPr>
      <w:sz w:val="18"/>
      <w:szCs w:val="18"/>
    </w:rPr>
  </w:style>
  <w:style w:type="character" w:customStyle="1" w:styleId="a4">
    <w:name w:val="页眉 字符"/>
    <w:basedOn w:val="a0"/>
    <w:link w:val="a3"/>
    <w:uiPriority w:val="99"/>
    <w:rsid w:val="00075DF2"/>
    <w:rPr>
      <w:sz w:val="18"/>
      <w:szCs w:val="18"/>
    </w:rPr>
  </w:style>
  <w:style w:type="paragraph" w:styleId="a5">
    <w:name w:val="footer"/>
    <w:basedOn w:val="a"/>
    <w:link w:val="a6"/>
    <w:uiPriority w:val="99"/>
    <w:unhideWhenUsed/>
    <w:rsid w:val="00075DF2"/>
    <w:pPr>
      <w:tabs>
        <w:tab w:val="center" w:pos="4153"/>
        <w:tab w:val="right" w:pos="8306"/>
      </w:tabs>
      <w:snapToGrid w:val="0"/>
      <w:jc w:val="left"/>
    </w:pPr>
    <w:rPr>
      <w:sz w:val="18"/>
      <w:szCs w:val="18"/>
    </w:rPr>
  </w:style>
  <w:style w:type="character" w:customStyle="1" w:styleId="a6">
    <w:name w:val="页脚 字符"/>
    <w:basedOn w:val="a0"/>
    <w:link w:val="a5"/>
    <w:uiPriority w:val="99"/>
    <w:rsid w:val="00075D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2024-09-02T09:52:00Z</dcterms:created>
  <dcterms:modified xsi:type="dcterms:W3CDTF">2024-09-02T09:59:00Z</dcterms:modified>
</cp:coreProperties>
</file>