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CDF46" w14:textId="528336C3" w:rsidR="00A919C3" w:rsidRPr="005512B3" w:rsidRDefault="00193BDA" w:rsidP="00A919C3">
      <w:pPr>
        <w:rPr>
          <w:rFonts w:ascii="Times New Roman" w:hAnsi="Times New Roman" w:cs="Times New Roman"/>
          <w:sz w:val="18"/>
          <w:szCs w:val="18"/>
        </w:rPr>
      </w:pPr>
      <w:r w:rsidRPr="005512B3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A919C3" w:rsidRPr="005512B3">
        <w:rPr>
          <w:rFonts w:ascii="Times New Roman" w:hAnsi="Times New Roman" w:cs="Times New Roman"/>
          <w:sz w:val="18"/>
          <w:szCs w:val="18"/>
        </w:rPr>
        <w:t xml:space="preserve">Table </w:t>
      </w:r>
      <w:r w:rsidRPr="005512B3">
        <w:rPr>
          <w:rFonts w:ascii="Times New Roman" w:hAnsi="Times New Roman" w:cs="Times New Roman"/>
          <w:sz w:val="18"/>
          <w:szCs w:val="18"/>
        </w:rPr>
        <w:t>2</w:t>
      </w:r>
      <w:r w:rsidR="00A919C3" w:rsidRPr="005512B3">
        <w:rPr>
          <w:rFonts w:ascii="Times New Roman" w:hAnsi="Times New Roman" w:cs="Times New Roman"/>
          <w:sz w:val="18"/>
          <w:szCs w:val="18"/>
        </w:rPr>
        <w:t>. The multivariate cox regression of clinical indicators.</w:t>
      </w:r>
    </w:p>
    <w:tbl>
      <w:tblPr>
        <w:tblStyle w:val="a3"/>
        <w:tblW w:w="8217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992"/>
        <w:gridCol w:w="851"/>
        <w:gridCol w:w="2268"/>
      </w:tblGrid>
      <w:tr w:rsidR="00A919C3" w:rsidRPr="005512B3" w14:paraId="2FE26596" w14:textId="77777777" w:rsidTr="007511D1">
        <w:tc>
          <w:tcPr>
            <w:tcW w:w="2122" w:type="dxa"/>
            <w:tcBorders>
              <w:top w:val="single" w:sz="12" w:space="0" w:color="auto"/>
              <w:bottom w:val="single" w:sz="6" w:space="0" w:color="auto"/>
            </w:tcBorders>
          </w:tcPr>
          <w:p w14:paraId="4D4E589F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51AA9D95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196C4475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698B027C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Wald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14EB41EA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204C72F2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Exp</w:t>
            </w: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A919C3" w:rsidRPr="005512B3" w14:paraId="45039A0B" w14:textId="77777777" w:rsidTr="007511D1">
        <w:tc>
          <w:tcPr>
            <w:tcW w:w="2122" w:type="dxa"/>
            <w:tcBorders>
              <w:top w:val="single" w:sz="6" w:space="0" w:color="auto"/>
              <w:bottom w:val="nil"/>
            </w:tcBorders>
          </w:tcPr>
          <w:p w14:paraId="1B6003C3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TB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4D7D0244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4FCCCDE8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</w:tcPr>
          <w:p w14:paraId="7F042A00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8.839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5DCC3158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</w:tcPr>
          <w:p w14:paraId="7D8DD3CF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1.005 (</w:t>
            </w:r>
            <w:r w:rsidRPr="005512B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1.002-1.008)</w:t>
            </w:r>
          </w:p>
        </w:tc>
      </w:tr>
      <w:tr w:rsidR="00A919C3" w:rsidRPr="005512B3" w14:paraId="781A1D00" w14:textId="77777777" w:rsidTr="007511D1">
        <w:tc>
          <w:tcPr>
            <w:tcW w:w="2122" w:type="dxa"/>
            <w:tcBorders>
              <w:top w:val="nil"/>
            </w:tcBorders>
          </w:tcPr>
          <w:p w14:paraId="36397CED" w14:textId="722943B0" w:rsidR="00A919C3" w:rsidRPr="005512B3" w:rsidRDefault="000C442D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PT-</w:t>
            </w:r>
            <w:r w:rsidR="00A919C3" w:rsidRPr="005512B3">
              <w:rPr>
                <w:rFonts w:ascii="Times New Roman" w:hAnsi="Times New Roman" w:cs="Times New Roman"/>
                <w:sz w:val="18"/>
                <w:szCs w:val="18"/>
              </w:rPr>
              <w:t>INR</w:t>
            </w:r>
          </w:p>
        </w:tc>
        <w:tc>
          <w:tcPr>
            <w:tcW w:w="1134" w:type="dxa"/>
            <w:tcBorders>
              <w:top w:val="nil"/>
            </w:tcBorders>
          </w:tcPr>
          <w:p w14:paraId="567A5D46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nil"/>
            </w:tcBorders>
          </w:tcPr>
          <w:p w14:paraId="2F5923B7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992" w:type="dxa"/>
            <w:tcBorders>
              <w:top w:val="nil"/>
            </w:tcBorders>
          </w:tcPr>
          <w:p w14:paraId="09BC02CB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9.454</w:t>
            </w:r>
          </w:p>
        </w:tc>
        <w:tc>
          <w:tcPr>
            <w:tcW w:w="851" w:type="dxa"/>
            <w:tcBorders>
              <w:top w:val="nil"/>
            </w:tcBorders>
          </w:tcPr>
          <w:p w14:paraId="0CC3DB06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2268" w:type="dxa"/>
            <w:tcBorders>
              <w:top w:val="nil"/>
            </w:tcBorders>
          </w:tcPr>
          <w:p w14:paraId="50B62E46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1.838 (</w:t>
            </w:r>
            <w:r w:rsidRPr="005512B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1.247-2.710)</w:t>
            </w:r>
          </w:p>
        </w:tc>
      </w:tr>
      <w:tr w:rsidR="00A919C3" w:rsidRPr="005512B3" w14:paraId="008768EC" w14:textId="77777777" w:rsidTr="007511D1">
        <w:tc>
          <w:tcPr>
            <w:tcW w:w="2122" w:type="dxa"/>
            <w:tcBorders>
              <w:bottom w:val="single" w:sz="12" w:space="0" w:color="auto"/>
            </w:tcBorders>
          </w:tcPr>
          <w:p w14:paraId="1CD78695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δCOSSH-ACLF II7-0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352C618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9863087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C009284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47.502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D01CC3D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905046B" w14:textId="77777777" w:rsidR="00A919C3" w:rsidRPr="005512B3" w:rsidRDefault="00A919C3" w:rsidP="007511D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12B3">
              <w:rPr>
                <w:rFonts w:ascii="Times New Roman" w:hAnsi="Times New Roman" w:cs="Times New Roman"/>
                <w:sz w:val="18"/>
                <w:szCs w:val="18"/>
              </w:rPr>
              <w:t>3.434 (2</w:t>
            </w:r>
            <w:r w:rsidRPr="005512B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.418-4.877)</w:t>
            </w:r>
          </w:p>
        </w:tc>
      </w:tr>
    </w:tbl>
    <w:p w14:paraId="29F98009" w14:textId="77777777" w:rsidR="00643975" w:rsidRDefault="005512B3" w:rsidP="00643975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sz w:val="15"/>
          <w:szCs w:val="15"/>
        </w:rPr>
        <w:t>Note:</w:t>
      </w:r>
      <w:r w:rsidRPr="005512B3"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TB, total bilirubin;</w:t>
      </w:r>
      <w:r>
        <w:rPr>
          <w:rFonts w:ascii="Times New Roman" w:hAnsi="Times New Roman" w:cs="Times New Roman" w:hint="eastAsia"/>
          <w:sz w:val="15"/>
          <w:szCs w:val="15"/>
        </w:rPr>
        <w:t xml:space="preserve"> INR: </w:t>
      </w:r>
      <w:r>
        <w:rPr>
          <w:rFonts w:ascii="Times New Roman" w:hAnsi="Times New Roman" w:cs="Times New Roman"/>
          <w:sz w:val="15"/>
          <w:szCs w:val="15"/>
        </w:rPr>
        <w:t>prothrombin time</w:t>
      </w:r>
      <w:r>
        <w:rPr>
          <w:rFonts w:ascii="Times New Roman" w:hAnsi="Times New Roman" w:cs="Times New Roman" w:hint="eastAsia"/>
          <w:sz w:val="15"/>
          <w:szCs w:val="15"/>
        </w:rPr>
        <w:t>-</w:t>
      </w:r>
      <w:r>
        <w:rPr>
          <w:rFonts w:ascii="Times New Roman" w:hAnsi="Times New Roman" w:cs="Times New Roman"/>
          <w:sz w:val="15"/>
          <w:szCs w:val="15"/>
        </w:rPr>
        <w:t>international normalized ratio</w:t>
      </w:r>
      <w:r w:rsidR="00643975">
        <w:rPr>
          <w:rFonts w:ascii="Times New Roman" w:hAnsi="Times New Roman" w:cs="Times New Roman" w:hint="eastAsia"/>
          <w:sz w:val="15"/>
          <w:szCs w:val="15"/>
        </w:rPr>
        <w:t xml:space="preserve">; </w:t>
      </w:r>
      <w:r w:rsidR="00643975">
        <w:rPr>
          <w:rFonts w:ascii="Times New Roman" w:hAnsi="Times New Roman" w:cs="Times New Roman" w:hint="eastAsia"/>
          <w:sz w:val="15"/>
          <w:szCs w:val="15"/>
        </w:rPr>
        <w:t xml:space="preserve">COSSH-ACLF </w:t>
      </w:r>
      <w:r w:rsidR="00643975">
        <w:rPr>
          <w:rFonts w:ascii="Times New Roman" w:hAnsi="Times New Roman" w:cs="Times New Roman"/>
          <w:sz w:val="18"/>
          <w:szCs w:val="18"/>
        </w:rPr>
        <w:t>П</w:t>
      </w:r>
      <w:r w:rsidR="00643975">
        <w:rPr>
          <w:rFonts w:ascii="Times New Roman" w:hAnsi="Times New Roman" w:cs="Times New Roman"/>
          <w:sz w:val="15"/>
          <w:szCs w:val="15"/>
        </w:rPr>
        <w:t>, Chinese Group on the Study of Severe Hepatitis B-ACLF score</w:t>
      </w:r>
      <w:r w:rsidR="00643975">
        <w:rPr>
          <w:rFonts w:ascii="Times New Roman" w:hAnsi="Times New Roman" w:cs="Times New Roman" w:hint="eastAsia"/>
          <w:sz w:val="15"/>
          <w:szCs w:val="15"/>
        </w:rPr>
        <w:t xml:space="preserve"> II.</w:t>
      </w:r>
    </w:p>
    <w:p w14:paraId="1A3B5842" w14:textId="63B197AF" w:rsidR="002D2430" w:rsidRPr="00643975" w:rsidRDefault="002D2430">
      <w:pPr>
        <w:rPr>
          <w:rFonts w:hint="eastAsia"/>
        </w:rPr>
      </w:pPr>
    </w:p>
    <w:sectPr w:rsidR="002D2430" w:rsidRPr="0064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80A16" w14:textId="77777777" w:rsidR="006063D9" w:rsidRDefault="006063D9" w:rsidP="00193BDA">
      <w:pPr>
        <w:rPr>
          <w:rFonts w:hint="eastAsia"/>
        </w:rPr>
      </w:pPr>
      <w:r>
        <w:separator/>
      </w:r>
    </w:p>
  </w:endnote>
  <w:endnote w:type="continuationSeparator" w:id="0">
    <w:p w14:paraId="7BD820EF" w14:textId="77777777" w:rsidR="006063D9" w:rsidRDefault="006063D9" w:rsidP="00193B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77D3D" w14:textId="77777777" w:rsidR="006063D9" w:rsidRDefault="006063D9" w:rsidP="00193BDA">
      <w:pPr>
        <w:rPr>
          <w:rFonts w:hint="eastAsia"/>
        </w:rPr>
      </w:pPr>
      <w:r>
        <w:separator/>
      </w:r>
    </w:p>
  </w:footnote>
  <w:footnote w:type="continuationSeparator" w:id="0">
    <w:p w14:paraId="70961FA5" w14:textId="77777777" w:rsidR="006063D9" w:rsidRDefault="006063D9" w:rsidP="00193B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C3"/>
    <w:rsid w:val="000C442D"/>
    <w:rsid w:val="0016484A"/>
    <w:rsid w:val="00193BDA"/>
    <w:rsid w:val="002D2430"/>
    <w:rsid w:val="005512B3"/>
    <w:rsid w:val="006063D9"/>
    <w:rsid w:val="00643975"/>
    <w:rsid w:val="00792DF1"/>
    <w:rsid w:val="00A56642"/>
    <w:rsid w:val="00A9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2404D"/>
  <w15:chartTrackingRefBased/>
  <w15:docId w15:val="{B8C087C8-7B6C-4D45-A3F3-D5F696AE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3B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3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 </cp:lastModifiedBy>
  <cp:revision>5</cp:revision>
  <dcterms:created xsi:type="dcterms:W3CDTF">2024-07-21T07:14:00Z</dcterms:created>
  <dcterms:modified xsi:type="dcterms:W3CDTF">2024-07-21T07:24:00Z</dcterms:modified>
</cp:coreProperties>
</file>