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BBF5" w14:textId="6E807AD4" w:rsidR="00B26BF4" w:rsidRPr="00FD3B0A" w:rsidRDefault="00AE4321">
      <w:pPr>
        <w:rPr>
          <w:b/>
          <w:bCs/>
          <w:lang w:val="en-GB"/>
        </w:rPr>
      </w:pPr>
      <w:r w:rsidRPr="00FD3B0A">
        <w:rPr>
          <w:b/>
          <w:bCs/>
          <w:lang w:val="en-GB"/>
        </w:rPr>
        <w:t>Supplementary figures</w:t>
      </w:r>
    </w:p>
    <w:p w14:paraId="1064A424" w14:textId="77777777" w:rsidR="00AE4321" w:rsidRPr="00AC200F" w:rsidRDefault="00AE4321">
      <w:pPr>
        <w:rPr>
          <w:lang w:val="en-GB"/>
        </w:rPr>
      </w:pPr>
    </w:p>
    <w:p w14:paraId="04180873" w14:textId="77777777" w:rsidR="00AE4321" w:rsidRDefault="00AE4321" w:rsidP="00AE4321">
      <w:pPr>
        <w:rPr>
          <w:rFonts w:ascii="Arial" w:hAnsi="Arial" w:cs="Arial"/>
          <w:lang w:val="en-US"/>
        </w:rPr>
      </w:pPr>
      <w:r w:rsidRPr="00F46F8E">
        <w:rPr>
          <w:rFonts w:ascii="Arial" w:hAnsi="Arial" w:cs="Arial"/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18DB088" wp14:editId="63BA47F1">
            <wp:simplePos x="0" y="0"/>
            <wp:positionH relativeFrom="column">
              <wp:posOffset>805581</wp:posOffset>
            </wp:positionH>
            <wp:positionV relativeFrom="paragraph">
              <wp:posOffset>85725</wp:posOffset>
            </wp:positionV>
            <wp:extent cx="4006215" cy="3204210"/>
            <wp:effectExtent l="0" t="0" r="0" b="0"/>
            <wp:wrapSquare wrapText="bothSides"/>
            <wp:docPr id="1642982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1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8E8DD" w14:textId="77777777" w:rsidR="00AE4321" w:rsidRPr="0096301B" w:rsidRDefault="00AE4321" w:rsidP="00AE4321">
      <w:pPr>
        <w:rPr>
          <w:rFonts w:ascii="Arial" w:hAnsi="Arial" w:cs="Arial"/>
          <w:lang w:val="en-US"/>
        </w:rPr>
      </w:pPr>
    </w:p>
    <w:p w14:paraId="55DA2BE4" w14:textId="77777777" w:rsidR="00AE4321" w:rsidRPr="0096301B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2DD2C037" w14:textId="77777777" w:rsidR="00AE4321" w:rsidRPr="0096301B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0924D786" w14:textId="77777777" w:rsidR="00AE4321" w:rsidRPr="0096301B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656CE57A" w14:textId="77777777" w:rsidR="00AE4321" w:rsidRPr="0096301B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1DAC6332" w14:textId="77777777" w:rsidR="00AE4321" w:rsidRPr="0096301B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796641E3" w14:textId="77777777" w:rsidR="00AE4321" w:rsidRPr="0096301B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62FAA1AA" w14:textId="77777777" w:rsidR="00AE4321" w:rsidRPr="0096301B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4418EEDE" w14:textId="77777777" w:rsidR="00AE4321" w:rsidRPr="0096301B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0B909B02" w14:textId="77777777" w:rsidR="00AE4321" w:rsidRPr="0096301B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459765D5" w14:textId="77777777" w:rsidR="00AE4321" w:rsidRPr="003C6E50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5C2A6881" w14:textId="77777777" w:rsidR="00AE4321" w:rsidRPr="003C6E50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61F80BAE" w14:textId="77777777" w:rsidR="00AE4321" w:rsidRPr="003C6E50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03E504DB" w14:textId="77777777" w:rsidR="00AE4321" w:rsidRPr="003C6E50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03F7F597" w14:textId="77777777" w:rsidR="00AE4321" w:rsidRPr="003C6E50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5A9565E4" w14:textId="77777777" w:rsidR="00AE4321" w:rsidRPr="003C6E50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3072B2F9" w14:textId="77777777" w:rsidR="00AE4321" w:rsidRPr="003C6E50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3B48B773" w14:textId="77777777" w:rsidR="00AE4321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0862106E" w14:textId="77777777" w:rsidR="00AE4321" w:rsidRPr="003C6E50" w:rsidRDefault="00AE4321" w:rsidP="00AE4321">
      <w:pPr>
        <w:jc w:val="both"/>
        <w:rPr>
          <w:rFonts w:ascii="Arial" w:hAnsi="Arial" w:cs="Arial"/>
          <w:bdr w:val="none" w:sz="0" w:space="0" w:color="auto" w:frame="1"/>
          <w:lang w:val="en-US"/>
        </w:rPr>
      </w:pPr>
    </w:p>
    <w:p w14:paraId="6FB28B12" w14:textId="78B7248B" w:rsidR="00AE4321" w:rsidRPr="00AC200F" w:rsidRDefault="00AE4321" w:rsidP="00AE4321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AC200F">
        <w:rPr>
          <w:rFonts w:ascii="Arial" w:hAnsi="Arial" w:cs="Arial"/>
          <w:b/>
          <w:bCs/>
          <w:sz w:val="18"/>
          <w:szCs w:val="18"/>
          <w:bdr w:val="none" w:sz="0" w:space="0" w:color="auto" w:frame="1"/>
          <w:lang w:val="en-US"/>
        </w:rPr>
        <w:t xml:space="preserve">Supplementary </w:t>
      </w:r>
      <w:r w:rsidRPr="00AC200F">
        <w:rPr>
          <w:rFonts w:ascii="Arial" w:hAnsi="Arial" w:cs="Arial"/>
          <w:sz w:val="18"/>
          <w:szCs w:val="18"/>
          <w:bdr w:val="none" w:sz="0" w:space="0" w:color="auto" w:frame="1"/>
        </w:rPr>
        <w:fldChar w:fldCharType="begin"/>
      </w:r>
      <w:r w:rsidRPr="00AC200F">
        <w:rPr>
          <w:rFonts w:ascii="Arial" w:hAnsi="Arial" w:cs="Arial"/>
          <w:sz w:val="18"/>
          <w:szCs w:val="18"/>
          <w:bdr w:val="none" w:sz="0" w:space="0" w:color="auto" w:frame="1"/>
          <w:lang w:val="en-US"/>
        </w:rPr>
        <w:instrText xml:space="preserve"> INCLUDEPICTURE "https://lh7-rt.googleusercontent.com/docsz/AD_4nXdiIN6jgxM_g_NHdcPWq8207F6Afb3vKCuP1eLbyOlX0dMxrxrmzDvSKJmKVjAwAZ2mehNCZIGGSBQAvCwiTYbYwpaeJ8wO2aEM_zDniZozfeBWMhi12M04jLlFCh1x1it808By-YDSgBs6hrVxebTpaHff?key=GZa7e_M8sgSefTHbzQocow" \* MERGEFORMATINET </w:instrText>
      </w:r>
      <w:r w:rsidRPr="00AC200F">
        <w:rPr>
          <w:rFonts w:ascii="Arial" w:hAnsi="Arial" w:cs="Arial"/>
          <w:sz w:val="18"/>
          <w:szCs w:val="18"/>
          <w:bdr w:val="none" w:sz="0" w:space="0" w:color="auto" w:frame="1"/>
        </w:rPr>
        <w:fldChar w:fldCharType="separate"/>
      </w:r>
      <w:r w:rsidRPr="00AC200F">
        <w:rPr>
          <w:rFonts w:ascii="Arial" w:hAnsi="Arial" w:cs="Arial"/>
          <w:sz w:val="18"/>
          <w:szCs w:val="18"/>
          <w:bdr w:val="none" w:sz="0" w:space="0" w:color="auto" w:frame="1"/>
        </w:rPr>
        <w:fldChar w:fldCharType="end"/>
      </w:r>
      <w:r w:rsidR="00AC200F" w:rsidRPr="00AC200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f</w:t>
      </w:r>
      <w:r w:rsidRPr="00AC200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igure 1. Map of water sampling locations in Stockholm, Sweden. </w:t>
      </w:r>
      <w:r w:rsidRPr="00AC200F">
        <w:rPr>
          <w:rFonts w:ascii="Arial" w:hAnsi="Arial" w:cs="Arial"/>
          <w:color w:val="000000"/>
          <w:sz w:val="18"/>
          <w:szCs w:val="18"/>
        </w:rPr>
        <w:t>Brunnsviken in</w:t>
      </w:r>
      <w:r w:rsidRPr="00AC200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AC200F">
        <w:rPr>
          <w:rFonts w:ascii="Arial" w:hAnsi="Arial" w:cs="Arial"/>
          <w:color w:val="000000"/>
          <w:sz w:val="18"/>
          <w:szCs w:val="18"/>
        </w:rPr>
        <w:t xml:space="preserve">Hagaparken (A), Karlbergskanalen (B), Rålambshovsparken (C), Sickla Inlet (D), Henriksdal Inlet (E), Henriksdal Outlet (F), Tyresö Fiskarholmen (G), Nynäshamn (H). </w:t>
      </w:r>
      <w:r w:rsidRPr="00AC200F">
        <w:rPr>
          <w:rFonts w:ascii="Arial" w:hAnsi="Arial" w:cs="Arial"/>
          <w:color w:val="000000"/>
          <w:sz w:val="18"/>
          <w:szCs w:val="18"/>
          <w:lang w:val="en-US"/>
        </w:rPr>
        <w:t xml:space="preserve">A, B and C are urban freshwater sites. E, F and </w:t>
      </w:r>
      <w:proofErr w:type="spellStart"/>
      <w:r w:rsidRPr="00AC200F">
        <w:rPr>
          <w:rFonts w:ascii="Arial" w:hAnsi="Arial" w:cs="Arial"/>
          <w:color w:val="000000"/>
          <w:sz w:val="18"/>
          <w:szCs w:val="18"/>
          <w:lang w:val="en-US"/>
        </w:rPr>
        <w:t>D are</w:t>
      </w:r>
      <w:proofErr w:type="spellEnd"/>
      <w:r w:rsidRPr="00AC200F">
        <w:rPr>
          <w:rFonts w:ascii="Arial" w:hAnsi="Arial" w:cs="Arial"/>
          <w:color w:val="000000"/>
          <w:sz w:val="18"/>
          <w:szCs w:val="18"/>
          <w:lang w:val="en-US"/>
        </w:rPr>
        <w:t xml:space="preserve"> from the wastewater treatment plant. H and G are not seen on the map, these samples are from brackish water. </w:t>
      </w:r>
      <w:hyperlink r:id="rId5" w:history="1">
        <w:r w:rsidRPr="00AC200F">
          <w:rPr>
            <w:rStyle w:val="Hyperlink"/>
            <w:rFonts w:ascii="Arial" w:hAnsi="Arial" w:cs="Arial"/>
            <w:sz w:val="18"/>
            <w:szCs w:val="18"/>
            <w:lang w:val="en-US"/>
          </w:rPr>
          <w:t>https://app.datawrapper.de/edit/e5IV1/design</w:t>
        </w:r>
      </w:hyperlink>
    </w:p>
    <w:p w14:paraId="139AE134" w14:textId="0056F2FF" w:rsidR="00AE4321" w:rsidRDefault="00AE4321" w:rsidP="00AE4321">
      <w:pPr>
        <w:jc w:val="both"/>
        <w:rPr>
          <w:rFonts w:ascii="Arial" w:hAnsi="Arial" w:cs="Arial"/>
          <w:color w:val="000000"/>
          <w:lang w:val="en-US"/>
        </w:rPr>
      </w:pPr>
    </w:p>
    <w:p w14:paraId="25DBAB89" w14:textId="70E951EB" w:rsidR="00AE4321" w:rsidRDefault="00AE4321" w:rsidP="00AE4321">
      <w:pPr>
        <w:jc w:val="both"/>
        <w:rPr>
          <w:rFonts w:ascii="Arial" w:hAnsi="Arial" w:cs="Arial"/>
          <w:color w:val="000000"/>
          <w:lang w:val="en-US"/>
        </w:rPr>
      </w:pPr>
    </w:p>
    <w:p w14:paraId="5D501DBB" w14:textId="1F0B2B90" w:rsidR="00AE4321" w:rsidRPr="00DF3FAE" w:rsidRDefault="00AE4321" w:rsidP="00AE4321">
      <w:pPr>
        <w:jc w:val="both"/>
        <w:rPr>
          <w:rFonts w:ascii="Arial" w:hAnsi="Arial" w:cs="Arial"/>
          <w:lang w:val="en-US"/>
        </w:rPr>
      </w:pPr>
    </w:p>
    <w:p w14:paraId="659174AF" w14:textId="77777777" w:rsidR="00AE4321" w:rsidRPr="00DF3FAE" w:rsidRDefault="00AE4321" w:rsidP="00AE432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836510B" w14:textId="2273587C" w:rsidR="00AE4321" w:rsidRPr="00DF3FAE" w:rsidRDefault="00AE4321" w:rsidP="00AE4321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6D84618" w14:textId="59D1311A" w:rsidR="00AE4321" w:rsidRDefault="00AE4321" w:rsidP="00AE4321">
      <w:pPr>
        <w:jc w:val="both"/>
        <w:rPr>
          <w:rFonts w:ascii="Arial" w:hAnsi="Arial" w:cs="Arial"/>
          <w:b/>
          <w:bCs/>
          <w:i/>
          <w:iCs/>
          <w:color w:val="000000"/>
          <w:lang w:val="en-US"/>
        </w:rPr>
      </w:pPr>
    </w:p>
    <w:p w14:paraId="2205CA4E" w14:textId="77777777" w:rsidR="00AE4321" w:rsidRDefault="00AE4321" w:rsidP="00AE4321">
      <w:pPr>
        <w:jc w:val="both"/>
        <w:rPr>
          <w:rFonts w:ascii="Arial" w:hAnsi="Arial" w:cs="Arial"/>
          <w:b/>
          <w:bCs/>
          <w:i/>
          <w:iCs/>
          <w:color w:val="000000"/>
          <w:lang w:val="en-US"/>
        </w:rPr>
      </w:pPr>
    </w:p>
    <w:p w14:paraId="63480762" w14:textId="7BC14E44" w:rsidR="00AE4321" w:rsidRPr="00AE4321" w:rsidRDefault="00AE4321" w:rsidP="00AE4321">
      <w:pPr>
        <w:jc w:val="both"/>
        <w:rPr>
          <w:rFonts w:ascii="Arial" w:hAnsi="Arial" w:cs="Arial"/>
          <w:lang w:val="en-US"/>
        </w:rPr>
      </w:pPr>
    </w:p>
    <w:p w14:paraId="2F8E18A4" w14:textId="77777777" w:rsidR="00AE4321" w:rsidRPr="00AE4321" w:rsidRDefault="00AE4321" w:rsidP="00AE4321">
      <w:pPr>
        <w:jc w:val="both"/>
        <w:rPr>
          <w:rFonts w:ascii="Arial" w:hAnsi="Arial" w:cs="Arial"/>
          <w:b/>
          <w:bCs/>
          <w:lang w:val="en-US"/>
        </w:rPr>
      </w:pPr>
    </w:p>
    <w:p w14:paraId="79542304" w14:textId="175CF9C0" w:rsidR="00AE4321" w:rsidRPr="00AE4321" w:rsidRDefault="00AE4321" w:rsidP="00AE4321">
      <w:pPr>
        <w:jc w:val="both"/>
        <w:rPr>
          <w:rFonts w:ascii="Arial" w:hAnsi="Arial" w:cs="Arial"/>
          <w:b/>
          <w:bCs/>
          <w:lang w:val="en-US"/>
        </w:rPr>
      </w:pPr>
    </w:p>
    <w:p w14:paraId="2BD04FAF" w14:textId="77777777" w:rsidR="00AE4321" w:rsidRDefault="00AE4321" w:rsidP="00AE4321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26862A78" w14:textId="77777777" w:rsidR="00AE4321" w:rsidRPr="00AE4321" w:rsidRDefault="00AE4321">
      <w:pPr>
        <w:rPr>
          <w:lang w:val="en-US"/>
        </w:rPr>
      </w:pPr>
    </w:p>
    <w:p w14:paraId="3EE54688" w14:textId="306B094B" w:rsidR="00AE4321" w:rsidRPr="00AE4321" w:rsidRDefault="00AE4321">
      <w:pPr>
        <w:rPr>
          <w:lang w:val="en-GB"/>
        </w:rPr>
      </w:pPr>
    </w:p>
    <w:p w14:paraId="454F0B0D" w14:textId="77777777" w:rsidR="00AE4321" w:rsidRDefault="00AE4321">
      <w:pPr>
        <w:rPr>
          <w:lang w:val="en-GB"/>
        </w:rPr>
      </w:pPr>
    </w:p>
    <w:p w14:paraId="7889DFA9" w14:textId="6C1E6BD8" w:rsidR="00AE4321" w:rsidRDefault="00AE4321">
      <w:pPr>
        <w:rPr>
          <w:lang w:val="en-GB"/>
        </w:rPr>
      </w:pPr>
    </w:p>
    <w:p w14:paraId="7858F0E9" w14:textId="1BD6B81A" w:rsidR="00AE4321" w:rsidRDefault="00AE4321">
      <w:pPr>
        <w:rPr>
          <w:lang w:val="en-GB"/>
        </w:rPr>
      </w:pPr>
    </w:p>
    <w:p w14:paraId="4E83F218" w14:textId="77777777" w:rsidR="00AE4321" w:rsidRDefault="00AE4321">
      <w:pPr>
        <w:rPr>
          <w:lang w:val="en-GB"/>
        </w:rPr>
      </w:pPr>
    </w:p>
    <w:p w14:paraId="7F673ED0" w14:textId="77777777" w:rsidR="00AE4321" w:rsidRDefault="00AE4321">
      <w:pPr>
        <w:rPr>
          <w:lang w:val="en-GB"/>
        </w:rPr>
      </w:pPr>
    </w:p>
    <w:p w14:paraId="0D75C678" w14:textId="77777777" w:rsidR="00AE4321" w:rsidRDefault="00AE4321">
      <w:pPr>
        <w:rPr>
          <w:lang w:val="en-GB"/>
        </w:rPr>
      </w:pPr>
    </w:p>
    <w:p w14:paraId="67549193" w14:textId="46E3BE46" w:rsidR="00AE4321" w:rsidRPr="00AC200F" w:rsidRDefault="00AE4321" w:rsidP="00AE432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AC200F"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0" locked="0" layoutInCell="1" allowOverlap="1" wp14:anchorId="532EE608" wp14:editId="518086BA">
            <wp:simplePos x="0" y="0"/>
            <wp:positionH relativeFrom="column">
              <wp:posOffset>73660</wp:posOffset>
            </wp:positionH>
            <wp:positionV relativeFrom="paragraph">
              <wp:posOffset>0</wp:posOffset>
            </wp:positionV>
            <wp:extent cx="5543550" cy="4521835"/>
            <wp:effectExtent l="0" t="0" r="6350" b="0"/>
            <wp:wrapThrough wrapText="bothSides">
              <wp:wrapPolygon edited="0">
                <wp:start x="0" y="0"/>
                <wp:lineTo x="0" y="21536"/>
                <wp:lineTo x="21575" y="21536"/>
                <wp:lineTo x="21575" y="0"/>
                <wp:lineTo x="0" y="0"/>
              </wp:wrapPolygon>
            </wp:wrapThrough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D1D87F3F-E40E-CDB7-1E42-4E442CCA693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D1D87F3F-E40E-CDB7-1E42-4E442CCA693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52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00F">
        <w:rPr>
          <w:rFonts w:ascii="Arial" w:hAnsi="Arial" w:cs="Arial"/>
          <w:b/>
          <w:bCs/>
          <w:sz w:val="18"/>
          <w:szCs w:val="18"/>
          <w:lang w:val="en-US"/>
        </w:rPr>
        <w:t>Supplementary fig</w:t>
      </w:r>
      <w:r w:rsidR="00AC200F">
        <w:rPr>
          <w:rFonts w:ascii="Arial" w:hAnsi="Arial" w:cs="Arial"/>
          <w:b/>
          <w:bCs/>
          <w:sz w:val="18"/>
          <w:szCs w:val="18"/>
          <w:lang w:val="en-US"/>
        </w:rPr>
        <w:t>ure</w:t>
      </w:r>
      <w:r w:rsidRPr="00AC200F">
        <w:rPr>
          <w:rFonts w:ascii="Arial" w:hAnsi="Arial" w:cs="Arial"/>
          <w:b/>
          <w:bCs/>
          <w:sz w:val="18"/>
          <w:szCs w:val="18"/>
          <w:lang w:val="en-US"/>
        </w:rPr>
        <w:t xml:space="preserve"> 2. Co-occurrence of antibiotic resistance genes (ARGs) in the isolates from Stockholm.</w:t>
      </w:r>
      <w:r w:rsidRPr="00AC200F">
        <w:rPr>
          <w:rFonts w:ascii="Arial" w:hAnsi="Arial" w:cs="Arial"/>
          <w:sz w:val="18"/>
          <w:szCs w:val="18"/>
          <w:lang w:val="en-US"/>
        </w:rPr>
        <w:t xml:space="preserve"> Clustering on the y and upper x-axis indicates the isolates involved in the analysis. </w:t>
      </w:r>
      <w:proofErr w:type="spellStart"/>
      <w:r w:rsidRPr="00AC200F">
        <w:rPr>
          <w:rFonts w:ascii="Arial" w:hAnsi="Arial" w:cs="Arial"/>
          <w:sz w:val="18"/>
          <w:szCs w:val="18"/>
          <w:lang w:val="en-US"/>
        </w:rPr>
        <w:t>Colour</w:t>
      </w:r>
      <w:proofErr w:type="spellEnd"/>
      <w:r w:rsidRPr="00AC200F">
        <w:rPr>
          <w:rFonts w:ascii="Arial" w:hAnsi="Arial" w:cs="Arial"/>
          <w:sz w:val="18"/>
          <w:szCs w:val="18"/>
          <w:lang w:val="en-US"/>
        </w:rPr>
        <w:t xml:space="preserve"> intensity (blue to yellow) indicates more frequent co-occurrence. The most commonly found ARG was </w:t>
      </w:r>
      <w:r w:rsidRPr="00AC200F">
        <w:rPr>
          <w:rFonts w:ascii="Arial" w:hAnsi="Arial" w:cs="Arial"/>
          <w:i/>
          <w:iCs/>
          <w:sz w:val="18"/>
          <w:szCs w:val="18"/>
          <w:lang w:val="en-US"/>
        </w:rPr>
        <w:t>bla</w:t>
      </w:r>
      <w:r w:rsidRPr="00AC200F">
        <w:rPr>
          <w:rFonts w:ascii="Arial" w:hAnsi="Arial" w:cs="Arial"/>
          <w:sz w:val="18"/>
          <w:szCs w:val="18"/>
          <w:vertAlign w:val="subscript"/>
          <w:lang w:val="en-US"/>
        </w:rPr>
        <w:t>CTX-M-15</w:t>
      </w:r>
      <w:r w:rsidRPr="00AC200F">
        <w:rPr>
          <w:rFonts w:ascii="Arial" w:hAnsi="Arial" w:cs="Arial"/>
          <w:sz w:val="18"/>
          <w:szCs w:val="18"/>
          <w:lang w:val="en-US"/>
        </w:rPr>
        <w:t xml:space="preserve"> and the co-occurrence of </w:t>
      </w:r>
      <w:r w:rsidRPr="00AC200F">
        <w:rPr>
          <w:rFonts w:ascii="Arial" w:hAnsi="Arial" w:cs="Arial"/>
          <w:i/>
          <w:iCs/>
          <w:sz w:val="18"/>
          <w:szCs w:val="18"/>
          <w:lang w:val="en-US"/>
        </w:rPr>
        <w:t>bla</w:t>
      </w:r>
      <w:r w:rsidRPr="00AC200F">
        <w:rPr>
          <w:rFonts w:ascii="Arial" w:hAnsi="Arial" w:cs="Arial"/>
          <w:sz w:val="18"/>
          <w:szCs w:val="18"/>
          <w:vertAlign w:val="subscript"/>
          <w:lang w:val="en-US"/>
        </w:rPr>
        <w:t>CTX-M-15</w:t>
      </w:r>
      <w:r w:rsidRPr="00AC200F">
        <w:rPr>
          <w:rFonts w:ascii="Arial" w:hAnsi="Arial" w:cs="Arial"/>
          <w:sz w:val="18"/>
          <w:szCs w:val="18"/>
          <w:lang w:val="en-US"/>
        </w:rPr>
        <w:t xml:space="preserve"> and </w:t>
      </w:r>
      <w:r w:rsidRPr="00AC200F">
        <w:rPr>
          <w:rFonts w:ascii="Arial" w:hAnsi="Arial" w:cs="Arial"/>
          <w:i/>
          <w:iCs/>
          <w:sz w:val="18"/>
          <w:szCs w:val="18"/>
          <w:lang w:val="en-US"/>
        </w:rPr>
        <w:t>qnrS1</w:t>
      </w:r>
      <w:r w:rsidRPr="00AC200F">
        <w:rPr>
          <w:rFonts w:ascii="Arial" w:hAnsi="Arial" w:cs="Arial"/>
          <w:sz w:val="18"/>
          <w:szCs w:val="18"/>
          <w:lang w:val="en-US"/>
        </w:rPr>
        <w:t xml:space="preserve"> is the most frequent. The </w:t>
      </w:r>
      <w:proofErr w:type="spellStart"/>
      <w:r w:rsidRPr="00AC200F">
        <w:rPr>
          <w:rFonts w:ascii="Arial" w:hAnsi="Arial" w:cs="Arial"/>
          <w:i/>
          <w:iCs/>
          <w:sz w:val="18"/>
          <w:szCs w:val="18"/>
          <w:lang w:val="en-US"/>
        </w:rPr>
        <w:t>mdf</w:t>
      </w:r>
      <w:proofErr w:type="spellEnd"/>
      <w:r w:rsidRPr="00AC200F">
        <w:rPr>
          <w:rFonts w:ascii="Arial" w:hAnsi="Arial" w:cs="Arial"/>
          <w:i/>
          <w:iCs/>
          <w:sz w:val="18"/>
          <w:szCs w:val="18"/>
          <w:lang w:val="en-US"/>
        </w:rPr>
        <w:t xml:space="preserve">(A) </w:t>
      </w:r>
      <w:r w:rsidRPr="00AC200F">
        <w:rPr>
          <w:rFonts w:ascii="Arial" w:hAnsi="Arial" w:cs="Arial"/>
          <w:sz w:val="18"/>
          <w:szCs w:val="18"/>
          <w:lang w:val="en-US"/>
        </w:rPr>
        <w:t xml:space="preserve">ARG was removed from this analysis since it is present in all isolates. Correlation was used as the clustering method and the </w:t>
      </w:r>
      <w:proofErr w:type="spellStart"/>
      <w:r w:rsidRPr="00AC200F">
        <w:rPr>
          <w:rFonts w:ascii="Arial" w:hAnsi="Arial" w:cs="Arial"/>
          <w:sz w:val="18"/>
          <w:szCs w:val="18"/>
          <w:lang w:val="en-US"/>
        </w:rPr>
        <w:t>pheatmap</w:t>
      </w:r>
      <w:proofErr w:type="spellEnd"/>
      <w:r w:rsidRPr="00AC200F">
        <w:rPr>
          <w:rFonts w:ascii="Arial" w:hAnsi="Arial" w:cs="Arial"/>
          <w:sz w:val="18"/>
          <w:szCs w:val="18"/>
          <w:lang w:val="en-US"/>
        </w:rPr>
        <w:t xml:space="preserve"> R program was used to generate the heatmap.</w:t>
      </w:r>
    </w:p>
    <w:p w14:paraId="3261A565" w14:textId="77777777" w:rsidR="00AE4321" w:rsidRPr="00AE4321" w:rsidRDefault="00AE4321" w:rsidP="00AE4321">
      <w:pPr>
        <w:jc w:val="both"/>
        <w:rPr>
          <w:rFonts w:ascii="Arial" w:hAnsi="Arial" w:cs="Arial"/>
          <w:lang w:val="en-US"/>
        </w:rPr>
      </w:pPr>
    </w:p>
    <w:p w14:paraId="44F78921" w14:textId="77777777" w:rsidR="00AE4321" w:rsidRPr="00AE4321" w:rsidRDefault="00AE4321">
      <w:pPr>
        <w:rPr>
          <w:lang w:val="en-US"/>
        </w:rPr>
      </w:pPr>
    </w:p>
    <w:p w14:paraId="75B4EE7E" w14:textId="77777777" w:rsidR="00AE4321" w:rsidRPr="00AE4321" w:rsidRDefault="00AE4321">
      <w:pPr>
        <w:rPr>
          <w:lang w:val="en-US"/>
        </w:rPr>
      </w:pPr>
    </w:p>
    <w:sectPr w:rsidR="00AE4321" w:rsidRPr="00AE4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21"/>
    <w:rsid w:val="002255B1"/>
    <w:rsid w:val="003A55FA"/>
    <w:rsid w:val="009D060D"/>
    <w:rsid w:val="00AC200F"/>
    <w:rsid w:val="00AE4321"/>
    <w:rsid w:val="00B234C4"/>
    <w:rsid w:val="00B26BF4"/>
    <w:rsid w:val="00E02468"/>
    <w:rsid w:val="00E94FCC"/>
    <w:rsid w:val="00FD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6A2A0"/>
  <w15:chartTrackingRefBased/>
  <w15:docId w15:val="{E51F7BDB-B228-8948-9C71-5B4D932F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3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32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E432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3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app.datawrapper.de/edit/e5IV1/desig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Sjöling</dc:creator>
  <cp:keywords/>
  <dc:description/>
  <cp:lastModifiedBy>Annie Justh</cp:lastModifiedBy>
  <cp:revision>4</cp:revision>
  <dcterms:created xsi:type="dcterms:W3CDTF">2025-04-04T12:42:00Z</dcterms:created>
  <dcterms:modified xsi:type="dcterms:W3CDTF">2025-05-22T07:40:00Z</dcterms:modified>
</cp:coreProperties>
</file>