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5A75">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14:paraId="0B8B5563">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08"/>
        <w:gridCol w:w="6414"/>
        <w:gridCol w:w="712"/>
        <w:gridCol w:w="4969"/>
      </w:tblGrid>
      <w:tr w14:paraId="53D9CE31">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5317D35B">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08" w:type="dxa"/>
            <w:tcBorders>
              <w:top w:val="single" w:color="auto" w:sz="4" w:space="0"/>
              <w:bottom w:val="single" w:color="7F7F7F" w:sz="6" w:space="0"/>
            </w:tcBorders>
            <w:shd w:val="clear" w:color="auto" w:fill="auto"/>
          </w:tcPr>
          <w:p w14:paraId="0CC03F8F">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6414" w:type="dxa"/>
            <w:tcBorders>
              <w:top w:val="single" w:color="auto" w:sz="4" w:space="0"/>
              <w:bottom w:val="single" w:color="7F7F7F" w:sz="6" w:space="0"/>
            </w:tcBorders>
            <w:shd w:val="clear" w:color="auto" w:fill="auto"/>
          </w:tcPr>
          <w:p w14:paraId="6549048A">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12" w:type="dxa"/>
            <w:tcBorders>
              <w:top w:val="single" w:color="auto" w:sz="4" w:space="0"/>
              <w:bottom w:val="single" w:color="7F7F7F" w:sz="6" w:space="0"/>
            </w:tcBorders>
          </w:tcPr>
          <w:p w14:paraId="007302E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969" w:type="dxa"/>
            <w:tcBorders>
              <w:top w:val="single" w:color="auto" w:sz="4" w:space="0"/>
              <w:bottom w:val="single" w:color="7F7F7F" w:sz="6" w:space="0"/>
            </w:tcBorders>
          </w:tcPr>
          <w:p w14:paraId="3D20CC8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14:paraId="7BFE9F2F">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14:paraId="4BC2810D">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08" w:type="dxa"/>
            <w:tcBorders>
              <w:top w:val="single" w:color="7F7F7F" w:sz="6" w:space="0"/>
              <w:bottom w:val="single" w:color="7F7F7F" w:sz="6" w:space="0"/>
            </w:tcBorders>
            <w:shd w:val="clear" w:color="auto" w:fill="EEEEEE"/>
          </w:tcPr>
          <w:p w14:paraId="48AF55D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6414" w:type="dxa"/>
            <w:tcBorders>
              <w:top w:val="single" w:color="7F7F7F" w:sz="6" w:space="0"/>
              <w:bottom w:val="single" w:color="7F7F7F" w:sz="6" w:space="0"/>
            </w:tcBorders>
            <w:shd w:val="clear" w:color="auto" w:fill="EEEEEE"/>
          </w:tcPr>
          <w:p w14:paraId="40E590C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12" w:type="dxa"/>
            <w:tcBorders>
              <w:top w:val="single" w:color="7F7F7F" w:sz="6" w:space="0"/>
              <w:bottom w:val="single" w:color="7F7F7F" w:sz="6" w:space="0"/>
            </w:tcBorders>
            <w:shd w:val="clear" w:color="auto" w:fill="EEEEEE"/>
          </w:tcPr>
          <w:p w14:paraId="0212111B">
            <w:pPr>
              <w:spacing w:before="96" w:beforeLines="40" w:after="96" w:afterLines="40" w:line="24" w:lineRule="atLeast"/>
              <w:rPr>
                <w:rFonts w:hint="eastAsia" w:eastAsia="宋体"/>
                <w:sz w:val="18"/>
                <w:szCs w:val="18"/>
                <w:lang w:val="en-US" w:eastAsia="zh-CN"/>
              </w:rPr>
            </w:pPr>
          </w:p>
        </w:tc>
        <w:tc>
          <w:tcPr>
            <w:tcW w:w="4969" w:type="dxa"/>
            <w:tcBorders>
              <w:top w:val="single" w:color="7F7F7F" w:sz="6" w:space="0"/>
              <w:bottom w:val="single" w:color="7F7F7F" w:sz="6" w:space="0"/>
            </w:tcBorders>
            <w:shd w:val="clear" w:color="auto" w:fill="EEEEEE"/>
          </w:tcPr>
          <w:p w14:paraId="19D2FC32">
            <w:pPr>
              <w:spacing w:before="96" w:beforeLines="40" w:after="96" w:afterLines="40" w:line="24" w:lineRule="atLeast"/>
              <w:rPr>
                <w:rFonts w:eastAsia="Times New Roman"/>
                <w:sz w:val="18"/>
                <w:szCs w:val="18"/>
                <w:lang w:val="en-GB" w:eastAsia="en-GB"/>
              </w:rPr>
            </w:pPr>
            <w:r>
              <w:rPr>
                <w:rFonts w:hint="eastAsia"/>
                <w:b w:val="0"/>
                <w:bCs w:val="0"/>
                <w:sz w:val="18"/>
                <w:szCs w:val="18"/>
              </w:rPr>
              <w:t>Mendelian Randomization Study on Lactobacillus salivarius, CD62L⁻ pDCs, and Luminal cerebral infarction Risk</w:t>
            </w:r>
          </w:p>
        </w:tc>
      </w:tr>
      <w:tr w14:paraId="33861D86">
        <w:tblPrEx>
          <w:tblCellMar>
            <w:top w:w="0" w:type="dxa"/>
            <w:left w:w="108" w:type="dxa"/>
            <w:bottom w:w="0" w:type="dxa"/>
            <w:right w:w="108" w:type="dxa"/>
          </w:tblCellMar>
        </w:tblPrEx>
        <w:tc>
          <w:tcPr>
            <w:tcW w:w="587" w:type="dxa"/>
            <w:tcBorders>
              <w:top w:val="single" w:color="7F7F7F" w:sz="6" w:space="0"/>
            </w:tcBorders>
            <w:shd w:val="clear" w:color="auto" w:fill="auto"/>
          </w:tcPr>
          <w:p w14:paraId="71E14395">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60D984A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6414" w:type="dxa"/>
            <w:tcBorders>
              <w:top w:val="single" w:color="7F7F7F" w:sz="6" w:space="0"/>
            </w:tcBorders>
            <w:shd w:val="clear" w:color="auto" w:fill="auto"/>
          </w:tcPr>
          <w:p w14:paraId="37C4C8E4">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5C95DEF8">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2E988F9">
            <w:pPr>
              <w:spacing w:before="96" w:beforeLines="40" w:after="96" w:afterLines="40" w:line="24" w:lineRule="atLeast"/>
              <w:rPr>
                <w:rFonts w:eastAsia="Cambria"/>
                <w:sz w:val="18"/>
                <w:szCs w:val="18"/>
                <w:lang w:val="en-GB" w:eastAsia="en-US"/>
              </w:rPr>
            </w:pPr>
          </w:p>
        </w:tc>
      </w:tr>
      <w:tr w14:paraId="4F4D9AAC">
        <w:tblPrEx>
          <w:tblCellMar>
            <w:top w:w="0" w:type="dxa"/>
            <w:left w:w="108" w:type="dxa"/>
            <w:bottom w:w="0" w:type="dxa"/>
            <w:right w:w="108" w:type="dxa"/>
          </w:tblCellMar>
        </w:tblPrEx>
        <w:tc>
          <w:tcPr>
            <w:tcW w:w="587" w:type="dxa"/>
            <w:shd w:val="clear" w:color="auto" w:fill="EEEEEE"/>
          </w:tcPr>
          <w:p w14:paraId="60B2C78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08" w:type="dxa"/>
            <w:shd w:val="clear" w:color="auto" w:fill="EEEEEE"/>
          </w:tcPr>
          <w:p w14:paraId="66A1ECE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6414" w:type="dxa"/>
            <w:shd w:val="clear" w:color="auto" w:fill="EEEEEE"/>
          </w:tcPr>
          <w:p w14:paraId="72CB897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p w14:paraId="614EEDB4">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53EFDDEA">
            <w:pPr>
              <w:spacing w:before="96" w:beforeLines="40" w:after="96" w:afterLines="40" w:line="24" w:lineRule="atLeast"/>
              <w:rPr>
                <w:rFonts w:hint="default" w:eastAsia="宋体"/>
                <w:sz w:val="18"/>
                <w:szCs w:val="18"/>
                <w:lang w:val="en-US" w:eastAsia="zh-CN"/>
              </w:rPr>
            </w:pPr>
          </w:p>
        </w:tc>
        <w:tc>
          <w:tcPr>
            <w:tcW w:w="4969" w:type="dxa"/>
            <w:shd w:val="clear" w:color="auto" w:fill="EEEEEE"/>
          </w:tcPr>
          <w:p w14:paraId="6C36F77D">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Scientific background &amp; rationale:</w:t>
            </w:r>
          </w:p>
          <w:p w14:paraId="4DDC1A36">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Lacunar cerebral infarction (LCI) is linked to immune dysregulation, and recent evidence suggests gut microbiota may influence stroke via immune pathways. However, causal relationships remain unclear. This study explores the role of Lactobacillus salivarius and immune cells in LCI using Mendelian randomization (MR).</w:t>
            </w:r>
          </w:p>
          <w:p w14:paraId="775164C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Plausibility of causal relationship:</w:t>
            </w:r>
          </w:p>
          <w:p w14:paraId="402EB6F3">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L. salivarius has known immunomodulatory potential. This study suggests it may promote CD62L⁻ plasmacytoid dendritic cells, which in turn increase LCI risk—supporting a biologically plausible pathway.</w:t>
            </w:r>
          </w:p>
          <w:p w14:paraId="2B765193">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Why MR is helpful:</w:t>
            </w:r>
          </w:p>
          <w:p w14:paraId="7C16798C">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MR uses genetic instruments to infer causality, minimizing confounding and reverse causation. It allows testing both direct and immune-mediated effects from microbiota to LCI, strengthening causal inference.</w:t>
            </w:r>
          </w:p>
        </w:tc>
      </w:tr>
      <w:tr w14:paraId="77B86FFC">
        <w:tblPrEx>
          <w:tblCellMar>
            <w:top w:w="0" w:type="dxa"/>
            <w:left w:w="108" w:type="dxa"/>
            <w:bottom w:w="0" w:type="dxa"/>
            <w:right w:w="108" w:type="dxa"/>
          </w:tblCellMar>
        </w:tblPrEx>
        <w:tc>
          <w:tcPr>
            <w:tcW w:w="587" w:type="dxa"/>
            <w:tcBorders>
              <w:bottom w:val="single" w:color="7F7F7F" w:sz="6" w:space="0"/>
            </w:tcBorders>
            <w:shd w:val="clear" w:color="auto" w:fill="auto"/>
          </w:tcPr>
          <w:p w14:paraId="68AB543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08" w:type="dxa"/>
            <w:tcBorders>
              <w:bottom w:val="single" w:color="7F7F7F" w:sz="6" w:space="0"/>
            </w:tcBorders>
            <w:shd w:val="clear" w:color="auto" w:fill="auto"/>
          </w:tcPr>
          <w:p w14:paraId="34A4526E">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6414" w:type="dxa"/>
            <w:tcBorders>
              <w:bottom w:val="single" w:color="7F7F7F" w:sz="6" w:space="0"/>
            </w:tcBorders>
            <w:shd w:val="clear" w:color="auto" w:fill="auto"/>
          </w:tcPr>
          <w:p w14:paraId="32D2C3F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p w14:paraId="6174FB03">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tcPr>
          <w:p w14:paraId="182183B6">
            <w:pPr>
              <w:spacing w:before="96" w:beforeLines="40" w:after="96" w:afterLines="40" w:line="24" w:lineRule="atLeast"/>
              <w:rPr>
                <w:rFonts w:hint="default" w:eastAsia="宋体"/>
                <w:sz w:val="18"/>
                <w:szCs w:val="18"/>
                <w:lang w:val="en-US" w:eastAsia="zh-CN"/>
              </w:rPr>
            </w:pPr>
          </w:p>
        </w:tc>
        <w:tc>
          <w:tcPr>
            <w:tcW w:w="4969" w:type="dxa"/>
            <w:tcBorders>
              <w:bottom w:val="single" w:color="7F7F7F" w:sz="6" w:space="0"/>
            </w:tcBorders>
          </w:tcPr>
          <w:p w14:paraId="14B0869B">
            <w:pPr>
              <w:numPr>
                <w:ilvl w:val="0"/>
                <w:numId w:val="0"/>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Specific objectives and hypotheses:</w:t>
            </w:r>
          </w:p>
          <w:p w14:paraId="5B4B8A5B">
            <w:pPr>
              <w:numPr>
                <w:ilvl w:val="0"/>
                <w:numId w:val="0"/>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 xml:space="preserve">This study aimed to investigate whether the gut microbial species Lactobacillus salivarius is causally associated with the risk of lacunar cerebral infarction (LCI), and whether this effect is mediated by specific immune cell subtypes. </w:t>
            </w:r>
          </w:p>
          <w:p w14:paraId="323F336E">
            <w:pPr>
              <w:numPr>
                <w:ilvl w:val="0"/>
                <w:numId w:val="0"/>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Use of MR to estimate causal effects:</w:t>
            </w:r>
          </w:p>
          <w:p w14:paraId="159AF382">
            <w:pPr>
              <w:numPr>
                <w:ilvl w:val="0"/>
                <w:numId w:val="0"/>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Mendelian randomization (MR) is a genetic epidemiology method that, under specific assumptions (i.e., relevance, independence, and exclusion restriction), aims to estimate causal effects between an exposure and an outcome. In this study, we applied two-sample MR and mediation MR approaches to evaluate the direct and immune-mediated causal effects of Lactobacillus salivarius on LCI.</w:t>
            </w:r>
          </w:p>
        </w:tc>
      </w:tr>
      <w:tr w14:paraId="128C586D">
        <w:tblPrEx>
          <w:tblCellMar>
            <w:top w:w="0" w:type="dxa"/>
            <w:left w:w="108" w:type="dxa"/>
            <w:bottom w:w="0" w:type="dxa"/>
            <w:right w:w="108" w:type="dxa"/>
          </w:tblCellMar>
        </w:tblPrEx>
        <w:tc>
          <w:tcPr>
            <w:tcW w:w="587" w:type="dxa"/>
            <w:tcBorders>
              <w:top w:val="single" w:color="7F7F7F" w:sz="6" w:space="0"/>
            </w:tcBorders>
            <w:shd w:val="clear" w:color="auto" w:fill="EEEEEE"/>
          </w:tcPr>
          <w:p w14:paraId="478B6DE0">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EEEEEE"/>
          </w:tcPr>
          <w:p w14:paraId="0395278D">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6414" w:type="dxa"/>
            <w:tcBorders>
              <w:top w:val="single" w:color="7F7F7F" w:sz="6" w:space="0"/>
            </w:tcBorders>
            <w:shd w:val="clear" w:color="auto" w:fill="EEEEEE"/>
          </w:tcPr>
          <w:p w14:paraId="7E095A26">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shd w:val="clear" w:color="auto" w:fill="EEEEEE"/>
          </w:tcPr>
          <w:p w14:paraId="682708AE">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shd w:val="clear" w:color="auto" w:fill="EEEEEE"/>
          </w:tcPr>
          <w:p w14:paraId="383AE086">
            <w:pPr>
              <w:spacing w:before="96" w:beforeLines="40" w:after="96" w:afterLines="40" w:line="24" w:lineRule="atLeast"/>
              <w:rPr>
                <w:rFonts w:eastAsia="Cambria"/>
                <w:sz w:val="18"/>
                <w:szCs w:val="18"/>
                <w:lang w:val="en-GB" w:eastAsia="en-US"/>
              </w:rPr>
            </w:pPr>
          </w:p>
        </w:tc>
      </w:tr>
      <w:tr w14:paraId="6170DB97">
        <w:tblPrEx>
          <w:tblCellMar>
            <w:top w:w="0" w:type="dxa"/>
            <w:left w:w="108" w:type="dxa"/>
            <w:bottom w:w="0" w:type="dxa"/>
            <w:right w:w="108" w:type="dxa"/>
          </w:tblCellMar>
        </w:tblPrEx>
        <w:tc>
          <w:tcPr>
            <w:tcW w:w="587" w:type="dxa"/>
            <w:shd w:val="clear" w:color="auto" w:fill="auto"/>
          </w:tcPr>
          <w:p w14:paraId="5EEBBAA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08" w:type="dxa"/>
            <w:shd w:val="clear" w:color="auto" w:fill="auto"/>
          </w:tcPr>
          <w:p w14:paraId="47A029D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6414" w:type="dxa"/>
            <w:shd w:val="clear" w:color="auto" w:fill="auto"/>
          </w:tcPr>
          <w:p w14:paraId="70A0715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p w14:paraId="348BBDDF">
            <w:pPr>
              <w:spacing w:before="96" w:beforeLines="40" w:after="96" w:afterLines="40" w:line="24" w:lineRule="atLeast"/>
              <w:rPr>
                <w:rFonts w:eastAsia="Times New Roman"/>
                <w:sz w:val="18"/>
                <w:szCs w:val="18"/>
                <w:lang w:val="en-GB" w:eastAsia="en-US"/>
              </w:rPr>
            </w:pPr>
          </w:p>
        </w:tc>
        <w:tc>
          <w:tcPr>
            <w:tcW w:w="712" w:type="dxa"/>
          </w:tcPr>
          <w:p w14:paraId="0BC8FBC0">
            <w:pPr>
              <w:spacing w:before="96" w:beforeLines="40" w:after="96" w:afterLines="40" w:line="24" w:lineRule="atLeast"/>
              <w:rPr>
                <w:rFonts w:hint="eastAsia" w:eastAsia="宋体"/>
                <w:sz w:val="18"/>
                <w:szCs w:val="18"/>
                <w:lang w:val="en-US" w:eastAsia="zh-CN"/>
              </w:rPr>
            </w:pPr>
          </w:p>
        </w:tc>
        <w:tc>
          <w:tcPr>
            <w:tcW w:w="4969" w:type="dxa"/>
          </w:tcPr>
          <w:p w14:paraId="3BB080E5">
            <w:pPr>
              <w:spacing w:before="96" w:beforeLines="40" w:after="96" w:afterLines="40" w:line="24" w:lineRule="atLeast"/>
              <w:rPr>
                <w:rFonts w:hint="default" w:eastAsia="宋体"/>
                <w:sz w:val="18"/>
                <w:szCs w:val="18"/>
                <w:lang w:val="en-US" w:eastAsia="zh-CN"/>
              </w:rPr>
            </w:pPr>
          </w:p>
        </w:tc>
      </w:tr>
      <w:tr w14:paraId="1C8A14DB">
        <w:tblPrEx>
          <w:tblCellMar>
            <w:top w:w="0" w:type="dxa"/>
            <w:left w:w="108" w:type="dxa"/>
            <w:bottom w:w="0" w:type="dxa"/>
            <w:right w:w="108" w:type="dxa"/>
          </w:tblCellMar>
        </w:tblPrEx>
        <w:tc>
          <w:tcPr>
            <w:tcW w:w="587" w:type="dxa"/>
            <w:shd w:val="clear" w:color="auto" w:fill="EEEEEE"/>
          </w:tcPr>
          <w:p w14:paraId="747FD349">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3CCE9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74E6BF29">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12" w:type="dxa"/>
            <w:shd w:val="clear" w:color="auto" w:fill="EEEEEE"/>
          </w:tcPr>
          <w:p w14:paraId="3C4B7500">
            <w:pPr>
              <w:spacing w:before="96" w:beforeLines="40" w:after="96" w:afterLines="40" w:line="24" w:lineRule="atLeast"/>
              <w:rPr>
                <w:rFonts w:eastAsia="Times New Roman"/>
                <w:sz w:val="18"/>
                <w:szCs w:val="18"/>
                <w:shd w:val="clear" w:color="auto" w:fill="FFFFFF"/>
                <w:lang w:val="en-GB" w:eastAsia="en-GB"/>
              </w:rPr>
            </w:pPr>
          </w:p>
        </w:tc>
        <w:tc>
          <w:tcPr>
            <w:tcW w:w="4969" w:type="dxa"/>
            <w:shd w:val="clear" w:color="auto" w:fill="EEEEEE"/>
          </w:tcPr>
          <w:p w14:paraId="47AE30A2">
            <w:pPr>
              <w:spacing w:before="96" w:beforeLines="40" w:after="96" w:afterLines="40" w:line="24" w:lineRule="atLeast"/>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4BCD68B0">
        <w:tblPrEx>
          <w:tblCellMar>
            <w:top w:w="0" w:type="dxa"/>
            <w:left w:w="108" w:type="dxa"/>
            <w:bottom w:w="0" w:type="dxa"/>
            <w:right w:w="108" w:type="dxa"/>
          </w:tblCellMar>
        </w:tblPrEx>
        <w:tc>
          <w:tcPr>
            <w:tcW w:w="587" w:type="dxa"/>
            <w:shd w:val="clear" w:color="auto" w:fill="auto"/>
          </w:tcPr>
          <w:p w14:paraId="7E79175E">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962BEE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FEB1E75">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12" w:type="dxa"/>
          </w:tcPr>
          <w:p w14:paraId="695E3220">
            <w:pPr>
              <w:spacing w:before="96" w:beforeLines="40" w:after="96" w:afterLines="40" w:line="24" w:lineRule="atLeast"/>
              <w:textAlignment w:val="baseline"/>
              <w:rPr>
                <w:rFonts w:hint="eastAsia" w:eastAsia="宋体"/>
                <w:sz w:val="18"/>
                <w:szCs w:val="18"/>
                <w:shd w:val="clear" w:color="auto" w:fill="FFFFFF"/>
                <w:lang w:val="en-US" w:eastAsia="zh-CN"/>
              </w:rPr>
            </w:pPr>
          </w:p>
        </w:tc>
        <w:tc>
          <w:tcPr>
            <w:tcW w:w="4969" w:type="dxa"/>
          </w:tcPr>
          <w:p w14:paraId="10E70746">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lang w:val="en-US" w:eastAsia="zh-CN"/>
              </w:rPr>
              <w:t>In Table 1</w:t>
            </w:r>
          </w:p>
        </w:tc>
      </w:tr>
      <w:tr w14:paraId="221B0DD1">
        <w:tblPrEx>
          <w:tblCellMar>
            <w:top w:w="0" w:type="dxa"/>
            <w:left w:w="108" w:type="dxa"/>
            <w:bottom w:w="0" w:type="dxa"/>
            <w:right w:w="108" w:type="dxa"/>
          </w:tblCellMar>
        </w:tblPrEx>
        <w:tc>
          <w:tcPr>
            <w:tcW w:w="587" w:type="dxa"/>
            <w:shd w:val="clear" w:color="auto" w:fill="EEEEEE"/>
          </w:tcPr>
          <w:p w14:paraId="0D0953C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9A44D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2BF154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12" w:type="dxa"/>
            <w:shd w:val="clear" w:color="auto" w:fill="EEEEEE"/>
          </w:tcPr>
          <w:p w14:paraId="3241060E">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3-4</w:t>
            </w:r>
          </w:p>
        </w:tc>
        <w:tc>
          <w:tcPr>
            <w:tcW w:w="4969" w:type="dxa"/>
            <w:shd w:val="clear" w:color="auto" w:fill="EEEEEE"/>
          </w:tcPr>
          <w:p w14:paraId="46FA2CA3">
            <w:pPr>
              <w:spacing w:before="96" w:beforeLines="40" w:after="96" w:afterLines="40" w:line="24" w:lineRule="atLeast"/>
              <w:rPr>
                <w:rFonts w:eastAsia="Times New Roman"/>
                <w:sz w:val="18"/>
                <w:szCs w:val="18"/>
                <w:lang w:val="en-GB" w:eastAsia="en-GB"/>
              </w:rPr>
            </w:pPr>
          </w:p>
        </w:tc>
      </w:tr>
      <w:tr w14:paraId="0396C451">
        <w:tblPrEx>
          <w:tblCellMar>
            <w:top w:w="0" w:type="dxa"/>
            <w:left w:w="108" w:type="dxa"/>
            <w:bottom w:w="0" w:type="dxa"/>
            <w:right w:w="108" w:type="dxa"/>
          </w:tblCellMar>
        </w:tblPrEx>
        <w:tc>
          <w:tcPr>
            <w:tcW w:w="587" w:type="dxa"/>
            <w:shd w:val="clear" w:color="auto" w:fill="auto"/>
          </w:tcPr>
          <w:p w14:paraId="3A6F9FE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0F6B3A8">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3710F17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12" w:type="dxa"/>
          </w:tcPr>
          <w:p w14:paraId="7A6E147E">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tcPr>
          <w:p w14:paraId="6FD22CB2">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0F90A8C2">
        <w:tblPrEx>
          <w:tblCellMar>
            <w:top w:w="0" w:type="dxa"/>
            <w:left w:w="108" w:type="dxa"/>
            <w:bottom w:w="0" w:type="dxa"/>
            <w:right w:w="108" w:type="dxa"/>
          </w:tblCellMar>
        </w:tblPrEx>
        <w:tc>
          <w:tcPr>
            <w:tcW w:w="587" w:type="dxa"/>
            <w:shd w:val="clear" w:color="auto" w:fill="EEEEEE"/>
          </w:tcPr>
          <w:p w14:paraId="32C32FE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242D48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EEEEEE"/>
          </w:tcPr>
          <w:p w14:paraId="2645E60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12" w:type="dxa"/>
            <w:shd w:val="clear" w:color="auto" w:fill="EEEEEE"/>
          </w:tcPr>
          <w:p w14:paraId="300738B0">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shd w:val="clear" w:color="auto" w:fill="EEEEEE"/>
          </w:tcPr>
          <w:p w14:paraId="6DBE1F8B">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6F7C4258">
        <w:tblPrEx>
          <w:tblCellMar>
            <w:top w:w="0" w:type="dxa"/>
            <w:left w:w="108" w:type="dxa"/>
            <w:bottom w:w="0" w:type="dxa"/>
            <w:right w:w="108" w:type="dxa"/>
          </w:tblCellMar>
        </w:tblPrEx>
        <w:tc>
          <w:tcPr>
            <w:tcW w:w="587" w:type="dxa"/>
            <w:shd w:val="clear" w:color="auto" w:fill="auto"/>
          </w:tcPr>
          <w:p w14:paraId="52BA5A3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08" w:type="dxa"/>
            <w:shd w:val="clear" w:color="auto" w:fill="auto"/>
          </w:tcPr>
          <w:p w14:paraId="38EC7C4C">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14:paraId="2106C025">
            <w:pPr>
              <w:spacing w:before="96" w:beforeLines="40" w:after="96" w:afterLines="40" w:line="24" w:lineRule="atLeast"/>
              <w:jc w:val="center"/>
              <w:rPr>
                <w:rFonts w:eastAsia="Cambria"/>
                <w:sz w:val="18"/>
                <w:szCs w:val="18"/>
                <w:lang w:val="en-GB" w:eastAsia="en-US"/>
              </w:rPr>
            </w:pPr>
          </w:p>
        </w:tc>
        <w:tc>
          <w:tcPr>
            <w:tcW w:w="6414" w:type="dxa"/>
            <w:shd w:val="clear" w:color="auto" w:fill="auto"/>
          </w:tcPr>
          <w:p w14:paraId="120FE65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p w14:paraId="66AC1D60">
            <w:pPr>
              <w:spacing w:before="96" w:beforeLines="40" w:after="96" w:afterLines="40" w:line="24" w:lineRule="atLeast"/>
              <w:rPr>
                <w:rFonts w:eastAsia="Times New Roman"/>
                <w:sz w:val="18"/>
                <w:szCs w:val="18"/>
                <w:lang w:val="en-GB" w:eastAsia="en-GB"/>
              </w:rPr>
            </w:pPr>
          </w:p>
        </w:tc>
        <w:tc>
          <w:tcPr>
            <w:tcW w:w="712" w:type="dxa"/>
          </w:tcPr>
          <w:p w14:paraId="57775D3C">
            <w:pPr>
              <w:spacing w:before="96" w:beforeLines="40" w:after="96" w:afterLines="40" w:line="24" w:lineRule="atLeast"/>
              <w:rPr>
                <w:rFonts w:hint="eastAsia" w:eastAsia="宋体"/>
                <w:sz w:val="18"/>
                <w:szCs w:val="18"/>
                <w:lang w:val="en-US" w:eastAsia="zh-CN"/>
              </w:rPr>
            </w:pPr>
          </w:p>
        </w:tc>
        <w:tc>
          <w:tcPr>
            <w:tcW w:w="4969" w:type="dxa"/>
          </w:tcPr>
          <w:p w14:paraId="366D8BC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Relevance Assumption: The genetic variants (SNPs) used as instrumental variables (IVs) are strongly associated with the exposure. Independence Assumption: The genetic variants used as IVs are independent of confounders that may influence both the exposure  and the outcome. This assumption ensures that the IVs are not correlated with any external factors that could bias the causal estimate.</w:t>
            </w:r>
          </w:p>
          <w:p w14:paraId="745B6FE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 xml:space="preserve">Exclusion Restriction Assumption: The genetic variants affect the outcome  only through the exposure  and not through any other pathway. </w:t>
            </w:r>
          </w:p>
          <w:p w14:paraId="5A6BC32A">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absence of pleiotropy was ensured by MR-EGGER REGRESSION and MR-PRESSO, in addition to the sensitivity analyses: heterogeneity (by Cochran's Q statistic and funnel plot) and Leave-One-Out analysis.</w:t>
            </w:r>
          </w:p>
        </w:tc>
      </w:tr>
      <w:tr w14:paraId="0ADD3B66">
        <w:tblPrEx>
          <w:tblCellMar>
            <w:top w:w="0" w:type="dxa"/>
            <w:left w:w="108" w:type="dxa"/>
            <w:bottom w:w="0" w:type="dxa"/>
            <w:right w:w="108" w:type="dxa"/>
          </w:tblCellMar>
        </w:tblPrEx>
        <w:tc>
          <w:tcPr>
            <w:tcW w:w="587" w:type="dxa"/>
            <w:shd w:val="clear" w:color="auto" w:fill="EEEEEE"/>
          </w:tcPr>
          <w:p w14:paraId="31523DA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08" w:type="dxa"/>
            <w:shd w:val="clear" w:color="auto" w:fill="EEEEEE"/>
          </w:tcPr>
          <w:p w14:paraId="4FFEA0B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6414" w:type="dxa"/>
            <w:shd w:val="clear" w:color="auto" w:fill="EEEEEE"/>
          </w:tcPr>
          <w:p w14:paraId="2E09217A">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12" w:type="dxa"/>
            <w:shd w:val="clear" w:color="auto" w:fill="EEEEEE"/>
          </w:tcPr>
          <w:p w14:paraId="70DA895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B0CC803">
            <w:pPr>
              <w:spacing w:before="96" w:beforeLines="40" w:after="96" w:afterLines="40" w:line="24" w:lineRule="atLeast"/>
              <w:rPr>
                <w:rFonts w:eastAsia="Times New Roman"/>
                <w:sz w:val="18"/>
                <w:szCs w:val="18"/>
                <w:lang w:val="en-GB" w:eastAsia="en-GB"/>
              </w:rPr>
            </w:pPr>
          </w:p>
        </w:tc>
      </w:tr>
      <w:tr w14:paraId="50E33C26">
        <w:tblPrEx>
          <w:tblCellMar>
            <w:top w:w="0" w:type="dxa"/>
            <w:left w:w="108" w:type="dxa"/>
            <w:bottom w:w="0" w:type="dxa"/>
            <w:right w:w="108" w:type="dxa"/>
          </w:tblCellMar>
        </w:tblPrEx>
        <w:tc>
          <w:tcPr>
            <w:tcW w:w="587" w:type="dxa"/>
            <w:shd w:val="clear" w:color="auto" w:fill="auto"/>
          </w:tcPr>
          <w:p w14:paraId="7A91D70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5FC82F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4378A68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12" w:type="dxa"/>
          </w:tcPr>
          <w:p w14:paraId="00EBBB50">
            <w:pPr>
              <w:spacing w:before="96" w:beforeLines="40" w:after="96" w:afterLines="40" w:line="24" w:lineRule="atLeast"/>
              <w:rPr>
                <w:rFonts w:eastAsia="Times New Roman"/>
                <w:sz w:val="18"/>
                <w:szCs w:val="18"/>
                <w:lang w:val="en-GB" w:eastAsia="en-GB"/>
              </w:rPr>
            </w:pPr>
          </w:p>
        </w:tc>
        <w:tc>
          <w:tcPr>
            <w:tcW w:w="4969" w:type="dxa"/>
          </w:tcPr>
          <w:p w14:paraId="7386E212">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All exposures, outcomes, and mediators were analyzed on a standardized scale per one standard deviation (SD) increase in the genetically predicted level of each phenotype. Causal estimates were reported as odds ratios (ORs) with 95% confidence intervals (CIs), derived from Mendelian randomization models. The primary analytical method was the inverse variance weighted (IVW) model, supplemented by MR-Egger and weighted median methods. All instrumental variables had F-statistics &gt; 10 to ensure strength and avoid weak instrument bias.</w:t>
            </w:r>
          </w:p>
        </w:tc>
      </w:tr>
      <w:tr w14:paraId="18E7323B">
        <w:tblPrEx>
          <w:tblCellMar>
            <w:top w:w="0" w:type="dxa"/>
            <w:left w:w="108" w:type="dxa"/>
            <w:bottom w:w="0" w:type="dxa"/>
            <w:right w:w="108" w:type="dxa"/>
          </w:tblCellMar>
        </w:tblPrEx>
        <w:tc>
          <w:tcPr>
            <w:tcW w:w="587" w:type="dxa"/>
            <w:shd w:val="clear" w:color="auto" w:fill="EEEEEE"/>
          </w:tcPr>
          <w:p w14:paraId="5B080091">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8A16A1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16CFCEF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12" w:type="dxa"/>
            <w:shd w:val="clear" w:color="auto" w:fill="EEEEEE"/>
          </w:tcPr>
          <w:p w14:paraId="0040F0F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12EE6E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 xml:space="preserve">Genetic variants (SNPs) strongly associated with exposures at a genome-wide significance threshold (P &lt; 1 × 10⁻⁵) were selected as instrumental variables (IVs). For reverse MR, SNPs associated with GBM were selected using P &lt; 5 × 10⁻6.Linkage disequilibrium (LD) clumping was applied using a 10,000 kb window and r² &lt; 0.001 (MR), based on European reference panels from the 1000 Genomes Project.SNP weights were derived from the effect sizes (β coefficients) reported in GWAS summary statistics. Weak instruments were excluded by ensuring all IVs had F-statistics &gt; 10. </w:t>
            </w:r>
          </w:p>
        </w:tc>
      </w:tr>
      <w:tr w14:paraId="2B2987E9">
        <w:tblPrEx>
          <w:tblCellMar>
            <w:top w:w="0" w:type="dxa"/>
            <w:left w:w="108" w:type="dxa"/>
            <w:bottom w:w="0" w:type="dxa"/>
            <w:right w:w="108" w:type="dxa"/>
          </w:tblCellMar>
        </w:tblPrEx>
        <w:tc>
          <w:tcPr>
            <w:tcW w:w="587" w:type="dxa"/>
            <w:shd w:val="clear" w:color="auto" w:fill="auto"/>
          </w:tcPr>
          <w:p w14:paraId="1748E72A">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DBFF87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7840134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12" w:type="dxa"/>
          </w:tcPr>
          <w:p w14:paraId="2542A590">
            <w:pPr>
              <w:spacing w:before="96" w:beforeLines="40" w:after="96" w:afterLines="40" w:line="24" w:lineRule="atLeast"/>
              <w:rPr>
                <w:rFonts w:eastAsia="Times New Roman"/>
                <w:sz w:val="18"/>
                <w:szCs w:val="18"/>
                <w:lang w:val="en-GB" w:eastAsia="en-GB"/>
              </w:rPr>
            </w:pPr>
          </w:p>
        </w:tc>
        <w:tc>
          <w:tcPr>
            <w:tcW w:w="4969" w:type="dxa"/>
          </w:tcPr>
          <w:p w14:paraId="69CEF99F">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We used a two-sample MR design. The main estimator was inverse variance weighted (IVW), with MR-Egger and weighted median as sensitivity analyses. SNP-specific Wald ratios were calculated using GWAS summary statistics.</w:t>
            </w:r>
          </w:p>
          <w:p w14:paraId="7DED980E">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All GWAS included standard covariates (e.g., age, sex, principal components). Although individual-level data were not used, covariate adjustment was consistent across exposure and outcome datasets from European populations.</w:t>
            </w:r>
          </w:p>
        </w:tc>
      </w:tr>
      <w:tr w14:paraId="56E47B76">
        <w:tblPrEx>
          <w:tblCellMar>
            <w:top w:w="0" w:type="dxa"/>
            <w:left w:w="108" w:type="dxa"/>
            <w:bottom w:w="0" w:type="dxa"/>
            <w:right w:w="108" w:type="dxa"/>
          </w:tblCellMar>
        </w:tblPrEx>
        <w:tc>
          <w:tcPr>
            <w:tcW w:w="587" w:type="dxa"/>
            <w:shd w:val="clear" w:color="auto" w:fill="EEEEEE"/>
          </w:tcPr>
          <w:p w14:paraId="793CABD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6FC9A61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118EEA9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12" w:type="dxa"/>
            <w:shd w:val="clear" w:color="auto" w:fill="EEEEEE"/>
          </w:tcPr>
          <w:p w14:paraId="0F238FBF">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1CC0C80">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Missing data were addressed by excluding palindromic and ambiguous SNPs during the data harmonization process. SNPs that could not be aligned consistently between the exposure and outcome datasets were removed from the analysis. If additional SNPs were missing from one of the samples, they were excluded to maintain consistency in the analyses.</w:t>
            </w:r>
          </w:p>
        </w:tc>
      </w:tr>
      <w:tr w14:paraId="1832D4B5">
        <w:tblPrEx>
          <w:tblCellMar>
            <w:top w:w="0" w:type="dxa"/>
            <w:left w:w="108" w:type="dxa"/>
            <w:bottom w:w="0" w:type="dxa"/>
            <w:right w:w="108" w:type="dxa"/>
          </w:tblCellMar>
        </w:tblPrEx>
        <w:tc>
          <w:tcPr>
            <w:tcW w:w="587" w:type="dxa"/>
            <w:shd w:val="clear" w:color="auto" w:fill="auto"/>
          </w:tcPr>
          <w:p w14:paraId="1D693A04">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8505C4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auto"/>
          </w:tcPr>
          <w:p w14:paraId="630922A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12" w:type="dxa"/>
          </w:tcPr>
          <w:p w14:paraId="6B4412E3">
            <w:pPr>
              <w:spacing w:before="96" w:beforeLines="40" w:after="96" w:afterLines="40" w:line="24" w:lineRule="atLeast"/>
              <w:rPr>
                <w:rFonts w:eastAsia="Times New Roman"/>
                <w:sz w:val="18"/>
                <w:szCs w:val="18"/>
                <w:lang w:val="en-GB" w:eastAsia="en-GB"/>
              </w:rPr>
            </w:pPr>
          </w:p>
        </w:tc>
        <w:tc>
          <w:tcPr>
            <w:tcW w:w="4969" w:type="dxa"/>
          </w:tcPr>
          <w:p w14:paraId="338A12B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account for multiple testing, false discovery rate (FDR) correction was applied to the p-values across all Mendelian randomization analyses.</w:t>
            </w:r>
          </w:p>
        </w:tc>
      </w:tr>
      <w:tr w14:paraId="5D57A880">
        <w:tblPrEx>
          <w:tblCellMar>
            <w:top w:w="0" w:type="dxa"/>
            <w:left w:w="108" w:type="dxa"/>
            <w:bottom w:w="0" w:type="dxa"/>
            <w:right w:w="108" w:type="dxa"/>
          </w:tblCellMar>
        </w:tblPrEx>
        <w:tc>
          <w:tcPr>
            <w:tcW w:w="587" w:type="dxa"/>
            <w:shd w:val="clear" w:color="auto" w:fill="EEEEEE"/>
          </w:tcPr>
          <w:p w14:paraId="331C3B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08" w:type="dxa"/>
            <w:shd w:val="clear" w:color="auto" w:fill="EEEEEE"/>
          </w:tcPr>
          <w:p w14:paraId="6EB481AA">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4C3DA9B">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p w14:paraId="1BF38D1E">
            <w:pPr>
              <w:tabs>
                <w:tab w:val="left" w:pos="1620"/>
              </w:tabs>
              <w:spacing w:before="96" w:beforeLines="40" w:after="96" w:afterLines="40" w:line="24" w:lineRule="atLeast"/>
              <w:rPr>
                <w:rFonts w:hint="eastAsia" w:eastAsia="Cambria"/>
                <w:sz w:val="18"/>
                <w:szCs w:val="18"/>
                <w:lang w:val="en-GB" w:eastAsia="en-US"/>
              </w:rPr>
            </w:pPr>
          </w:p>
        </w:tc>
        <w:tc>
          <w:tcPr>
            <w:tcW w:w="712" w:type="dxa"/>
            <w:shd w:val="clear" w:color="auto" w:fill="EEEEEE"/>
          </w:tcPr>
          <w:p w14:paraId="747DA7C3">
            <w:pPr>
              <w:tabs>
                <w:tab w:val="left" w:pos="1620"/>
              </w:tabs>
              <w:spacing w:before="96" w:beforeLines="40" w:after="96" w:afterLines="40" w:line="24" w:lineRule="atLeast"/>
              <w:rPr>
                <w:rFonts w:eastAsia="Times New Roman"/>
                <w:sz w:val="18"/>
                <w:szCs w:val="18"/>
                <w:lang w:val="en-GB" w:eastAsia="en-GB"/>
              </w:rPr>
            </w:pPr>
          </w:p>
        </w:tc>
        <w:tc>
          <w:tcPr>
            <w:tcW w:w="4969" w:type="dxa"/>
            <w:shd w:val="clear" w:color="auto" w:fill="EEEEEE"/>
          </w:tcPr>
          <w:p w14:paraId="3238E68C">
            <w:pPr>
              <w:tabs>
                <w:tab w:val="left" w:pos="1620"/>
              </w:tabs>
              <w:spacing w:before="96" w:beforeLines="40" w:after="96" w:afterLines="40" w:line="24" w:lineRule="atLeast"/>
              <w:rPr>
                <w:rFonts w:eastAsia="Times New Roman"/>
                <w:sz w:val="18"/>
                <w:szCs w:val="18"/>
                <w:lang w:val="en-GB" w:eastAsia="en-GB"/>
              </w:rPr>
            </w:pPr>
            <w:r>
              <w:rPr>
                <w:rFonts w:hint="eastAsia" w:eastAsia="Cambria"/>
                <w:sz w:val="18"/>
                <w:szCs w:val="18"/>
                <w:lang w:val="en-GB" w:eastAsia="en-US"/>
              </w:rPr>
              <w:t>To assess the validity of the hypotheses, we adopted measures including rigorous instrumental variable selection criteria, sensitivity analyses (e.g., MR-Egger regression and MR-PRESSO tests), heterogeneity and pleiotropy tests (e.g., Cochran's Q statistic and funnel plots), and validation of the hypotheses through literature and biological mechanisms.</w:t>
            </w:r>
          </w:p>
        </w:tc>
      </w:tr>
      <w:tr w14:paraId="69F7918F">
        <w:tblPrEx>
          <w:tblCellMar>
            <w:top w:w="0" w:type="dxa"/>
            <w:left w:w="108" w:type="dxa"/>
            <w:bottom w:w="0" w:type="dxa"/>
            <w:right w:w="108" w:type="dxa"/>
          </w:tblCellMar>
        </w:tblPrEx>
        <w:tc>
          <w:tcPr>
            <w:tcW w:w="587" w:type="dxa"/>
            <w:shd w:val="clear" w:color="auto" w:fill="auto"/>
          </w:tcPr>
          <w:p w14:paraId="3699B6F7">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08" w:type="dxa"/>
            <w:shd w:val="clear" w:color="auto" w:fill="auto"/>
          </w:tcPr>
          <w:p w14:paraId="5F53ADF7">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6414" w:type="dxa"/>
            <w:shd w:val="clear" w:color="auto" w:fill="auto"/>
          </w:tcPr>
          <w:p w14:paraId="231EE0E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p w14:paraId="5F0E9854">
            <w:pPr>
              <w:spacing w:before="96" w:beforeLines="40" w:after="96" w:afterLines="40" w:line="24" w:lineRule="atLeast"/>
              <w:rPr>
                <w:rFonts w:eastAsia="Times New Roman"/>
                <w:sz w:val="18"/>
                <w:szCs w:val="18"/>
                <w:lang w:val="en-GB" w:eastAsia="en-US"/>
              </w:rPr>
            </w:pPr>
          </w:p>
        </w:tc>
        <w:tc>
          <w:tcPr>
            <w:tcW w:w="712" w:type="dxa"/>
          </w:tcPr>
          <w:p w14:paraId="619CA106">
            <w:pPr>
              <w:spacing w:before="96" w:beforeLines="40" w:after="96" w:afterLines="40" w:line="24" w:lineRule="atLeast"/>
              <w:rPr>
                <w:rFonts w:eastAsia="Times New Roman"/>
                <w:sz w:val="18"/>
                <w:szCs w:val="18"/>
                <w:lang w:val="en-GB" w:eastAsia="en-GB"/>
              </w:rPr>
            </w:pPr>
          </w:p>
        </w:tc>
        <w:tc>
          <w:tcPr>
            <w:tcW w:w="4969" w:type="dxa"/>
          </w:tcPr>
          <w:p w14:paraId="55A17ECC">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Sensitivity analyses: MR-Egger Regression Analysis, if P-value &gt; 0.05, it indicates that the multiplicity is not significant and the results are more reliable.MR-PRESSO GLOBAL TEST P-VALUE, if P-value &gt; 0.05, it indicates that the multiplicity is not significant.Leave-One-Out Analysis exclude each SNP one by one and rerun the MR analysis , observing the changes in the results. Heterogeneity was detected using Cochran's Q statistic and funnel plot. If the P value of Q statistic &gt; 0.05, it indicated that the heterogeneity was not significant.</w:t>
            </w:r>
          </w:p>
        </w:tc>
      </w:tr>
      <w:tr w14:paraId="158EE190">
        <w:tblPrEx>
          <w:tblCellMar>
            <w:top w:w="0" w:type="dxa"/>
            <w:left w:w="108" w:type="dxa"/>
            <w:bottom w:w="0" w:type="dxa"/>
            <w:right w:w="108" w:type="dxa"/>
          </w:tblCellMar>
        </w:tblPrEx>
        <w:tc>
          <w:tcPr>
            <w:tcW w:w="587" w:type="dxa"/>
            <w:shd w:val="clear" w:color="auto" w:fill="EEEEEE"/>
          </w:tcPr>
          <w:p w14:paraId="75DAB2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08" w:type="dxa"/>
            <w:shd w:val="clear" w:color="auto" w:fill="EEEEEE"/>
          </w:tcPr>
          <w:p w14:paraId="3FB4D2A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6414" w:type="dxa"/>
            <w:shd w:val="clear" w:color="auto" w:fill="EEEEEE"/>
          </w:tcPr>
          <w:p w14:paraId="1740CAEF">
            <w:pPr>
              <w:spacing w:before="96" w:beforeLines="40" w:after="96" w:afterLines="40" w:line="24" w:lineRule="atLeast"/>
              <w:rPr>
                <w:rFonts w:eastAsia="Cambria"/>
                <w:sz w:val="18"/>
                <w:szCs w:val="18"/>
                <w:lang w:val="en-GB" w:eastAsia="en-US"/>
              </w:rPr>
            </w:pPr>
          </w:p>
        </w:tc>
        <w:tc>
          <w:tcPr>
            <w:tcW w:w="712" w:type="dxa"/>
            <w:shd w:val="clear" w:color="auto" w:fill="EEEEEE"/>
          </w:tcPr>
          <w:p w14:paraId="23445B9E">
            <w:pPr>
              <w:spacing w:before="96" w:beforeLines="40" w:after="96" w:afterLines="40" w:line="24" w:lineRule="atLeast"/>
              <w:rPr>
                <w:rFonts w:eastAsia="Cambria"/>
                <w:sz w:val="18"/>
                <w:szCs w:val="18"/>
                <w:lang w:val="en-GB" w:eastAsia="en-US"/>
              </w:rPr>
            </w:pPr>
          </w:p>
        </w:tc>
        <w:tc>
          <w:tcPr>
            <w:tcW w:w="4969" w:type="dxa"/>
            <w:shd w:val="clear" w:color="auto" w:fill="EEEEEE"/>
          </w:tcPr>
          <w:p w14:paraId="672E45DA">
            <w:pPr>
              <w:spacing w:before="96" w:beforeLines="40" w:after="96" w:afterLines="40" w:line="24" w:lineRule="atLeast"/>
              <w:rPr>
                <w:rFonts w:eastAsia="Cambria"/>
                <w:sz w:val="18"/>
                <w:szCs w:val="18"/>
                <w:lang w:val="en-GB" w:eastAsia="en-US"/>
              </w:rPr>
            </w:pPr>
          </w:p>
        </w:tc>
      </w:tr>
      <w:tr w14:paraId="1FB4767A">
        <w:tblPrEx>
          <w:tblCellMar>
            <w:top w:w="0" w:type="dxa"/>
            <w:left w:w="108" w:type="dxa"/>
            <w:bottom w:w="0" w:type="dxa"/>
            <w:right w:w="108" w:type="dxa"/>
          </w:tblCellMar>
        </w:tblPrEx>
        <w:tc>
          <w:tcPr>
            <w:tcW w:w="587" w:type="dxa"/>
            <w:shd w:val="clear" w:color="auto" w:fill="auto"/>
          </w:tcPr>
          <w:p w14:paraId="68E75B6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F033D7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0BE9FAB">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p w14:paraId="68073CDE">
            <w:pPr>
              <w:spacing w:before="96" w:beforeLines="40" w:after="96" w:afterLines="40" w:line="24" w:lineRule="atLeast"/>
              <w:rPr>
                <w:rFonts w:eastAsia="Times New Roman"/>
                <w:sz w:val="18"/>
                <w:szCs w:val="18"/>
                <w:lang w:val="en-GB" w:eastAsia="en-GB"/>
              </w:rPr>
            </w:pPr>
          </w:p>
        </w:tc>
        <w:tc>
          <w:tcPr>
            <w:tcW w:w="712" w:type="dxa"/>
          </w:tcPr>
          <w:p w14:paraId="0EC2BB0A">
            <w:pPr>
              <w:spacing w:before="96" w:beforeLines="40" w:after="96" w:afterLines="40" w:line="24" w:lineRule="atLeast"/>
              <w:rPr>
                <w:rFonts w:eastAsia="Times New Roman"/>
                <w:sz w:val="18"/>
                <w:szCs w:val="18"/>
                <w:lang w:val="en-GB" w:eastAsia="en-GB"/>
              </w:rPr>
            </w:pPr>
          </w:p>
        </w:tc>
        <w:tc>
          <w:tcPr>
            <w:tcW w:w="4969" w:type="dxa"/>
          </w:tcPr>
          <w:p w14:paraId="36BF693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All analyses were performed using R version 4.3.1. For these analyses, we used various R packages, including "Two Sample MR", "foreach" and "ggplot2".</w:t>
            </w:r>
          </w:p>
        </w:tc>
      </w:tr>
      <w:tr w14:paraId="3091EEBC">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D7C8D5">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4B618BF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tcBorders>
              <w:bottom w:val="single" w:color="7F7F7F" w:sz="6" w:space="0"/>
            </w:tcBorders>
            <w:shd w:val="clear" w:color="auto" w:fill="EEEEEE"/>
          </w:tcPr>
          <w:p w14:paraId="3B3DE63B">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12" w:type="dxa"/>
            <w:tcBorders>
              <w:bottom w:val="single" w:color="7F7F7F" w:sz="6" w:space="0"/>
            </w:tcBorders>
            <w:shd w:val="clear" w:color="auto" w:fill="EEEEEE"/>
          </w:tcPr>
          <w:p w14:paraId="4BFA238B">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54467F6E">
            <w:pPr>
              <w:spacing w:before="96" w:beforeLines="40" w:after="96" w:afterLines="40" w:line="24" w:lineRule="atLeast"/>
              <w:rPr>
                <w:rFonts w:hint="default" w:eastAsia="宋体"/>
                <w:sz w:val="18"/>
                <w:szCs w:val="18"/>
                <w:lang w:val="en-US" w:eastAsia="zh-CN"/>
              </w:rPr>
            </w:pPr>
            <w:r>
              <w:rPr>
                <w:rFonts w:hint="eastAsia" w:eastAsia="Times New Roman"/>
                <w:sz w:val="18"/>
                <w:szCs w:val="18"/>
                <w:lang w:val="en-GB" w:eastAsia="en-GB"/>
              </w:rPr>
              <w:t>Not applicable.</w:t>
            </w:r>
          </w:p>
        </w:tc>
      </w:tr>
      <w:tr w14:paraId="07EBAF89">
        <w:tblPrEx>
          <w:tblCellMar>
            <w:top w:w="0" w:type="dxa"/>
            <w:left w:w="108" w:type="dxa"/>
            <w:bottom w:w="0" w:type="dxa"/>
            <w:right w:w="108" w:type="dxa"/>
          </w:tblCellMar>
        </w:tblPrEx>
        <w:tc>
          <w:tcPr>
            <w:tcW w:w="587" w:type="dxa"/>
            <w:tcBorders>
              <w:top w:val="single" w:color="7F7F7F" w:sz="6" w:space="0"/>
            </w:tcBorders>
            <w:shd w:val="clear" w:color="auto" w:fill="auto"/>
          </w:tcPr>
          <w:p w14:paraId="29D75DF1">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2BC39E06">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6414" w:type="dxa"/>
            <w:tcBorders>
              <w:top w:val="single" w:color="7F7F7F" w:sz="6" w:space="0"/>
            </w:tcBorders>
            <w:shd w:val="clear" w:color="auto" w:fill="auto"/>
          </w:tcPr>
          <w:p w14:paraId="1D28301B">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4D71FC91">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51E13C5">
            <w:pPr>
              <w:spacing w:before="96" w:beforeLines="40" w:after="96" w:afterLines="40" w:line="24" w:lineRule="atLeast"/>
              <w:rPr>
                <w:rFonts w:eastAsia="Cambria"/>
                <w:sz w:val="18"/>
                <w:szCs w:val="18"/>
                <w:lang w:val="en-GB" w:eastAsia="en-US"/>
              </w:rPr>
            </w:pPr>
          </w:p>
        </w:tc>
      </w:tr>
      <w:tr w14:paraId="2CB0C5DC">
        <w:tblPrEx>
          <w:tblCellMar>
            <w:top w:w="0" w:type="dxa"/>
            <w:left w:w="108" w:type="dxa"/>
            <w:bottom w:w="0" w:type="dxa"/>
            <w:right w:w="108" w:type="dxa"/>
          </w:tblCellMar>
        </w:tblPrEx>
        <w:tc>
          <w:tcPr>
            <w:tcW w:w="587" w:type="dxa"/>
            <w:shd w:val="clear" w:color="auto" w:fill="EEEEEE"/>
          </w:tcPr>
          <w:p w14:paraId="7D7F8F9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08" w:type="dxa"/>
            <w:shd w:val="clear" w:color="auto" w:fill="EEEEEE"/>
          </w:tcPr>
          <w:p w14:paraId="0829063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6414" w:type="dxa"/>
            <w:shd w:val="clear" w:color="auto" w:fill="EEEEEE"/>
          </w:tcPr>
          <w:p w14:paraId="4CF99035">
            <w:pPr>
              <w:spacing w:before="96" w:beforeLines="40" w:after="96" w:afterLines="40" w:line="24" w:lineRule="atLeast"/>
              <w:rPr>
                <w:rFonts w:eastAsia="Cambria"/>
                <w:sz w:val="18"/>
                <w:szCs w:val="18"/>
                <w:lang w:val="en-GB" w:eastAsia="en-US"/>
              </w:rPr>
            </w:pPr>
          </w:p>
        </w:tc>
        <w:tc>
          <w:tcPr>
            <w:tcW w:w="712" w:type="dxa"/>
            <w:shd w:val="clear" w:color="auto" w:fill="EEEEEE"/>
          </w:tcPr>
          <w:p w14:paraId="01B6413E">
            <w:pPr>
              <w:spacing w:before="96" w:beforeLines="40" w:after="96" w:afterLines="40" w:line="24" w:lineRule="atLeast"/>
              <w:rPr>
                <w:rFonts w:eastAsia="Cambria"/>
                <w:sz w:val="18"/>
                <w:szCs w:val="18"/>
                <w:lang w:val="en-GB" w:eastAsia="en-US"/>
              </w:rPr>
            </w:pPr>
          </w:p>
        </w:tc>
        <w:tc>
          <w:tcPr>
            <w:tcW w:w="4969" w:type="dxa"/>
            <w:shd w:val="clear" w:color="auto" w:fill="EEEEEE"/>
          </w:tcPr>
          <w:p w14:paraId="61B84A66">
            <w:pPr>
              <w:spacing w:before="96" w:beforeLines="40" w:after="96" w:afterLines="40" w:line="24" w:lineRule="atLeast"/>
              <w:rPr>
                <w:rFonts w:eastAsia="Cambria"/>
                <w:sz w:val="18"/>
                <w:szCs w:val="18"/>
                <w:lang w:val="en-GB" w:eastAsia="en-US"/>
              </w:rPr>
            </w:pPr>
          </w:p>
        </w:tc>
      </w:tr>
      <w:tr w14:paraId="5108FD50">
        <w:tblPrEx>
          <w:tblCellMar>
            <w:top w:w="0" w:type="dxa"/>
            <w:left w:w="108" w:type="dxa"/>
            <w:bottom w:w="0" w:type="dxa"/>
            <w:right w:w="108" w:type="dxa"/>
          </w:tblCellMar>
        </w:tblPrEx>
        <w:tc>
          <w:tcPr>
            <w:tcW w:w="587" w:type="dxa"/>
            <w:shd w:val="clear" w:color="auto" w:fill="auto"/>
          </w:tcPr>
          <w:p w14:paraId="002F525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B855E2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7E292CE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12" w:type="dxa"/>
          </w:tcPr>
          <w:p w14:paraId="6F50CF15">
            <w:pPr>
              <w:spacing w:before="96" w:beforeLines="40" w:after="96" w:afterLines="40" w:line="24" w:lineRule="atLeast"/>
              <w:rPr>
                <w:rFonts w:eastAsia="Times New Roman"/>
                <w:sz w:val="18"/>
                <w:szCs w:val="18"/>
                <w:lang w:val="en-GB" w:eastAsia="en-GB"/>
              </w:rPr>
            </w:pPr>
          </w:p>
        </w:tc>
        <w:tc>
          <w:tcPr>
            <w:tcW w:w="4969" w:type="dxa"/>
          </w:tcPr>
          <w:p w14:paraId="23ABDB1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18430FB">
        <w:tblPrEx>
          <w:tblCellMar>
            <w:top w:w="0" w:type="dxa"/>
            <w:left w:w="108" w:type="dxa"/>
            <w:bottom w:w="0" w:type="dxa"/>
            <w:right w:w="108" w:type="dxa"/>
          </w:tblCellMar>
        </w:tblPrEx>
        <w:tc>
          <w:tcPr>
            <w:tcW w:w="587" w:type="dxa"/>
            <w:shd w:val="clear" w:color="auto" w:fill="EEEEEE"/>
          </w:tcPr>
          <w:p w14:paraId="3CD2364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37CAF9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590B3D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12" w:type="dxa"/>
            <w:shd w:val="clear" w:color="auto" w:fill="EEEEEE"/>
          </w:tcPr>
          <w:p w14:paraId="5FEC12A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52D4A0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3AFF8F45">
        <w:tblPrEx>
          <w:tblCellMar>
            <w:top w:w="0" w:type="dxa"/>
            <w:left w:w="108" w:type="dxa"/>
            <w:bottom w:w="0" w:type="dxa"/>
            <w:right w:w="108" w:type="dxa"/>
          </w:tblCellMar>
        </w:tblPrEx>
        <w:tc>
          <w:tcPr>
            <w:tcW w:w="587" w:type="dxa"/>
            <w:shd w:val="clear" w:color="auto" w:fill="auto"/>
          </w:tcPr>
          <w:p w14:paraId="2071404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59AB68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15600B7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12" w:type="dxa"/>
          </w:tcPr>
          <w:p w14:paraId="55EB2767">
            <w:pPr>
              <w:spacing w:before="96" w:beforeLines="40" w:after="96" w:afterLines="40" w:line="24" w:lineRule="atLeast"/>
              <w:rPr>
                <w:rFonts w:eastAsia="Times New Roman"/>
                <w:sz w:val="18"/>
                <w:szCs w:val="18"/>
                <w:lang w:val="en-GB" w:eastAsia="en-GB"/>
              </w:rPr>
            </w:pPr>
          </w:p>
        </w:tc>
        <w:tc>
          <w:tcPr>
            <w:tcW w:w="4969" w:type="dxa"/>
          </w:tcPr>
          <w:p w14:paraId="3E8D2F1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028C1C3">
        <w:tblPrEx>
          <w:tblCellMar>
            <w:top w:w="0" w:type="dxa"/>
            <w:left w:w="108" w:type="dxa"/>
            <w:bottom w:w="0" w:type="dxa"/>
            <w:right w:w="108" w:type="dxa"/>
          </w:tblCellMar>
        </w:tblPrEx>
        <w:tc>
          <w:tcPr>
            <w:tcW w:w="587" w:type="dxa"/>
            <w:shd w:val="clear" w:color="auto" w:fill="EEEEEE"/>
          </w:tcPr>
          <w:p w14:paraId="42584AB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D95582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27CF865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14:paraId="23DDB1B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14:paraId="581F8F82">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ii.  Provide information on the number of individuals who overlap between the exposure and outcome studies</w:t>
            </w:r>
          </w:p>
          <w:p w14:paraId="40DB5074">
            <w:pPr>
              <w:spacing w:before="96" w:beforeLines="40" w:after="96" w:afterLines="40" w:line="24" w:lineRule="atLeast"/>
              <w:rPr>
                <w:rFonts w:eastAsia="Times New Roman"/>
                <w:sz w:val="18"/>
                <w:szCs w:val="18"/>
                <w:lang w:val="en-GB" w:eastAsia="en-GB"/>
              </w:rPr>
            </w:pPr>
          </w:p>
          <w:p w14:paraId="0DB14CC0">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63B506E0">
            <w:pPr>
              <w:spacing w:before="96" w:beforeLines="40" w:after="96" w:afterLines="40" w:line="24" w:lineRule="atLeast"/>
              <w:rPr>
                <w:rFonts w:hint="default" w:eastAsia="宋体"/>
                <w:sz w:val="18"/>
                <w:szCs w:val="18"/>
                <w:lang w:val="en-US" w:eastAsia="zh-CN"/>
              </w:rPr>
            </w:pPr>
          </w:p>
        </w:tc>
        <w:tc>
          <w:tcPr>
            <w:tcW w:w="4969" w:type="dxa"/>
            <w:shd w:val="clear" w:color="auto" w:fill="EEEEEE"/>
          </w:tcPr>
          <w:p w14:paraId="0E321651">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i. The exposure and outcome GWAS were conducted in European ancestry populations, ensuring comparable genetic architecture and minimizing bias from population differences.</w:t>
            </w:r>
          </w:p>
          <w:p w14:paraId="3485A81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ii. Sample overlap could not be fully confirmed due to lack of individual-level data. However, the datasets originate from different cohorts, and the risk of substantial overlap is likely low. Even if minimal overlap exists, it would be expected to bias results toward observational associations; sensitivity analyses (e.g., MR-Egger, MR-PRESSO) were performed to address potential bias.</w:t>
            </w:r>
          </w:p>
        </w:tc>
      </w:tr>
      <w:tr w14:paraId="1555B6D6">
        <w:tblPrEx>
          <w:tblCellMar>
            <w:top w:w="0" w:type="dxa"/>
            <w:left w:w="108" w:type="dxa"/>
            <w:bottom w:w="0" w:type="dxa"/>
            <w:right w:w="108" w:type="dxa"/>
          </w:tblCellMar>
        </w:tblPrEx>
        <w:tc>
          <w:tcPr>
            <w:tcW w:w="587" w:type="dxa"/>
            <w:shd w:val="clear" w:color="auto" w:fill="auto"/>
          </w:tcPr>
          <w:p w14:paraId="08C0A5A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08" w:type="dxa"/>
            <w:shd w:val="clear" w:color="auto" w:fill="auto"/>
          </w:tcPr>
          <w:p w14:paraId="28A0593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6414" w:type="dxa"/>
            <w:shd w:val="clear" w:color="auto" w:fill="auto"/>
          </w:tcPr>
          <w:p w14:paraId="7950D455">
            <w:pPr>
              <w:spacing w:before="96" w:beforeLines="40" w:after="96" w:afterLines="40" w:line="24" w:lineRule="atLeast"/>
              <w:rPr>
                <w:rFonts w:eastAsia="Cambria"/>
                <w:sz w:val="18"/>
                <w:szCs w:val="18"/>
                <w:lang w:val="en-GB" w:eastAsia="en-US"/>
              </w:rPr>
            </w:pPr>
          </w:p>
        </w:tc>
        <w:tc>
          <w:tcPr>
            <w:tcW w:w="712" w:type="dxa"/>
          </w:tcPr>
          <w:p w14:paraId="160C79F4">
            <w:pPr>
              <w:spacing w:before="96" w:beforeLines="40" w:after="96" w:afterLines="40" w:line="24" w:lineRule="atLeast"/>
              <w:rPr>
                <w:rFonts w:eastAsia="Cambria"/>
                <w:sz w:val="18"/>
                <w:szCs w:val="18"/>
                <w:lang w:val="en-GB" w:eastAsia="en-US"/>
              </w:rPr>
            </w:pPr>
          </w:p>
        </w:tc>
        <w:tc>
          <w:tcPr>
            <w:tcW w:w="4969" w:type="dxa"/>
          </w:tcPr>
          <w:p w14:paraId="42F0A309">
            <w:pPr>
              <w:spacing w:before="96" w:beforeLines="40" w:after="96" w:afterLines="40" w:line="24" w:lineRule="atLeast"/>
              <w:rPr>
                <w:rFonts w:eastAsia="Cambria"/>
                <w:sz w:val="18"/>
                <w:szCs w:val="18"/>
                <w:lang w:val="en-GB" w:eastAsia="en-US"/>
              </w:rPr>
            </w:pPr>
          </w:p>
        </w:tc>
      </w:tr>
      <w:tr w14:paraId="7681D537">
        <w:tblPrEx>
          <w:tblCellMar>
            <w:top w:w="0" w:type="dxa"/>
            <w:left w:w="108" w:type="dxa"/>
            <w:bottom w:w="0" w:type="dxa"/>
            <w:right w:w="108" w:type="dxa"/>
          </w:tblCellMar>
        </w:tblPrEx>
        <w:tc>
          <w:tcPr>
            <w:tcW w:w="587" w:type="dxa"/>
            <w:shd w:val="clear" w:color="auto" w:fill="EEEEEE"/>
          </w:tcPr>
          <w:p w14:paraId="07370EEB">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C16069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5C49406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associations between genetic variant and exposure, and between genetic variant and outcome, preferably on an interpretable scale</w:t>
            </w:r>
          </w:p>
          <w:p w14:paraId="1C51D377">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3793F1C7">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76FF221A">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 xml:space="preserve">Association of genetic variants with exposure, effect size (β): indicates the effect of each allele change on the level of </w:t>
            </w:r>
            <w:r>
              <w:rPr>
                <w:rFonts w:hint="eastAsia" w:eastAsia="宋体"/>
                <w:sz w:val="18"/>
                <w:szCs w:val="18"/>
                <w:lang w:val="en-US" w:eastAsia="zh-CN"/>
              </w:rPr>
              <w:t>outcome</w:t>
            </w:r>
            <w:r>
              <w:rPr>
                <w:rFonts w:hint="eastAsia" w:eastAsia="Times New Roman"/>
                <w:sz w:val="18"/>
                <w:szCs w:val="18"/>
                <w:lang w:val="en-GB" w:eastAsia="en-US"/>
              </w:rPr>
              <w:t>. Standard Error (SE): standard error of the effect size, indicating the precision of the estimate. p-value: statistical value to test the significance of the effect size. Association of genetic variation with outcome , as above. dominance ratio (OR): Dominance ratio calculated from the effect size to indicate the relative effect of each SNP allele on</w:t>
            </w:r>
            <w:r>
              <w:rPr>
                <w:rFonts w:hint="eastAsia" w:eastAsia="宋体"/>
                <w:sz w:val="18"/>
                <w:szCs w:val="18"/>
                <w:lang w:val="en-US" w:eastAsia="zh-CN"/>
              </w:rPr>
              <w:t xml:space="preserve"> outcome</w:t>
            </w:r>
            <w:r>
              <w:rPr>
                <w:rFonts w:hint="eastAsia" w:eastAsia="Times New Roman"/>
                <w:sz w:val="18"/>
                <w:szCs w:val="18"/>
                <w:lang w:val="en-GB" w:eastAsia="en-US"/>
              </w:rPr>
              <w:t>.</w:t>
            </w:r>
          </w:p>
          <w:p w14:paraId="67971804">
            <w:pPr>
              <w:spacing w:before="96" w:beforeLines="40" w:after="96" w:afterLines="40" w:line="24" w:lineRule="atLeast"/>
              <w:rPr>
                <w:rFonts w:eastAsia="Times New Roman"/>
                <w:sz w:val="18"/>
                <w:szCs w:val="18"/>
                <w:lang w:val="en-GB" w:eastAsia="en-GB"/>
              </w:rPr>
            </w:pPr>
          </w:p>
        </w:tc>
      </w:tr>
      <w:tr w14:paraId="647EDC50">
        <w:tblPrEx>
          <w:tblCellMar>
            <w:top w:w="0" w:type="dxa"/>
            <w:left w:w="108" w:type="dxa"/>
            <w:bottom w:w="0" w:type="dxa"/>
            <w:right w:w="108" w:type="dxa"/>
          </w:tblCellMar>
        </w:tblPrEx>
        <w:tc>
          <w:tcPr>
            <w:tcW w:w="587" w:type="dxa"/>
            <w:shd w:val="clear" w:color="auto" w:fill="auto"/>
          </w:tcPr>
          <w:p w14:paraId="11CEC2A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2954C10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23A516D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p w14:paraId="7D544CB8">
            <w:pPr>
              <w:spacing w:before="96" w:beforeLines="40" w:after="96" w:afterLines="40" w:line="24" w:lineRule="atLeast"/>
              <w:rPr>
                <w:rFonts w:eastAsia="Times New Roman"/>
                <w:sz w:val="18"/>
                <w:szCs w:val="18"/>
                <w:lang w:val="en-GB" w:eastAsia="en-GB"/>
              </w:rPr>
            </w:pPr>
          </w:p>
          <w:p w14:paraId="030764D7">
            <w:pPr>
              <w:spacing w:before="96" w:beforeLines="40" w:after="96" w:afterLines="40" w:line="24" w:lineRule="atLeast"/>
              <w:rPr>
                <w:rFonts w:eastAsia="Times New Roman"/>
                <w:sz w:val="18"/>
                <w:szCs w:val="18"/>
                <w:lang w:val="en-GB" w:eastAsia="en-US"/>
              </w:rPr>
            </w:pPr>
          </w:p>
        </w:tc>
        <w:tc>
          <w:tcPr>
            <w:tcW w:w="712" w:type="dxa"/>
          </w:tcPr>
          <w:p w14:paraId="2D179D9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6-8</w:t>
            </w:r>
          </w:p>
        </w:tc>
        <w:tc>
          <w:tcPr>
            <w:tcW w:w="4969" w:type="dxa"/>
          </w:tcPr>
          <w:p w14:paraId="1D3A82DD">
            <w:pPr>
              <w:spacing w:before="96" w:beforeLines="40" w:after="96" w:afterLines="40" w:line="24" w:lineRule="atLeast"/>
              <w:rPr>
                <w:rFonts w:hint="eastAsia" w:eastAsia="宋体"/>
                <w:sz w:val="18"/>
                <w:szCs w:val="18"/>
                <w:lang w:val="en-US" w:eastAsia="zh-CN"/>
              </w:rPr>
            </w:pPr>
          </w:p>
        </w:tc>
      </w:tr>
      <w:tr w14:paraId="3B7B3B54">
        <w:tblPrEx>
          <w:tblCellMar>
            <w:top w:w="0" w:type="dxa"/>
            <w:left w:w="108" w:type="dxa"/>
            <w:bottom w:w="0" w:type="dxa"/>
            <w:right w:w="108" w:type="dxa"/>
          </w:tblCellMar>
        </w:tblPrEx>
        <w:tc>
          <w:tcPr>
            <w:tcW w:w="587" w:type="dxa"/>
            <w:shd w:val="clear" w:color="auto" w:fill="EEEEEE"/>
          </w:tcPr>
          <w:p w14:paraId="3A3673EA">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7E59A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4E3BD82">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12" w:type="dxa"/>
            <w:shd w:val="clear" w:color="auto" w:fill="EEEEEE"/>
          </w:tcPr>
          <w:p w14:paraId="0A77058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654CC643">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C65FDC0">
        <w:tblPrEx>
          <w:tblCellMar>
            <w:top w:w="0" w:type="dxa"/>
            <w:left w:w="108" w:type="dxa"/>
            <w:bottom w:w="0" w:type="dxa"/>
            <w:right w:w="108" w:type="dxa"/>
          </w:tblCellMar>
        </w:tblPrEx>
        <w:tc>
          <w:tcPr>
            <w:tcW w:w="587" w:type="dxa"/>
            <w:shd w:val="clear" w:color="auto" w:fill="auto"/>
          </w:tcPr>
          <w:p w14:paraId="4833833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E8CC56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D4DE59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12" w:type="dxa"/>
          </w:tcPr>
          <w:p w14:paraId="5210F3B6">
            <w:pPr>
              <w:spacing w:before="96" w:beforeLines="40" w:after="96" w:afterLines="40" w:line="24" w:lineRule="atLeast"/>
              <w:rPr>
                <w:rFonts w:hint="default" w:eastAsia="宋体"/>
                <w:sz w:val="18"/>
                <w:szCs w:val="18"/>
                <w:lang w:val="en-US" w:eastAsia="zh-CN"/>
              </w:rPr>
            </w:pPr>
          </w:p>
        </w:tc>
        <w:tc>
          <w:tcPr>
            <w:tcW w:w="4969" w:type="dxa"/>
          </w:tcPr>
          <w:p w14:paraId="2FAAEA3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article has provided</w:t>
            </w:r>
          </w:p>
        </w:tc>
      </w:tr>
      <w:tr w14:paraId="08781537">
        <w:tblPrEx>
          <w:tblCellMar>
            <w:top w:w="0" w:type="dxa"/>
            <w:left w:w="108" w:type="dxa"/>
            <w:bottom w:w="0" w:type="dxa"/>
            <w:right w:w="108" w:type="dxa"/>
          </w:tblCellMar>
        </w:tblPrEx>
        <w:tc>
          <w:tcPr>
            <w:tcW w:w="587" w:type="dxa"/>
            <w:shd w:val="clear" w:color="auto" w:fill="EEEEEE"/>
          </w:tcPr>
          <w:p w14:paraId="610C678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08" w:type="dxa"/>
            <w:shd w:val="clear" w:color="auto" w:fill="EEEEEE"/>
          </w:tcPr>
          <w:p w14:paraId="7DD2911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C8F1191">
            <w:pPr>
              <w:spacing w:before="96" w:beforeLines="40" w:after="96" w:afterLines="40" w:line="24" w:lineRule="atLeast"/>
              <w:rPr>
                <w:rFonts w:eastAsia="Cambria"/>
                <w:sz w:val="18"/>
                <w:szCs w:val="18"/>
                <w:lang w:val="en-GB" w:eastAsia="en-US"/>
              </w:rPr>
            </w:pPr>
          </w:p>
        </w:tc>
        <w:tc>
          <w:tcPr>
            <w:tcW w:w="712" w:type="dxa"/>
            <w:shd w:val="clear" w:color="auto" w:fill="EEEEEE"/>
          </w:tcPr>
          <w:p w14:paraId="5AC19D7F">
            <w:pPr>
              <w:spacing w:before="96" w:beforeLines="40" w:after="96" w:afterLines="40" w:line="24" w:lineRule="atLeast"/>
              <w:rPr>
                <w:rFonts w:eastAsia="Cambria"/>
                <w:sz w:val="18"/>
                <w:szCs w:val="18"/>
                <w:lang w:val="en-GB" w:eastAsia="en-US"/>
              </w:rPr>
            </w:pPr>
          </w:p>
        </w:tc>
        <w:tc>
          <w:tcPr>
            <w:tcW w:w="4969" w:type="dxa"/>
            <w:shd w:val="clear" w:color="auto" w:fill="EEEEEE"/>
          </w:tcPr>
          <w:p w14:paraId="7B8194AA">
            <w:pPr>
              <w:spacing w:before="96" w:beforeLines="40" w:after="96" w:afterLines="40" w:line="24" w:lineRule="atLeast"/>
              <w:rPr>
                <w:rFonts w:eastAsia="Cambria"/>
                <w:sz w:val="18"/>
                <w:szCs w:val="18"/>
                <w:lang w:val="en-GB" w:eastAsia="en-US"/>
              </w:rPr>
            </w:pPr>
          </w:p>
        </w:tc>
      </w:tr>
      <w:tr w14:paraId="5B1E7F9D">
        <w:tblPrEx>
          <w:tblCellMar>
            <w:top w:w="0" w:type="dxa"/>
            <w:left w:w="108" w:type="dxa"/>
            <w:bottom w:w="0" w:type="dxa"/>
            <w:right w:w="108" w:type="dxa"/>
          </w:tblCellMar>
        </w:tblPrEx>
        <w:tc>
          <w:tcPr>
            <w:tcW w:w="587" w:type="dxa"/>
            <w:shd w:val="clear" w:color="auto" w:fill="auto"/>
          </w:tcPr>
          <w:p w14:paraId="7FC8DA6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473AE78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3A910104">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assessment of the validity of the assumptions</w:t>
            </w:r>
          </w:p>
          <w:p w14:paraId="24B75FE8">
            <w:pPr>
              <w:spacing w:before="96" w:beforeLines="40" w:after="96" w:afterLines="40" w:line="24" w:lineRule="atLeast"/>
              <w:rPr>
                <w:rFonts w:eastAsia="Times New Roman"/>
                <w:sz w:val="18"/>
                <w:szCs w:val="18"/>
                <w:lang w:val="en-GB" w:eastAsia="en-GB"/>
              </w:rPr>
            </w:pPr>
          </w:p>
          <w:p w14:paraId="0C673AAE">
            <w:pPr>
              <w:spacing w:before="96" w:beforeLines="40" w:after="96" w:afterLines="40" w:line="24" w:lineRule="atLeast"/>
              <w:rPr>
                <w:rFonts w:eastAsia="Times New Roman"/>
                <w:sz w:val="18"/>
                <w:szCs w:val="18"/>
                <w:lang w:val="en-GB" w:eastAsia="en-US"/>
              </w:rPr>
            </w:pPr>
          </w:p>
        </w:tc>
        <w:tc>
          <w:tcPr>
            <w:tcW w:w="712" w:type="dxa"/>
          </w:tcPr>
          <w:p w14:paraId="14C7C6EE">
            <w:pPr>
              <w:spacing w:before="96" w:beforeLines="40" w:after="96" w:afterLines="40" w:line="24" w:lineRule="atLeast"/>
              <w:rPr>
                <w:rFonts w:eastAsia="Times New Roman"/>
                <w:sz w:val="18"/>
                <w:szCs w:val="18"/>
                <w:lang w:val="en-GB" w:eastAsia="en-GB"/>
              </w:rPr>
            </w:pPr>
          </w:p>
        </w:tc>
        <w:tc>
          <w:tcPr>
            <w:tcW w:w="4969" w:type="dxa"/>
          </w:tcPr>
          <w:p w14:paraId="25BA4F1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We assessed the core assumptions of Mendelian randomization. Instrument strength was confirmed using F-statistics, and linkage disequilibrium clumping ensured SNP independence. To test for horizontal pleiotropy, we applied MR-Egger intercept analysis, MR-PRESSO, and leave-one-out sensitivity tests. These analyses supported the validity of the instrumental variables and indicated no substantial pleiotropy or heterogeneity.</w:t>
            </w:r>
          </w:p>
        </w:tc>
      </w:tr>
      <w:tr w14:paraId="6BFBF2F2">
        <w:tblPrEx>
          <w:tblCellMar>
            <w:top w:w="0" w:type="dxa"/>
            <w:left w:w="108" w:type="dxa"/>
            <w:bottom w:w="0" w:type="dxa"/>
            <w:right w:w="108" w:type="dxa"/>
          </w:tblCellMar>
        </w:tblPrEx>
        <w:tc>
          <w:tcPr>
            <w:tcW w:w="587" w:type="dxa"/>
            <w:shd w:val="clear" w:color="auto" w:fill="EEEEEE"/>
          </w:tcPr>
          <w:p w14:paraId="3CC8FA17">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22CE83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0DC53F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12" w:type="dxa"/>
            <w:shd w:val="clear" w:color="auto" w:fill="EEEEEE"/>
          </w:tcPr>
          <w:p w14:paraId="4859DA3D">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495F151">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Supplementary Figure S2</w:t>
            </w:r>
          </w:p>
        </w:tc>
      </w:tr>
      <w:tr w14:paraId="44E443B1">
        <w:tblPrEx>
          <w:tblCellMar>
            <w:top w:w="0" w:type="dxa"/>
            <w:left w:w="108" w:type="dxa"/>
            <w:bottom w:w="0" w:type="dxa"/>
            <w:right w:w="108" w:type="dxa"/>
          </w:tblCellMar>
        </w:tblPrEx>
        <w:tc>
          <w:tcPr>
            <w:tcW w:w="587" w:type="dxa"/>
            <w:shd w:val="clear" w:color="auto" w:fill="auto"/>
          </w:tcPr>
          <w:p w14:paraId="53164C8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08" w:type="dxa"/>
            <w:shd w:val="clear" w:color="auto" w:fill="auto"/>
          </w:tcPr>
          <w:p w14:paraId="530C281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6414" w:type="dxa"/>
            <w:shd w:val="clear" w:color="auto" w:fill="auto"/>
          </w:tcPr>
          <w:p w14:paraId="6DC1C298">
            <w:pPr>
              <w:spacing w:before="96" w:beforeLines="40" w:after="96" w:afterLines="40" w:line="24" w:lineRule="atLeast"/>
              <w:rPr>
                <w:rFonts w:eastAsia="Cambria"/>
                <w:sz w:val="18"/>
                <w:szCs w:val="18"/>
                <w:lang w:val="en-GB" w:eastAsia="en-US"/>
              </w:rPr>
            </w:pPr>
          </w:p>
        </w:tc>
        <w:tc>
          <w:tcPr>
            <w:tcW w:w="712" w:type="dxa"/>
          </w:tcPr>
          <w:p w14:paraId="273FCCFF">
            <w:pPr>
              <w:spacing w:before="96" w:beforeLines="40" w:after="96" w:afterLines="40" w:line="24" w:lineRule="atLeast"/>
              <w:rPr>
                <w:rFonts w:eastAsia="Cambria"/>
                <w:sz w:val="18"/>
                <w:szCs w:val="18"/>
                <w:lang w:val="en-GB" w:eastAsia="en-US"/>
              </w:rPr>
            </w:pPr>
          </w:p>
        </w:tc>
        <w:tc>
          <w:tcPr>
            <w:tcW w:w="4969" w:type="dxa"/>
          </w:tcPr>
          <w:p w14:paraId="7882C83B">
            <w:pPr>
              <w:spacing w:before="96" w:beforeLines="40" w:after="96" w:afterLines="40" w:line="24" w:lineRule="atLeast"/>
              <w:rPr>
                <w:rFonts w:eastAsia="Cambria"/>
                <w:sz w:val="18"/>
                <w:szCs w:val="18"/>
                <w:lang w:val="en-GB" w:eastAsia="en-US"/>
              </w:rPr>
            </w:pPr>
          </w:p>
        </w:tc>
      </w:tr>
      <w:tr w14:paraId="421BDA2A">
        <w:tblPrEx>
          <w:tblCellMar>
            <w:top w:w="0" w:type="dxa"/>
            <w:left w:w="108" w:type="dxa"/>
            <w:bottom w:w="0" w:type="dxa"/>
            <w:right w:w="108" w:type="dxa"/>
          </w:tblCellMar>
        </w:tblPrEx>
        <w:tc>
          <w:tcPr>
            <w:tcW w:w="587" w:type="dxa"/>
            <w:shd w:val="clear" w:color="auto" w:fill="EEEEEE"/>
          </w:tcPr>
          <w:p w14:paraId="0064E1F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1D0D2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1094FCF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sensitivity analyses to assess the robustness of the main results to violations of the assumptions</w:t>
            </w:r>
          </w:p>
          <w:p w14:paraId="3A2B8596">
            <w:pPr>
              <w:spacing w:before="96" w:beforeLines="40" w:after="96" w:afterLines="40" w:line="24" w:lineRule="atLeast"/>
              <w:rPr>
                <w:rFonts w:eastAsia="Times New Roman"/>
                <w:sz w:val="18"/>
                <w:szCs w:val="18"/>
                <w:lang w:val="en-GB" w:eastAsia="en-GB"/>
              </w:rPr>
            </w:pPr>
          </w:p>
          <w:p w14:paraId="557AE22B">
            <w:pPr>
              <w:spacing w:before="96" w:beforeLines="40" w:after="96" w:afterLines="40" w:line="24" w:lineRule="atLeast"/>
              <w:rPr>
                <w:rFonts w:hint="eastAsia" w:eastAsia="Times New Roman"/>
                <w:sz w:val="18"/>
                <w:szCs w:val="18"/>
                <w:lang w:val="en-GB" w:eastAsia="en-US"/>
              </w:rPr>
            </w:pPr>
          </w:p>
        </w:tc>
        <w:tc>
          <w:tcPr>
            <w:tcW w:w="712" w:type="dxa"/>
            <w:shd w:val="clear" w:color="auto" w:fill="EEEEEE"/>
          </w:tcPr>
          <w:p w14:paraId="2CA213D8">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3F7AFBD4">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To assess the robustness of the main results to hypothesis violations, we conducted a variety of sensitivity analyses, including MR-EGGER REGRESSION, MR-PRESSO GLOBAL TEST P-VALUE, Leave-One-Out analyses, and heterogeneity detection. These analyses helped us detect and correct for potential problems of pleiotropy, bias, and heterogeneity.</w:t>
            </w:r>
          </w:p>
          <w:p w14:paraId="12178535">
            <w:pPr>
              <w:spacing w:before="96" w:beforeLines="40" w:after="96" w:afterLines="40" w:line="24" w:lineRule="atLeast"/>
              <w:rPr>
                <w:rFonts w:eastAsia="Times New Roman"/>
                <w:sz w:val="18"/>
                <w:szCs w:val="18"/>
                <w:lang w:val="en-GB" w:eastAsia="en-GB"/>
              </w:rPr>
            </w:pPr>
          </w:p>
        </w:tc>
      </w:tr>
      <w:tr w14:paraId="05C7A2B4">
        <w:tblPrEx>
          <w:tblCellMar>
            <w:top w:w="0" w:type="dxa"/>
            <w:left w:w="108" w:type="dxa"/>
            <w:bottom w:w="0" w:type="dxa"/>
            <w:right w:w="108" w:type="dxa"/>
          </w:tblCellMar>
        </w:tblPrEx>
        <w:tc>
          <w:tcPr>
            <w:tcW w:w="587" w:type="dxa"/>
            <w:shd w:val="clear" w:color="auto" w:fill="auto"/>
          </w:tcPr>
          <w:p w14:paraId="3B54E54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4EA947F">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C489D0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12" w:type="dxa"/>
          </w:tcPr>
          <w:p w14:paraId="10388EB7">
            <w:pPr>
              <w:spacing w:before="96" w:beforeLines="40" w:after="96" w:afterLines="40" w:line="24" w:lineRule="atLeast"/>
              <w:rPr>
                <w:rFonts w:eastAsia="Times New Roman"/>
                <w:sz w:val="18"/>
                <w:szCs w:val="18"/>
                <w:lang w:val="en-GB" w:eastAsia="en-GB"/>
              </w:rPr>
            </w:pPr>
          </w:p>
        </w:tc>
        <w:tc>
          <w:tcPr>
            <w:tcW w:w="4969" w:type="dxa"/>
          </w:tcPr>
          <w:p w14:paraId="7A002735">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42E21E1C">
        <w:tblPrEx>
          <w:tblCellMar>
            <w:top w:w="0" w:type="dxa"/>
            <w:left w:w="108" w:type="dxa"/>
            <w:bottom w:w="0" w:type="dxa"/>
            <w:right w:w="108" w:type="dxa"/>
          </w:tblCellMar>
        </w:tblPrEx>
        <w:tc>
          <w:tcPr>
            <w:tcW w:w="587" w:type="dxa"/>
            <w:shd w:val="clear" w:color="auto" w:fill="EEEEEE"/>
          </w:tcPr>
          <w:p w14:paraId="08C11078">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C0D3C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78E4AAB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p w14:paraId="05E027C3">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438A042E">
            <w:pPr>
              <w:spacing w:before="96" w:beforeLines="40" w:after="96" w:afterLines="40" w:line="24" w:lineRule="atLeast"/>
              <w:rPr>
                <w:rFonts w:hint="default" w:eastAsia="宋体"/>
                <w:sz w:val="18"/>
                <w:szCs w:val="18"/>
                <w:lang w:val="en-US" w:eastAsia="zh-CN"/>
              </w:rPr>
            </w:pPr>
          </w:p>
        </w:tc>
        <w:tc>
          <w:tcPr>
            <w:tcW w:w="4969" w:type="dxa"/>
            <w:shd w:val="clear" w:color="auto" w:fill="EEEEEE"/>
          </w:tcPr>
          <w:p w14:paraId="1AB7DDB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We conducted bidirectional Mendelian randomization (MR) analyses to evaluate the directionality of causal relationships. First, reverse MR using lacunar cerebral infarction (LCI) as the exposure and gut microbiota as the outcome showed no significant associations, supporting a unidirectional effect from gut microbiota to LCI. We then assessed causal effects between immune cell traits and LCI, as well as between gut microbiota and immune cell traits. Based on these results, we estimated the proportion of the effect of gut microbiota on LCI that may be mediated through specific immune cell populations.</w:t>
            </w:r>
          </w:p>
        </w:tc>
      </w:tr>
      <w:tr w14:paraId="0CB55409">
        <w:tblPrEx>
          <w:tblCellMar>
            <w:top w:w="0" w:type="dxa"/>
            <w:left w:w="108" w:type="dxa"/>
            <w:bottom w:w="0" w:type="dxa"/>
            <w:right w:w="108" w:type="dxa"/>
          </w:tblCellMar>
        </w:tblPrEx>
        <w:tc>
          <w:tcPr>
            <w:tcW w:w="587" w:type="dxa"/>
            <w:shd w:val="clear" w:color="auto" w:fill="auto"/>
          </w:tcPr>
          <w:p w14:paraId="6DF9F67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EC974D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C93574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When relevant, report and compare with estimates from non-MR analyses</w:t>
            </w:r>
          </w:p>
          <w:p w14:paraId="63C599E3">
            <w:pPr>
              <w:spacing w:before="96" w:beforeLines="40" w:after="96" w:afterLines="40" w:line="24" w:lineRule="atLeast"/>
              <w:rPr>
                <w:rFonts w:eastAsia="Times New Roman"/>
                <w:sz w:val="18"/>
                <w:szCs w:val="18"/>
                <w:lang w:val="en-GB" w:eastAsia="en-GB"/>
              </w:rPr>
            </w:pPr>
          </w:p>
          <w:p w14:paraId="7FF52CE5">
            <w:pPr>
              <w:spacing w:before="96" w:beforeLines="40" w:after="96" w:afterLines="40" w:line="24" w:lineRule="atLeast"/>
              <w:rPr>
                <w:rFonts w:eastAsia="Times New Roman"/>
                <w:sz w:val="18"/>
                <w:szCs w:val="18"/>
                <w:lang w:val="en-GB" w:eastAsia="en-US"/>
              </w:rPr>
            </w:pPr>
          </w:p>
        </w:tc>
        <w:tc>
          <w:tcPr>
            <w:tcW w:w="712" w:type="dxa"/>
          </w:tcPr>
          <w:p w14:paraId="6E736090">
            <w:pPr>
              <w:spacing w:before="96" w:beforeLines="40" w:after="96" w:afterLines="40" w:line="24" w:lineRule="atLeast"/>
              <w:rPr>
                <w:rFonts w:eastAsia="Times New Roman"/>
                <w:sz w:val="18"/>
                <w:szCs w:val="18"/>
                <w:lang w:val="en-GB" w:eastAsia="en-GB"/>
              </w:rPr>
            </w:pPr>
          </w:p>
        </w:tc>
        <w:tc>
          <w:tcPr>
            <w:tcW w:w="4969" w:type="dxa"/>
          </w:tcPr>
          <w:p w14:paraId="0A49DD4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2954AEF8">
        <w:tblPrEx>
          <w:tblCellMar>
            <w:top w:w="0" w:type="dxa"/>
            <w:left w:w="108" w:type="dxa"/>
            <w:bottom w:w="0" w:type="dxa"/>
            <w:right w:w="108" w:type="dxa"/>
          </w:tblCellMar>
        </w:tblPrEx>
        <w:tc>
          <w:tcPr>
            <w:tcW w:w="587" w:type="dxa"/>
            <w:tcBorders>
              <w:bottom w:val="single" w:color="7F7F7F" w:sz="6" w:space="0"/>
            </w:tcBorders>
            <w:shd w:val="clear" w:color="auto" w:fill="EEEEEE"/>
          </w:tcPr>
          <w:p w14:paraId="01C5A49C">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018AE3D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tcBorders>
              <w:bottom w:val="single" w:color="7F7F7F" w:sz="6" w:space="0"/>
            </w:tcBorders>
            <w:shd w:val="clear" w:color="auto" w:fill="EEEEEE"/>
          </w:tcPr>
          <w:p w14:paraId="10E8F96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12" w:type="dxa"/>
            <w:tcBorders>
              <w:bottom w:val="single" w:color="7F7F7F" w:sz="6" w:space="0"/>
            </w:tcBorders>
            <w:shd w:val="clear" w:color="auto" w:fill="EEEEEE"/>
          </w:tcPr>
          <w:p w14:paraId="1A176750">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24464DBB">
            <w:pPr>
              <w:spacing w:before="96" w:beforeLines="40" w:after="96" w:afterLines="40" w:line="24" w:lineRule="atLeast"/>
              <w:rPr>
                <w:rFonts w:hint="default" w:eastAsia="宋体"/>
                <w:sz w:val="18"/>
                <w:szCs w:val="18"/>
                <w:lang w:val="en-US" w:eastAsia="zh-CN"/>
              </w:rPr>
            </w:pPr>
            <w:r>
              <w:rPr>
                <w:rFonts w:hint="eastAsia" w:eastAsia="Times New Roman"/>
                <w:sz w:val="18"/>
                <w:szCs w:val="18"/>
                <w:lang w:val="en-GB" w:eastAsia="en-GB"/>
              </w:rPr>
              <w:t>The article has provided</w:t>
            </w:r>
          </w:p>
        </w:tc>
      </w:tr>
      <w:tr w14:paraId="12E7F948">
        <w:tblPrEx>
          <w:tblCellMar>
            <w:top w:w="0" w:type="dxa"/>
            <w:left w:w="108" w:type="dxa"/>
            <w:bottom w:w="0" w:type="dxa"/>
            <w:right w:w="108" w:type="dxa"/>
          </w:tblCellMar>
        </w:tblPrEx>
        <w:tc>
          <w:tcPr>
            <w:tcW w:w="587" w:type="dxa"/>
            <w:tcBorders>
              <w:top w:val="single" w:color="7F7F7F" w:sz="6" w:space="0"/>
            </w:tcBorders>
            <w:shd w:val="clear" w:color="auto" w:fill="auto"/>
          </w:tcPr>
          <w:p w14:paraId="7CACF13B">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0A1C7AD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6414" w:type="dxa"/>
            <w:tcBorders>
              <w:top w:val="single" w:color="7F7F7F" w:sz="6" w:space="0"/>
            </w:tcBorders>
            <w:shd w:val="clear" w:color="auto" w:fill="auto"/>
          </w:tcPr>
          <w:p w14:paraId="045E5DA8">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069B08D2">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7257B48C">
            <w:pPr>
              <w:spacing w:before="96" w:beforeLines="40" w:after="96" w:afterLines="40" w:line="24" w:lineRule="atLeast"/>
              <w:rPr>
                <w:rFonts w:eastAsia="Cambria"/>
                <w:sz w:val="18"/>
                <w:szCs w:val="18"/>
                <w:lang w:val="en-GB" w:eastAsia="en-US"/>
              </w:rPr>
            </w:pPr>
          </w:p>
        </w:tc>
      </w:tr>
      <w:tr w14:paraId="21285591">
        <w:tblPrEx>
          <w:tblCellMar>
            <w:top w:w="0" w:type="dxa"/>
            <w:left w:w="108" w:type="dxa"/>
            <w:bottom w:w="0" w:type="dxa"/>
            <w:right w:w="108" w:type="dxa"/>
          </w:tblCellMar>
        </w:tblPrEx>
        <w:tc>
          <w:tcPr>
            <w:tcW w:w="587" w:type="dxa"/>
            <w:shd w:val="clear" w:color="auto" w:fill="EEEEEE"/>
          </w:tcPr>
          <w:p w14:paraId="69C2FC6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08" w:type="dxa"/>
            <w:shd w:val="clear" w:color="auto" w:fill="EEEEEE"/>
          </w:tcPr>
          <w:p w14:paraId="4EFC1D0E">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6414" w:type="dxa"/>
            <w:shd w:val="clear" w:color="auto" w:fill="EEEEEE"/>
          </w:tcPr>
          <w:p w14:paraId="4167F04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p w14:paraId="6D08080A">
            <w:pPr>
              <w:spacing w:before="96" w:beforeLines="40" w:after="96" w:afterLines="40" w:line="24" w:lineRule="atLeast"/>
              <w:rPr>
                <w:rFonts w:eastAsia="Times New Roman"/>
                <w:sz w:val="18"/>
                <w:szCs w:val="18"/>
                <w:lang w:val="en-GB" w:eastAsia="en-GB"/>
              </w:rPr>
            </w:pPr>
          </w:p>
          <w:p w14:paraId="6DB21D76">
            <w:pPr>
              <w:spacing w:before="96" w:beforeLines="40" w:after="96" w:afterLines="40" w:line="24" w:lineRule="atLeast"/>
              <w:rPr>
                <w:rFonts w:hint="eastAsia" w:eastAsia="宋体"/>
                <w:sz w:val="18"/>
                <w:szCs w:val="18"/>
                <w:lang w:val="en-US" w:eastAsia="zh-CN"/>
              </w:rPr>
            </w:pPr>
          </w:p>
        </w:tc>
        <w:tc>
          <w:tcPr>
            <w:tcW w:w="712" w:type="dxa"/>
            <w:shd w:val="clear" w:color="auto" w:fill="EEEEEE"/>
          </w:tcPr>
          <w:p w14:paraId="15E6E29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5-7</w:t>
            </w:r>
          </w:p>
        </w:tc>
        <w:tc>
          <w:tcPr>
            <w:tcW w:w="4969" w:type="dxa"/>
            <w:shd w:val="clear" w:color="auto" w:fill="EEEEEE"/>
          </w:tcPr>
          <w:p w14:paraId="637C72E7">
            <w:pPr>
              <w:spacing w:before="96" w:beforeLines="40" w:after="96" w:afterLines="40" w:line="24" w:lineRule="atLeast"/>
              <w:rPr>
                <w:rFonts w:eastAsia="Times New Roman"/>
                <w:sz w:val="18"/>
                <w:szCs w:val="18"/>
                <w:lang w:val="en-GB" w:eastAsia="en-GB"/>
              </w:rPr>
            </w:pPr>
          </w:p>
        </w:tc>
      </w:tr>
      <w:tr w14:paraId="0418F59D">
        <w:tblPrEx>
          <w:tblCellMar>
            <w:top w:w="0" w:type="dxa"/>
            <w:left w:w="108" w:type="dxa"/>
            <w:bottom w:w="0" w:type="dxa"/>
            <w:right w:w="108" w:type="dxa"/>
          </w:tblCellMar>
        </w:tblPrEx>
        <w:tc>
          <w:tcPr>
            <w:tcW w:w="587" w:type="dxa"/>
            <w:shd w:val="clear" w:color="auto" w:fill="auto"/>
          </w:tcPr>
          <w:p w14:paraId="63C4616E">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08" w:type="dxa"/>
            <w:shd w:val="clear" w:color="auto" w:fill="auto"/>
          </w:tcPr>
          <w:p w14:paraId="4E47411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6414" w:type="dxa"/>
            <w:shd w:val="clear" w:color="auto" w:fill="auto"/>
          </w:tcPr>
          <w:p w14:paraId="3DF9AF62">
            <w:pPr>
              <w:spacing w:before="96" w:beforeLines="40" w:after="96" w:afterLines="40" w:line="24" w:lineRule="atLeast"/>
              <w:rPr>
                <w:rFonts w:eastAsia="Times New Roman"/>
                <w:sz w:val="18"/>
                <w:szCs w:val="18"/>
                <w:shd w:val="clear" w:color="auto" w:fill="FFFFFF"/>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p w14:paraId="564B6B4B">
            <w:pPr>
              <w:spacing w:before="96" w:beforeLines="40" w:after="96" w:afterLines="40" w:line="24" w:lineRule="atLeast"/>
              <w:rPr>
                <w:rFonts w:eastAsia="Times New Roman"/>
                <w:sz w:val="18"/>
                <w:szCs w:val="18"/>
                <w:shd w:val="clear" w:color="auto" w:fill="FFFFFF"/>
                <w:lang w:val="en-GB" w:eastAsia="en-GB"/>
              </w:rPr>
            </w:pPr>
          </w:p>
          <w:p w14:paraId="42DA9F8C">
            <w:pPr>
              <w:spacing w:before="96" w:beforeLines="40" w:after="96" w:afterLines="40" w:line="24" w:lineRule="atLeast"/>
              <w:rPr>
                <w:rFonts w:eastAsia="Times New Roman"/>
                <w:sz w:val="18"/>
                <w:szCs w:val="18"/>
                <w:shd w:val="clear" w:color="auto" w:fill="FFFFFF"/>
                <w:lang w:val="en-GB" w:eastAsia="en-GB"/>
              </w:rPr>
            </w:pPr>
          </w:p>
        </w:tc>
        <w:tc>
          <w:tcPr>
            <w:tcW w:w="712" w:type="dxa"/>
          </w:tcPr>
          <w:p w14:paraId="2CFF94BA">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10</w:t>
            </w:r>
          </w:p>
        </w:tc>
        <w:tc>
          <w:tcPr>
            <w:tcW w:w="4969" w:type="dxa"/>
          </w:tcPr>
          <w:p w14:paraId="10A46305">
            <w:pPr>
              <w:spacing w:before="96" w:beforeLines="40" w:after="96" w:afterLines="40" w:line="24" w:lineRule="atLeast"/>
              <w:rPr>
                <w:rFonts w:eastAsia="Times New Roman"/>
                <w:sz w:val="18"/>
                <w:szCs w:val="18"/>
                <w:lang w:val="en-GB" w:eastAsia="en-GB"/>
              </w:rPr>
            </w:pPr>
          </w:p>
        </w:tc>
      </w:tr>
      <w:tr w14:paraId="5CFE6DE3">
        <w:tblPrEx>
          <w:tblCellMar>
            <w:top w:w="0" w:type="dxa"/>
            <w:left w:w="108" w:type="dxa"/>
            <w:bottom w:w="0" w:type="dxa"/>
            <w:right w:w="108" w:type="dxa"/>
          </w:tblCellMar>
        </w:tblPrEx>
        <w:tc>
          <w:tcPr>
            <w:tcW w:w="587" w:type="dxa"/>
            <w:shd w:val="clear" w:color="auto" w:fill="EEEEEE"/>
          </w:tcPr>
          <w:p w14:paraId="75F1B0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08" w:type="dxa"/>
            <w:shd w:val="clear" w:color="auto" w:fill="EEEEEE"/>
          </w:tcPr>
          <w:p w14:paraId="1DD43CF8">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6414" w:type="dxa"/>
            <w:shd w:val="clear" w:color="auto" w:fill="EEEEEE"/>
          </w:tcPr>
          <w:p w14:paraId="095E9266">
            <w:pPr>
              <w:spacing w:before="96" w:beforeLines="40" w:after="96" w:afterLines="40" w:line="24" w:lineRule="atLeast"/>
              <w:rPr>
                <w:rFonts w:eastAsia="Cambria"/>
                <w:sz w:val="18"/>
                <w:szCs w:val="18"/>
                <w:lang w:val="en-GB" w:eastAsia="en-US"/>
              </w:rPr>
            </w:pPr>
          </w:p>
        </w:tc>
        <w:tc>
          <w:tcPr>
            <w:tcW w:w="712" w:type="dxa"/>
            <w:shd w:val="clear" w:color="auto" w:fill="EEEEEE"/>
          </w:tcPr>
          <w:p w14:paraId="2CE12C4E">
            <w:pPr>
              <w:spacing w:before="96" w:beforeLines="40" w:after="96" w:afterLines="40" w:line="24" w:lineRule="atLeast"/>
              <w:rPr>
                <w:rFonts w:eastAsia="Cambria"/>
                <w:sz w:val="18"/>
                <w:szCs w:val="18"/>
                <w:lang w:val="en-GB" w:eastAsia="en-US"/>
              </w:rPr>
            </w:pPr>
          </w:p>
        </w:tc>
        <w:tc>
          <w:tcPr>
            <w:tcW w:w="4969" w:type="dxa"/>
            <w:shd w:val="clear" w:color="auto" w:fill="EEEEEE"/>
          </w:tcPr>
          <w:p w14:paraId="042A604E">
            <w:pPr>
              <w:spacing w:before="96" w:beforeLines="40" w:after="96" w:afterLines="40" w:line="24" w:lineRule="atLeast"/>
              <w:rPr>
                <w:rFonts w:eastAsia="Cambria"/>
                <w:sz w:val="18"/>
                <w:szCs w:val="18"/>
                <w:lang w:val="en-GB" w:eastAsia="en-US"/>
              </w:rPr>
            </w:pPr>
          </w:p>
        </w:tc>
      </w:tr>
      <w:tr w14:paraId="606DCE35">
        <w:tblPrEx>
          <w:tblCellMar>
            <w:top w:w="0" w:type="dxa"/>
            <w:left w:w="108" w:type="dxa"/>
            <w:bottom w:w="0" w:type="dxa"/>
            <w:right w:w="108" w:type="dxa"/>
          </w:tblCellMar>
        </w:tblPrEx>
        <w:tc>
          <w:tcPr>
            <w:tcW w:w="587" w:type="dxa"/>
            <w:shd w:val="clear" w:color="auto" w:fill="auto"/>
          </w:tcPr>
          <w:p w14:paraId="7F18EFD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3682CC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380471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Meaning: Give a cautious overall interpretation of results in the context of their limitations and in comparison with other studies</w:t>
            </w:r>
          </w:p>
          <w:p w14:paraId="430927B1">
            <w:pPr>
              <w:spacing w:before="96" w:beforeLines="40" w:after="96" w:afterLines="40" w:line="24" w:lineRule="atLeast"/>
              <w:rPr>
                <w:rFonts w:eastAsia="Times New Roman"/>
                <w:sz w:val="18"/>
                <w:szCs w:val="18"/>
                <w:lang w:val="en-GB" w:eastAsia="en-GB"/>
              </w:rPr>
            </w:pPr>
          </w:p>
          <w:p w14:paraId="143B0CFB">
            <w:pPr>
              <w:spacing w:before="96" w:beforeLines="40" w:after="96" w:afterLines="40" w:line="24" w:lineRule="atLeast"/>
              <w:rPr>
                <w:rFonts w:eastAsia="Times New Roman"/>
                <w:sz w:val="18"/>
                <w:szCs w:val="18"/>
                <w:lang w:val="en-GB" w:eastAsia="en-US"/>
              </w:rPr>
            </w:pPr>
          </w:p>
        </w:tc>
        <w:tc>
          <w:tcPr>
            <w:tcW w:w="712" w:type="dxa"/>
          </w:tcPr>
          <w:p w14:paraId="153A234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10</w:t>
            </w:r>
          </w:p>
        </w:tc>
        <w:tc>
          <w:tcPr>
            <w:tcW w:w="4969" w:type="dxa"/>
          </w:tcPr>
          <w:p w14:paraId="775683D9">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However, these results should be interpreted with caution due to several limitations. First, while Mendelian Randomization (MR) helps address confounding and reverse causality, it still depends on the validity of the instrumental variables and assumptions. Although sensitivity analyses were performed, unmeasured confounding factors may still exist. Mendelian randomization analysis is not a substitute for clinical trials because it is only a method for analyzing the causal relationship between exposure and outcome.</w:t>
            </w:r>
          </w:p>
          <w:p w14:paraId="7F688E5A">
            <w:pPr>
              <w:spacing w:before="96" w:beforeLines="40" w:after="96" w:afterLines="40" w:line="24" w:lineRule="atLeast"/>
              <w:rPr>
                <w:rFonts w:eastAsia="Times New Roman"/>
                <w:sz w:val="18"/>
                <w:szCs w:val="18"/>
                <w:lang w:val="en-GB" w:eastAsia="en-GB"/>
              </w:rPr>
            </w:pPr>
          </w:p>
        </w:tc>
      </w:tr>
      <w:tr w14:paraId="3A473818">
        <w:tblPrEx>
          <w:tblCellMar>
            <w:top w:w="0" w:type="dxa"/>
            <w:left w:w="108" w:type="dxa"/>
            <w:bottom w:w="0" w:type="dxa"/>
            <w:right w:w="108" w:type="dxa"/>
          </w:tblCellMar>
        </w:tblPrEx>
        <w:tc>
          <w:tcPr>
            <w:tcW w:w="587" w:type="dxa"/>
            <w:shd w:val="clear" w:color="auto" w:fill="EEEEEE"/>
          </w:tcPr>
          <w:p w14:paraId="0B59A044">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BE2B6F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779D63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p w14:paraId="6B64EF09">
            <w:pPr>
              <w:spacing w:before="96" w:beforeLines="40" w:after="96" w:afterLines="40" w:line="24" w:lineRule="atLeast"/>
              <w:rPr>
                <w:rFonts w:eastAsia="Times New Roman"/>
                <w:sz w:val="18"/>
                <w:szCs w:val="18"/>
                <w:lang w:val="en-GB" w:eastAsia="en-GB"/>
              </w:rPr>
            </w:pPr>
          </w:p>
          <w:p w14:paraId="7AC0D74A">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1198142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7-10</w:t>
            </w:r>
          </w:p>
        </w:tc>
        <w:tc>
          <w:tcPr>
            <w:tcW w:w="4969" w:type="dxa"/>
            <w:shd w:val="clear" w:color="auto" w:fill="EEEEEE"/>
          </w:tcPr>
          <w:p w14:paraId="5BB017B2">
            <w:pPr>
              <w:spacing w:before="96" w:beforeLines="40" w:after="96" w:afterLines="40" w:line="24" w:lineRule="atLeast"/>
              <w:rPr>
                <w:rFonts w:eastAsia="Times New Roman"/>
                <w:sz w:val="18"/>
                <w:szCs w:val="18"/>
                <w:lang w:val="en-GB" w:eastAsia="en-GB"/>
              </w:rPr>
            </w:pPr>
          </w:p>
        </w:tc>
      </w:tr>
      <w:tr w14:paraId="71322DC6">
        <w:tblPrEx>
          <w:tblCellMar>
            <w:top w:w="0" w:type="dxa"/>
            <w:left w:w="108" w:type="dxa"/>
            <w:bottom w:w="0" w:type="dxa"/>
            <w:right w:w="108" w:type="dxa"/>
          </w:tblCellMar>
        </w:tblPrEx>
        <w:tc>
          <w:tcPr>
            <w:tcW w:w="587" w:type="dxa"/>
            <w:shd w:val="clear" w:color="auto" w:fill="auto"/>
          </w:tcPr>
          <w:p w14:paraId="1D22F9C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23EF07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44140A73">
            <w:pPr>
              <w:tabs>
                <w:tab w:val="left" w:pos="1350"/>
              </w:tabs>
              <w:spacing w:before="96" w:beforeLines="40" w:after="96" w:afterLines="40" w:line="24" w:lineRule="atLeast"/>
              <w:rPr>
                <w:rFonts w:eastAsia="Times New Roman"/>
                <w:color w:val="000000"/>
                <w:sz w:val="18"/>
                <w:szCs w:val="18"/>
                <w:lang w:eastAsia="en-GB"/>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p w14:paraId="5CF07013">
            <w:pPr>
              <w:tabs>
                <w:tab w:val="left" w:pos="1350"/>
              </w:tabs>
              <w:spacing w:before="96" w:beforeLines="40" w:after="96" w:afterLines="40" w:line="24" w:lineRule="atLeast"/>
              <w:rPr>
                <w:rFonts w:eastAsia="Times New Roman"/>
                <w:color w:val="000000"/>
                <w:sz w:val="18"/>
                <w:szCs w:val="18"/>
                <w:lang w:eastAsia="en-GB"/>
              </w:rPr>
            </w:pPr>
          </w:p>
          <w:p w14:paraId="491E7513">
            <w:pPr>
              <w:tabs>
                <w:tab w:val="left" w:pos="1350"/>
              </w:tabs>
              <w:spacing w:before="96" w:beforeLines="40" w:after="96" w:afterLines="40" w:line="24" w:lineRule="atLeast"/>
              <w:rPr>
                <w:rFonts w:hint="eastAsia" w:eastAsia="Times New Roman"/>
                <w:color w:val="000000"/>
                <w:sz w:val="18"/>
                <w:szCs w:val="18"/>
                <w:lang w:val="en-GB" w:eastAsia="en-US"/>
              </w:rPr>
            </w:pPr>
          </w:p>
        </w:tc>
        <w:tc>
          <w:tcPr>
            <w:tcW w:w="712" w:type="dxa"/>
          </w:tcPr>
          <w:p w14:paraId="29DCA5CF">
            <w:pPr>
              <w:tabs>
                <w:tab w:val="left" w:pos="1350"/>
              </w:tabs>
              <w:spacing w:before="96" w:beforeLines="40" w:after="96" w:afterLines="40" w:line="24" w:lineRule="atLeast"/>
              <w:rPr>
                <w:rFonts w:eastAsia="Times New Roman"/>
                <w:sz w:val="18"/>
                <w:szCs w:val="18"/>
                <w:lang w:val="en-GB" w:eastAsia="en-GB"/>
              </w:rPr>
            </w:pPr>
          </w:p>
        </w:tc>
        <w:tc>
          <w:tcPr>
            <w:tcW w:w="4969" w:type="dxa"/>
          </w:tcPr>
          <w:p w14:paraId="3E102D9F">
            <w:pPr>
              <w:tabs>
                <w:tab w:val="left" w:pos="1350"/>
              </w:tabs>
              <w:spacing w:before="96" w:beforeLines="40" w:after="96" w:afterLines="40" w:line="24" w:lineRule="atLeast"/>
              <w:rPr>
                <w:rFonts w:eastAsia="Times New Roman"/>
                <w:sz w:val="18"/>
                <w:szCs w:val="18"/>
                <w:lang w:val="en-GB" w:eastAsia="en-GB"/>
              </w:rPr>
            </w:pPr>
            <w:r>
              <w:rPr>
                <w:rFonts w:hint="eastAsia" w:eastAsia="Times New Roman"/>
                <w:color w:val="000000"/>
                <w:sz w:val="18"/>
                <w:szCs w:val="18"/>
                <w:lang w:val="en-GB" w:eastAsia="en-US"/>
              </w:rPr>
              <w:t>Our findings suggest that the gut microbial species Lactobacillus salivarius, traditionally considered beneficial, may increase the risk of lacunar cerebral infarction (LCI) through immune-mediated pathways, specifically via CD62L⁻ plasmacytoid dendritic cells. This highlights the need for caution when recommending probiotics in patients with cerebrovascular risk or immune dysfunction. While Mendelian randomization estimates reflect lifelong exposure and do not directly inform short-term intervention effects, the identified effect sizes and mediation proportion provide a biologically plausible basis for future clinical targeting specific microbiota–immune pathways to reduce stroke risk.</w:t>
            </w:r>
          </w:p>
        </w:tc>
      </w:tr>
      <w:tr w14:paraId="71D44FEB">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0764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08" w:type="dxa"/>
            <w:tcBorders>
              <w:bottom w:val="single" w:color="7F7F7F" w:sz="6" w:space="0"/>
            </w:tcBorders>
            <w:shd w:val="clear" w:color="auto" w:fill="EEEEEE"/>
          </w:tcPr>
          <w:p w14:paraId="32D48CA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6414" w:type="dxa"/>
            <w:tcBorders>
              <w:bottom w:val="single" w:color="7F7F7F" w:sz="6" w:space="0"/>
            </w:tcBorders>
            <w:shd w:val="clear" w:color="auto" w:fill="EEEEEE"/>
          </w:tcPr>
          <w:p w14:paraId="1C37376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the generalizability of the study results (a) to other populations, (b) across other exposure periods/timings, and (c) across other levels of exposure</w:t>
            </w:r>
          </w:p>
          <w:p w14:paraId="3CDDEF9C">
            <w:pPr>
              <w:spacing w:before="96" w:beforeLines="40" w:after="96" w:afterLines="40" w:line="24" w:lineRule="atLeast"/>
              <w:rPr>
                <w:rFonts w:eastAsia="Times New Roman"/>
                <w:sz w:val="18"/>
                <w:szCs w:val="18"/>
                <w:lang w:val="en-GB" w:eastAsia="en-GB"/>
              </w:rPr>
            </w:pPr>
          </w:p>
          <w:p w14:paraId="4055C00C">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shd w:val="clear" w:color="auto" w:fill="EEEEEE"/>
          </w:tcPr>
          <w:p w14:paraId="3DE3EA41">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DE644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The data for this study come from the European population, so the results apply primarily to this population. Gene frequencies and environmental factors may vary in different racial or ethnic groups, which may affect the generalisability of the results. To verify the applicability of the results to other populations, future studies should repeat this analysis in other racial or ethnic groups.</w:t>
            </w:r>
          </w:p>
        </w:tc>
      </w:tr>
      <w:tr w14:paraId="65A60EBE">
        <w:tblPrEx>
          <w:tblCellMar>
            <w:top w:w="0" w:type="dxa"/>
            <w:left w:w="108" w:type="dxa"/>
            <w:bottom w:w="0" w:type="dxa"/>
            <w:right w:w="108" w:type="dxa"/>
          </w:tblCellMar>
        </w:tblPrEx>
        <w:tc>
          <w:tcPr>
            <w:tcW w:w="587" w:type="dxa"/>
            <w:tcBorders>
              <w:top w:val="single" w:color="7F7F7F" w:sz="6" w:space="0"/>
            </w:tcBorders>
            <w:shd w:val="clear" w:color="auto" w:fill="auto"/>
          </w:tcPr>
          <w:p w14:paraId="55CA7E49">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47C5C92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6414" w:type="dxa"/>
            <w:tcBorders>
              <w:top w:val="single" w:color="7F7F7F" w:sz="6" w:space="0"/>
            </w:tcBorders>
            <w:shd w:val="clear" w:color="auto" w:fill="auto"/>
          </w:tcPr>
          <w:p w14:paraId="3915564F">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16EDFBE5">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6072A907">
            <w:pPr>
              <w:spacing w:before="96" w:beforeLines="40" w:after="96" w:afterLines="40" w:line="24" w:lineRule="atLeast"/>
              <w:rPr>
                <w:rFonts w:eastAsia="Cambria"/>
                <w:sz w:val="18"/>
                <w:szCs w:val="18"/>
                <w:lang w:val="en-GB" w:eastAsia="en-US"/>
              </w:rPr>
            </w:pPr>
          </w:p>
        </w:tc>
      </w:tr>
      <w:tr w14:paraId="573D9BF9">
        <w:tblPrEx>
          <w:tblCellMar>
            <w:top w:w="0" w:type="dxa"/>
            <w:left w:w="108" w:type="dxa"/>
            <w:bottom w:w="0" w:type="dxa"/>
            <w:right w:w="108" w:type="dxa"/>
          </w:tblCellMar>
        </w:tblPrEx>
        <w:tc>
          <w:tcPr>
            <w:tcW w:w="587" w:type="dxa"/>
            <w:shd w:val="clear" w:color="auto" w:fill="EEEEEE"/>
          </w:tcPr>
          <w:p w14:paraId="196559A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08" w:type="dxa"/>
            <w:shd w:val="clear" w:color="auto" w:fill="EEEEEE"/>
          </w:tcPr>
          <w:p w14:paraId="059FEDE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6414" w:type="dxa"/>
            <w:shd w:val="clear" w:color="auto" w:fill="EEEEEE"/>
          </w:tcPr>
          <w:p w14:paraId="64B7B27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12" w:type="dxa"/>
            <w:shd w:val="clear" w:color="auto" w:fill="EEEEEE"/>
          </w:tcPr>
          <w:p w14:paraId="4B7A05A9">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4A72D2E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4A59063">
        <w:tblPrEx>
          <w:tblCellMar>
            <w:top w:w="0" w:type="dxa"/>
            <w:left w:w="108" w:type="dxa"/>
            <w:bottom w:w="0" w:type="dxa"/>
            <w:right w:w="108" w:type="dxa"/>
          </w:tblCellMar>
        </w:tblPrEx>
        <w:tc>
          <w:tcPr>
            <w:tcW w:w="587" w:type="dxa"/>
            <w:shd w:val="clear" w:color="auto" w:fill="auto"/>
          </w:tcPr>
          <w:p w14:paraId="7278712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08" w:type="dxa"/>
            <w:shd w:val="clear" w:color="auto" w:fill="auto"/>
          </w:tcPr>
          <w:p w14:paraId="353963AF">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6414" w:type="dxa"/>
            <w:shd w:val="clear" w:color="auto" w:fill="auto"/>
          </w:tcPr>
          <w:p w14:paraId="3663CC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12" w:type="dxa"/>
          </w:tcPr>
          <w:p w14:paraId="1AD49198">
            <w:pPr>
              <w:spacing w:before="96" w:beforeLines="40" w:after="96" w:afterLines="40" w:line="24" w:lineRule="atLeast"/>
              <w:rPr>
                <w:rFonts w:eastAsia="Times New Roman"/>
                <w:sz w:val="18"/>
                <w:szCs w:val="18"/>
                <w:lang w:val="en-GB" w:eastAsia="en-GB"/>
              </w:rPr>
            </w:pPr>
          </w:p>
        </w:tc>
        <w:tc>
          <w:tcPr>
            <w:tcW w:w="4969" w:type="dxa"/>
          </w:tcPr>
          <w:p w14:paraId="29CBA6AF">
            <w:pPr>
              <w:spacing w:before="96" w:beforeLines="40" w:after="96" w:afterLines="40" w:line="24" w:lineRule="atLeast"/>
              <w:rPr>
                <w:rFonts w:hint="eastAsia" w:eastAsia="Times New Roman"/>
                <w:sz w:val="18"/>
                <w:szCs w:val="18"/>
                <w:lang w:val="en-GB" w:eastAsia="en-GB"/>
              </w:rPr>
            </w:pPr>
            <w:bookmarkStart w:id="0" w:name="_GoBack"/>
            <w:r>
              <w:rPr>
                <w:rFonts w:hint="eastAsia" w:eastAsia="Times New Roman"/>
                <w:sz w:val="18"/>
                <w:szCs w:val="18"/>
                <w:lang w:val="en-GB" w:eastAsia="en-GB"/>
              </w:rPr>
              <w:t>All the data and analyses required for this study are detailed in Table 1, with the corresponding download links provided.</w:t>
            </w:r>
            <w:bookmarkEnd w:id="0"/>
          </w:p>
        </w:tc>
      </w:tr>
      <w:tr w14:paraId="68EB7753">
        <w:tblPrEx>
          <w:tblCellMar>
            <w:top w:w="0" w:type="dxa"/>
            <w:left w:w="108" w:type="dxa"/>
            <w:bottom w:w="0" w:type="dxa"/>
            <w:right w:w="108" w:type="dxa"/>
          </w:tblCellMar>
        </w:tblPrEx>
        <w:tc>
          <w:tcPr>
            <w:tcW w:w="587" w:type="dxa"/>
            <w:tcBorders>
              <w:bottom w:val="single" w:color="7F7F7F" w:sz="6" w:space="0"/>
            </w:tcBorders>
            <w:shd w:val="clear" w:color="auto" w:fill="EEEEEE"/>
          </w:tcPr>
          <w:p w14:paraId="6148064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08" w:type="dxa"/>
            <w:tcBorders>
              <w:bottom w:val="single" w:color="7F7F7F" w:sz="6" w:space="0"/>
            </w:tcBorders>
            <w:shd w:val="clear" w:color="auto" w:fill="EEEEEE"/>
          </w:tcPr>
          <w:p w14:paraId="7797FA9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6414" w:type="dxa"/>
            <w:tcBorders>
              <w:bottom w:val="single" w:color="7F7F7F" w:sz="6" w:space="0"/>
            </w:tcBorders>
            <w:shd w:val="clear" w:color="auto" w:fill="EEEEEE"/>
          </w:tcPr>
          <w:p w14:paraId="04EC2B1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12" w:type="dxa"/>
            <w:tcBorders>
              <w:bottom w:val="single" w:color="7F7F7F" w:sz="6" w:space="0"/>
            </w:tcBorders>
            <w:shd w:val="clear" w:color="auto" w:fill="EEEEEE"/>
          </w:tcPr>
          <w:p w14:paraId="3CCE8483">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3D45A66">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authors declare no competing interests.</w:t>
            </w:r>
          </w:p>
        </w:tc>
      </w:tr>
    </w:tbl>
    <w:p w14:paraId="44EEFA14">
      <w:pPr>
        <w:spacing w:before="240" w:after="240"/>
        <w:rPr>
          <w:sz w:val="19"/>
          <w:szCs w:val="19"/>
        </w:rPr>
      </w:pPr>
      <w:r>
        <w:rPr>
          <w:sz w:val="19"/>
          <w:szCs w:val="19"/>
        </w:rPr>
        <w:t>This checklist is copyrighted by the Equator Network under the Creative Commons Attribution 3.0 Unported (CC BY 3.0) license.</w:t>
      </w:r>
    </w:p>
    <w:p w14:paraId="1C375510">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14:paraId="0077617D">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14:paraId="7DCF0441">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AF3DB">
    <w:pPr>
      <w:pStyle w:val="2"/>
      <w:jc w:val="right"/>
    </w:pPr>
    <w:r>
      <w:fldChar w:fldCharType="begin"/>
    </w:r>
    <w:r>
      <w:instrText xml:space="preserve"> PAGE   \* MERGEFORMAT </w:instrText>
    </w:r>
    <w:r>
      <w:fldChar w:fldCharType="separate"/>
    </w:r>
    <w:r>
      <w:t>1</w:t>
    </w:r>
    <w:r>
      <w:fldChar w:fldCharType="end"/>
    </w:r>
  </w:p>
  <w:p w14:paraId="4616B69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81A6B">
    <w:pPr>
      <w:pStyle w:val="2"/>
      <w:framePr w:wrap="auto" w:vAnchor="text" w:hAnchor="margin" w:xAlign="right" w:y="1"/>
      <w:rPr>
        <w:rStyle w:val="5"/>
      </w:rPr>
    </w:pPr>
  </w:p>
  <w:p w14:paraId="4C662720">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3NTE0ODU0MWE1NmQyNjZjZGM2ZGY3NDQ3ZTcwMjk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30EB45A1"/>
    <w:rsid w:val="36340DD0"/>
    <w:rsid w:val="422D4B7A"/>
    <w:rsid w:val="54706109"/>
    <w:rsid w:val="56C9196C"/>
    <w:rsid w:val="59BB7A35"/>
    <w:rsid w:val="604D333D"/>
    <w:rsid w:val="780F65D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680"/>
        <w:tab w:val="right" w:pos="9360"/>
      </w:tabs>
      <w:spacing w:line="240" w:lineRule="auto"/>
    </w:pPr>
  </w:style>
  <w:style w:type="character" w:styleId="5">
    <w:name w:val="page number"/>
    <w:basedOn w:val="4"/>
    <w:autoRedefine/>
    <w:semiHidden/>
    <w:unhideWhenUsed/>
    <w:qFormat/>
    <w:uiPriority w:val="99"/>
  </w:style>
  <w:style w:type="character" w:styleId="6">
    <w:name w:val="line number"/>
    <w:basedOn w:val="4"/>
    <w:semiHidden/>
    <w:unhideWhenUsed/>
    <w:qFormat/>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B0931C-FCE2-4CC4-80DE-15614B41F1F9}">
  <ds:schemaRefs/>
</ds:datastoreItem>
</file>

<file path=customXml/itemProps2.xml><?xml version="1.0" encoding="utf-8"?>
<ds:datastoreItem xmlns:ds="http://schemas.openxmlformats.org/officeDocument/2006/customXml" ds:itemID="{B7DA32DB-E5B8-4E32-AD11-08F2E668867B}">
  <ds:schemaRefs/>
</ds:datastoreItem>
</file>

<file path=customXml/itemProps3.xml><?xml version="1.0" encoding="utf-8"?>
<ds:datastoreItem xmlns:ds="http://schemas.openxmlformats.org/officeDocument/2006/customXml" ds:itemID="{A9898B61-61B7-44F1-9388-8B27875B1EDA}">
  <ds:schemaRefs/>
</ds:datastoreItem>
</file>

<file path=customXml/itemProps4.xml><?xml version="1.0" encoding="utf-8"?>
<ds:datastoreItem xmlns:ds="http://schemas.openxmlformats.org/officeDocument/2006/customXml" ds:itemID="{5DF20111-77FD-4F18-8E31-D737874646AB}">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8</Pages>
  <Words>2482</Words>
  <Characters>14843</Characters>
  <Lines>286</Lines>
  <Paragraphs>146</Paragraphs>
  <TotalTime>58</TotalTime>
  <ScaleCrop>false</ScaleCrop>
  <LinksUpToDate>false</LinksUpToDate>
  <CharactersWithSpaces>17161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董林涛</cp:lastModifiedBy>
  <cp:lastPrinted>2021-09-28T07:08:00Z</cp:lastPrinted>
  <dcterms:modified xsi:type="dcterms:W3CDTF">2025-04-09T12:32:32Z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2052-12.1.0.20305</vt:lpwstr>
  </property>
  <property fmtid="{D5CDD505-2E9C-101B-9397-08002B2CF9AE}" pid="27" name="ICV">
    <vt:lpwstr>9D42C9E097734C55AD03DC86BA6DADB8_13</vt:lpwstr>
  </property>
  <property fmtid="{D5CDD505-2E9C-101B-9397-08002B2CF9AE}" pid="28" name="KSOTemplateDocerSaveRecord">
    <vt:lpwstr>eyJoZGlkIjoiMmQ3NTE0ODU0MWE1NmQyNjZjZGM2ZGY3NDQ3ZTcwMjkiLCJ1c2VySWQiOiIxMzk4Mzc3OTgzIn0=</vt:lpwstr>
  </property>
</Properties>
</file>