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6F66E5" w14:textId="77777777" w:rsidR="00857EA9" w:rsidRDefault="00857EA9" w:rsidP="00145B1E">
      <w:pPr>
        <w:shd w:val="clear" w:color="auto" w:fill="FFFFFF"/>
        <w:spacing w:after="120" w:line="240" w:lineRule="auto"/>
        <w:outlineLvl w:val="2"/>
        <w:rPr>
          <w:rFonts w:eastAsia="Times New Roman" w:cs="Segoe UI"/>
          <w:b/>
          <w:bCs/>
          <w:color w:val="222222"/>
          <w:kern w:val="0"/>
          <w:lang w:val="en-US"/>
          <w14:ligatures w14:val="none"/>
        </w:rPr>
      </w:pPr>
    </w:p>
    <w:p w14:paraId="7B5D4DCE" w14:textId="3C5F8531" w:rsidR="00857EA9" w:rsidRPr="00857EA9" w:rsidRDefault="00857EA9" w:rsidP="00145B1E">
      <w:pPr>
        <w:shd w:val="clear" w:color="auto" w:fill="FFFFFF"/>
        <w:spacing w:after="120" w:line="240" w:lineRule="auto"/>
        <w:outlineLvl w:val="2"/>
        <w:rPr>
          <w:rFonts w:eastAsia="Times New Roman" w:cs="Segoe UI"/>
          <w:color w:val="222222"/>
          <w:kern w:val="0"/>
          <w:lang w:val="en-US"/>
          <w14:ligatures w14:val="none"/>
        </w:rPr>
      </w:pPr>
      <w:r w:rsidRPr="00857EA9">
        <w:rPr>
          <w:rFonts w:eastAsia="Times New Roman" w:cs="Segoe UI"/>
          <w:color w:val="222222"/>
          <w:kern w:val="0"/>
          <w:lang w:val="en-US"/>
          <w14:ligatures w14:val="none"/>
        </w:rPr>
        <w:t xml:space="preserve">Supplementary data </w:t>
      </w:r>
    </w:p>
    <w:p w14:paraId="07DA0D95" w14:textId="77777777" w:rsidR="00857EA9" w:rsidRPr="00857EA9" w:rsidRDefault="00857EA9" w:rsidP="00857EA9">
      <w:pPr>
        <w:shd w:val="clear" w:color="auto" w:fill="FFFFFF"/>
        <w:spacing w:after="120" w:line="240" w:lineRule="auto"/>
        <w:jc w:val="center"/>
        <w:outlineLvl w:val="2"/>
        <w:rPr>
          <w:rFonts w:eastAsia="Times New Roman" w:cs="Segoe UI"/>
          <w:b/>
          <w:bCs/>
          <w:color w:val="222222"/>
          <w:kern w:val="0"/>
          <w:sz w:val="32"/>
          <w:szCs w:val="32"/>
          <w:lang w:val="en-US"/>
          <w14:ligatures w14:val="none"/>
        </w:rPr>
      </w:pPr>
      <w:r w:rsidRPr="00857EA9">
        <w:rPr>
          <w:rFonts w:eastAsia="Times New Roman" w:cs="Segoe UI"/>
          <w:b/>
          <w:bCs/>
          <w:color w:val="222222"/>
          <w:kern w:val="0"/>
          <w:sz w:val="32"/>
          <w:szCs w:val="32"/>
          <w:lang w:val="en-US"/>
          <w14:ligatures w14:val="none"/>
        </w:rPr>
        <w:t>Methylphenidate Reshapes Cortical Hierarchy: Linking Functional Gradients to Striatal Dopaminergic Function and Performance</w:t>
      </w:r>
    </w:p>
    <w:p w14:paraId="5347C94C" w14:textId="7D0C2F2F" w:rsidR="00857EA9" w:rsidRPr="00857EA9" w:rsidRDefault="00857EA9" w:rsidP="00857EA9">
      <w:pPr>
        <w:shd w:val="clear" w:color="auto" w:fill="FFFFFF"/>
        <w:spacing w:after="120" w:line="240" w:lineRule="auto"/>
        <w:jc w:val="center"/>
        <w:outlineLvl w:val="2"/>
        <w:rPr>
          <w:rFonts w:eastAsia="Times New Roman" w:cs="Segoe UI"/>
          <w:color w:val="222222"/>
          <w:kern w:val="0"/>
          <w:lang w:val="en-US"/>
          <w14:ligatures w14:val="none"/>
        </w:rPr>
      </w:pPr>
      <w:r w:rsidRPr="00857EA9">
        <w:rPr>
          <w:rFonts w:eastAsia="Times New Roman" w:cs="Segoe UI"/>
          <w:color w:val="222222"/>
          <w:kern w:val="0"/>
          <w:lang w:val="en-US"/>
          <w14:ligatures w14:val="none"/>
        </w:rPr>
        <w:t>Dardo Tomasi</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Peter Manza</w:t>
      </w:r>
      <w:r w:rsidRPr="00857EA9">
        <w:rPr>
          <w:rFonts w:eastAsia="Times New Roman" w:cs="Segoe UI"/>
          <w:color w:val="222222"/>
          <w:kern w:val="0"/>
          <w:vertAlign w:val="superscript"/>
          <w:lang w:val="en-US"/>
          <w14:ligatures w14:val="none"/>
        </w:rPr>
        <w:t>1,2</w:t>
      </w:r>
      <w:r w:rsidRPr="00857EA9">
        <w:rPr>
          <w:rFonts w:eastAsia="Times New Roman" w:cs="Segoe UI"/>
          <w:color w:val="222222"/>
          <w:kern w:val="0"/>
          <w:lang w:val="en-US"/>
          <w14:ligatures w14:val="none"/>
        </w:rPr>
        <w:t>, Şükrü Barış Demiral</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Weizheng Yan</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xml:space="preserve">, Kylee </w:t>
      </w:r>
      <w:r w:rsidR="00587A18">
        <w:rPr>
          <w:rFonts w:eastAsia="Times New Roman" w:cs="Segoe UI"/>
          <w:color w:val="222222"/>
          <w:kern w:val="0"/>
          <w:lang w:val="en-US"/>
          <w14:ligatures w14:val="none"/>
        </w:rPr>
        <w:t xml:space="preserve">B. </w:t>
      </w:r>
      <w:r w:rsidRPr="00857EA9">
        <w:rPr>
          <w:rFonts w:eastAsia="Times New Roman" w:cs="Segoe UI"/>
          <w:color w:val="222222"/>
          <w:kern w:val="0"/>
          <w:lang w:val="en-US"/>
          <w14:ligatures w14:val="none"/>
        </w:rPr>
        <w:t>Miller</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Faith Veenker</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Joshua Zhao</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Christina Lildharrie</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Michele-Vera Yonga</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Sarah Abey</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Michaelene Van</w:t>
      </w:r>
      <w:r w:rsidR="00572D3E">
        <w:rPr>
          <w:rFonts w:eastAsia="Times New Roman" w:cs="Segoe UI"/>
          <w:color w:val="222222"/>
          <w:kern w:val="0"/>
          <w:lang w:val="en-US"/>
          <w14:ligatures w14:val="none"/>
        </w:rPr>
        <w:t>D</w:t>
      </w:r>
      <w:r w:rsidRPr="00857EA9">
        <w:rPr>
          <w:rFonts w:eastAsia="Times New Roman" w:cs="Segoe UI"/>
          <w:color w:val="222222"/>
          <w:kern w:val="0"/>
          <w:lang w:val="en-US"/>
          <w14:ligatures w14:val="none"/>
        </w:rPr>
        <w:t>ine</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Gene-Jack Wang</w:t>
      </w:r>
      <w:r w:rsidRPr="00857EA9">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 Nora D. Volkow</w:t>
      </w:r>
      <w:r w:rsidRPr="00857EA9">
        <w:rPr>
          <w:rFonts w:eastAsia="Times New Roman" w:cs="Segoe UI"/>
          <w:color w:val="222222"/>
          <w:kern w:val="0"/>
          <w:vertAlign w:val="superscript"/>
          <w:lang w:val="en-US"/>
          <w14:ligatures w14:val="none"/>
        </w:rPr>
        <w:t>1</w:t>
      </w:r>
    </w:p>
    <w:p w14:paraId="04023CFC" w14:textId="77777777" w:rsidR="00857EA9" w:rsidRPr="00857EA9" w:rsidRDefault="00857EA9" w:rsidP="00857EA9">
      <w:pPr>
        <w:shd w:val="clear" w:color="auto" w:fill="FFFFFF"/>
        <w:spacing w:after="120" w:line="240" w:lineRule="auto"/>
        <w:jc w:val="center"/>
        <w:outlineLvl w:val="2"/>
        <w:rPr>
          <w:rFonts w:eastAsia="Times New Roman" w:cs="Segoe UI"/>
          <w:color w:val="222222"/>
          <w:kern w:val="0"/>
          <w:lang w:val="en-US"/>
          <w14:ligatures w14:val="none"/>
        </w:rPr>
      </w:pPr>
      <w:r w:rsidRPr="007065FB">
        <w:rPr>
          <w:rFonts w:eastAsia="Times New Roman" w:cs="Segoe UI"/>
          <w:color w:val="222222"/>
          <w:kern w:val="0"/>
          <w:vertAlign w:val="superscript"/>
          <w:lang w:val="en-US"/>
          <w14:ligatures w14:val="none"/>
        </w:rPr>
        <w:t>1</w:t>
      </w:r>
      <w:r w:rsidRPr="00857EA9">
        <w:rPr>
          <w:rFonts w:eastAsia="Times New Roman" w:cs="Segoe UI"/>
          <w:color w:val="222222"/>
          <w:kern w:val="0"/>
          <w:lang w:val="en-US"/>
          <w14:ligatures w14:val="none"/>
        </w:rPr>
        <w:t>National Institute on Alcohol Abuse and Alcoholism, National Institutes of Health, Bethesda, Maryland, USA.</w:t>
      </w:r>
    </w:p>
    <w:p w14:paraId="16B56D7B" w14:textId="64EA30E3" w:rsidR="00857EA9" w:rsidRPr="00857EA9" w:rsidRDefault="00857EA9" w:rsidP="00857EA9">
      <w:pPr>
        <w:shd w:val="clear" w:color="auto" w:fill="FFFFFF"/>
        <w:spacing w:after="120" w:line="240" w:lineRule="auto"/>
        <w:jc w:val="center"/>
        <w:outlineLvl w:val="2"/>
        <w:rPr>
          <w:rFonts w:eastAsia="Times New Roman" w:cs="Segoe UI"/>
          <w:color w:val="222222"/>
          <w:kern w:val="0"/>
          <w:lang w:val="en-US"/>
          <w14:ligatures w14:val="none"/>
        </w:rPr>
      </w:pPr>
      <w:r w:rsidRPr="007065FB">
        <w:rPr>
          <w:rFonts w:eastAsia="Times New Roman" w:cs="Segoe UI"/>
          <w:color w:val="222222"/>
          <w:kern w:val="0"/>
          <w:vertAlign w:val="superscript"/>
          <w:lang w:val="en-US"/>
          <w14:ligatures w14:val="none"/>
        </w:rPr>
        <w:t>2</w:t>
      </w:r>
      <w:r w:rsidRPr="00857EA9">
        <w:rPr>
          <w:rFonts w:eastAsia="Times New Roman" w:cs="Segoe UI"/>
          <w:color w:val="222222"/>
          <w:kern w:val="0"/>
          <w:lang w:val="en-US"/>
          <w14:ligatures w14:val="none"/>
        </w:rPr>
        <w:t>Kahlert Institute for Addiction Medicine, University of Maryland, Baltimore, Maryland, USA.</w:t>
      </w:r>
    </w:p>
    <w:p w14:paraId="2F6C1B36" w14:textId="77777777" w:rsidR="00857EA9" w:rsidRDefault="00857EA9" w:rsidP="00145B1E">
      <w:pPr>
        <w:shd w:val="clear" w:color="auto" w:fill="FFFFFF"/>
        <w:spacing w:after="120" w:line="240" w:lineRule="auto"/>
        <w:outlineLvl w:val="2"/>
        <w:rPr>
          <w:rFonts w:eastAsia="Times New Roman" w:cs="Segoe UI"/>
          <w:b/>
          <w:bCs/>
          <w:color w:val="222222"/>
          <w:kern w:val="0"/>
          <w:lang w:val="en-US"/>
          <w14:ligatures w14:val="none"/>
        </w:rPr>
      </w:pPr>
    </w:p>
    <w:p w14:paraId="1FFF87A2" w14:textId="2640337A" w:rsidR="007008A6" w:rsidRDefault="007008A6" w:rsidP="00145B1E">
      <w:pPr>
        <w:shd w:val="clear" w:color="auto" w:fill="FFFFFF"/>
        <w:spacing w:after="120" w:line="240" w:lineRule="auto"/>
        <w:outlineLvl w:val="2"/>
        <w:rPr>
          <w:rFonts w:eastAsia="Times New Roman" w:cs="Segoe UI"/>
          <w:b/>
          <w:bCs/>
          <w:color w:val="222222"/>
          <w:kern w:val="0"/>
          <w:lang w:val="en-US"/>
          <w14:ligatures w14:val="none"/>
        </w:rPr>
      </w:pPr>
    </w:p>
    <w:p w14:paraId="65A087F7" w14:textId="77777777" w:rsidR="00F02C77" w:rsidRDefault="00F02C77" w:rsidP="00145B1E">
      <w:pPr>
        <w:shd w:val="clear" w:color="auto" w:fill="FFFFFF"/>
        <w:spacing w:after="120" w:line="240" w:lineRule="auto"/>
        <w:outlineLvl w:val="2"/>
        <w:rPr>
          <w:rFonts w:eastAsia="Times New Roman" w:cs="Segoe UI"/>
          <w:b/>
          <w:bCs/>
          <w:color w:val="222222"/>
          <w:kern w:val="0"/>
          <w:lang w:val="en-US"/>
          <w14:ligatures w14:val="none"/>
        </w:rPr>
      </w:pPr>
    </w:p>
    <w:p w14:paraId="6F69052B" w14:textId="622D9CD9" w:rsidR="00F02C77" w:rsidRDefault="00F02C77" w:rsidP="00145B1E">
      <w:pPr>
        <w:shd w:val="clear" w:color="auto" w:fill="FFFFFF"/>
        <w:spacing w:after="120" w:line="240" w:lineRule="auto"/>
        <w:outlineLvl w:val="2"/>
        <w:rPr>
          <w:rFonts w:eastAsia="Times New Roman" w:cs="Segoe UI"/>
          <w:b/>
          <w:bCs/>
          <w:color w:val="222222"/>
          <w:kern w:val="0"/>
          <w:lang w:val="en-US"/>
          <w14:ligatures w14:val="none"/>
        </w:rPr>
      </w:pPr>
      <w:r>
        <w:rPr>
          <w:rFonts w:eastAsia="Times New Roman" w:cs="Segoe UI"/>
          <w:b/>
          <w:bCs/>
          <w:noProof/>
          <w:color w:val="222222"/>
          <w:kern w:val="0"/>
          <w:lang w:val="en-US"/>
        </w:rPr>
        <w:drawing>
          <wp:inline distT="0" distB="0" distL="0" distR="0" wp14:anchorId="02501688" wp14:editId="26A643F6">
            <wp:extent cx="5943600" cy="4086225"/>
            <wp:effectExtent l="0" t="0" r="0" b="9525"/>
            <wp:docPr id="1466554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54580"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pic:spPr>
                </pic:pic>
              </a:graphicData>
            </a:graphic>
          </wp:inline>
        </w:drawing>
      </w:r>
      <w:r w:rsidR="001A659F" w:rsidRPr="0022507A">
        <w:rPr>
          <w:noProof/>
          <w:lang w:val="en-US"/>
        </w:rPr>
        <w:t xml:space="preserve"> </w:t>
      </w:r>
    </w:p>
    <w:p w14:paraId="5A08380E" w14:textId="2F62E0FB" w:rsidR="00A82170" w:rsidRPr="00C7574F" w:rsidRDefault="00B331F2" w:rsidP="00A82170">
      <w:pPr>
        <w:shd w:val="clear" w:color="auto" w:fill="FFFFFF"/>
        <w:spacing w:after="120" w:line="276" w:lineRule="auto"/>
        <w:jc w:val="both"/>
        <w:outlineLvl w:val="2"/>
        <w:rPr>
          <w:rFonts w:eastAsia="Times New Roman" w:cs="Segoe UI"/>
          <w:color w:val="222222"/>
          <w:kern w:val="0"/>
          <w:sz w:val="22"/>
          <w:szCs w:val="22"/>
          <w:lang w:val="en-US"/>
          <w14:ligatures w14:val="none"/>
        </w:rPr>
      </w:pPr>
      <w:r w:rsidRPr="00DC3D70">
        <w:rPr>
          <w:b/>
          <w:bCs/>
          <w:sz w:val="22"/>
          <w:szCs w:val="22"/>
          <w:lang w:val="en-US"/>
        </w:rPr>
        <w:t xml:space="preserve">Figure </w:t>
      </w:r>
      <w:r>
        <w:rPr>
          <w:b/>
          <w:bCs/>
          <w:sz w:val="22"/>
          <w:szCs w:val="22"/>
          <w:lang w:val="en-US"/>
        </w:rPr>
        <w:t>S1</w:t>
      </w:r>
      <w:r w:rsidRPr="00DC3D70">
        <w:rPr>
          <w:b/>
          <w:bCs/>
          <w:sz w:val="22"/>
          <w:szCs w:val="22"/>
          <w:lang w:val="en-US"/>
        </w:rPr>
        <w:t>:</w:t>
      </w:r>
      <w:r w:rsidR="0043212E">
        <w:rPr>
          <w:b/>
          <w:bCs/>
          <w:sz w:val="22"/>
          <w:szCs w:val="22"/>
          <w:lang w:val="en-US"/>
        </w:rPr>
        <w:t xml:space="preserve"> </w:t>
      </w:r>
      <w:r w:rsidR="00A82170">
        <w:rPr>
          <w:b/>
          <w:bCs/>
          <w:sz w:val="22"/>
          <w:szCs w:val="22"/>
          <w:lang w:val="en-US"/>
        </w:rPr>
        <w:t>T</w:t>
      </w:r>
      <w:r w:rsidR="0043212E">
        <w:rPr>
          <w:b/>
          <w:bCs/>
          <w:sz w:val="22"/>
          <w:szCs w:val="22"/>
          <w:lang w:val="en-US"/>
        </w:rPr>
        <w:t>emplate</w:t>
      </w:r>
      <w:r w:rsidR="0022507A">
        <w:rPr>
          <w:b/>
          <w:bCs/>
          <w:sz w:val="22"/>
          <w:szCs w:val="22"/>
          <w:lang w:val="en-US"/>
        </w:rPr>
        <w:t>s</w:t>
      </w:r>
      <w:r w:rsidR="00A82170">
        <w:rPr>
          <w:b/>
          <w:bCs/>
          <w:sz w:val="22"/>
          <w:szCs w:val="22"/>
          <w:lang w:val="en-US"/>
        </w:rPr>
        <w:t xml:space="preserve"> for</w:t>
      </w:r>
      <w:r w:rsidR="005C6355">
        <w:rPr>
          <w:b/>
          <w:bCs/>
          <w:sz w:val="22"/>
          <w:szCs w:val="22"/>
          <w:lang w:val="en-US"/>
        </w:rPr>
        <w:t xml:space="preserve"> the</w:t>
      </w:r>
      <w:r w:rsidR="00A82170">
        <w:rPr>
          <w:b/>
          <w:bCs/>
          <w:sz w:val="22"/>
          <w:szCs w:val="22"/>
          <w:lang w:val="en-US"/>
        </w:rPr>
        <w:t xml:space="preserve"> </w:t>
      </w:r>
      <w:r w:rsidR="00A82170" w:rsidRPr="005C6355">
        <w:rPr>
          <w:rFonts w:cs="Times New Roman"/>
          <w:b/>
          <w:bCs/>
          <w:sz w:val="22"/>
          <w:szCs w:val="22"/>
          <w:lang w:val="en-US"/>
        </w:rPr>
        <w:t>low-dimensional gradients</w:t>
      </w:r>
      <w:r w:rsidR="005C6355">
        <w:rPr>
          <w:rFonts w:cs="Times New Roman"/>
          <w:b/>
          <w:bCs/>
          <w:sz w:val="22"/>
          <w:szCs w:val="22"/>
          <w:lang w:val="en-US"/>
        </w:rPr>
        <w:t xml:space="preserve">. </w:t>
      </w:r>
      <w:r w:rsidR="00C7574F">
        <w:rPr>
          <w:rFonts w:cs="Times New Roman"/>
          <w:sz w:val="22"/>
          <w:szCs w:val="22"/>
          <w:lang w:val="en-US"/>
        </w:rPr>
        <w:t>G</w:t>
      </w:r>
      <w:r w:rsidR="00C7574F" w:rsidRPr="00C7574F">
        <w:rPr>
          <w:rFonts w:cs="Times New Roman"/>
          <w:sz w:val="22"/>
          <w:szCs w:val="22"/>
          <w:lang w:val="en-US"/>
        </w:rPr>
        <w:t xml:space="preserve">roup-level templates for the primary and secondary gradients </w:t>
      </w:r>
      <w:r w:rsidR="005425FC">
        <w:rPr>
          <w:rFonts w:cs="Times New Roman"/>
          <w:sz w:val="22"/>
          <w:szCs w:val="22"/>
          <w:lang w:val="en-US"/>
        </w:rPr>
        <w:t xml:space="preserve">were computed </w:t>
      </w:r>
      <w:r w:rsidR="00C7574F" w:rsidRPr="00C7574F">
        <w:rPr>
          <w:rFonts w:cs="Times New Roman"/>
          <w:sz w:val="22"/>
          <w:szCs w:val="22"/>
          <w:lang w:val="en-US"/>
        </w:rPr>
        <w:t xml:space="preserve">from the average parcellated connectome. </w:t>
      </w:r>
    </w:p>
    <w:p w14:paraId="427F6762" w14:textId="085B5784" w:rsidR="00B331F2" w:rsidRPr="0022507A" w:rsidRDefault="0022507A" w:rsidP="00145B1E">
      <w:pPr>
        <w:shd w:val="clear" w:color="auto" w:fill="FFFFFF"/>
        <w:spacing w:after="120" w:line="240" w:lineRule="auto"/>
        <w:outlineLvl w:val="2"/>
        <w:rPr>
          <w:rFonts w:eastAsia="Times New Roman" w:cs="Segoe UI"/>
          <w:color w:val="222222"/>
          <w:kern w:val="0"/>
          <w:lang w:val="en-US"/>
          <w14:ligatures w14:val="none"/>
        </w:rPr>
      </w:pPr>
      <w:r>
        <w:rPr>
          <w:b/>
          <w:bCs/>
          <w:sz w:val="22"/>
          <w:szCs w:val="22"/>
          <w:lang w:val="en-US"/>
        </w:rPr>
        <w:lastRenderedPageBreak/>
        <w:t xml:space="preserve"> </w:t>
      </w:r>
    </w:p>
    <w:p w14:paraId="0BFD9E40" w14:textId="77777777" w:rsidR="0018725C" w:rsidRPr="00145B1E" w:rsidRDefault="0018725C" w:rsidP="00145B1E">
      <w:pPr>
        <w:shd w:val="clear" w:color="auto" w:fill="FFFFFF"/>
        <w:spacing w:after="120" w:line="240" w:lineRule="auto"/>
        <w:outlineLvl w:val="2"/>
        <w:rPr>
          <w:rFonts w:eastAsia="Times New Roman" w:cs="Segoe UI"/>
          <w:b/>
          <w:bCs/>
          <w:color w:val="222222"/>
          <w:kern w:val="0"/>
          <w:lang w:val="en-US"/>
          <w14:ligatures w14:val="none"/>
        </w:rPr>
      </w:pPr>
    </w:p>
    <w:p w14:paraId="5A238770" w14:textId="77777777" w:rsidR="001D380B" w:rsidRDefault="00280FD4" w:rsidP="00A04DA8">
      <w:pPr>
        <w:shd w:val="clear" w:color="auto" w:fill="FFFFFF"/>
        <w:spacing w:after="120" w:line="276" w:lineRule="auto"/>
        <w:jc w:val="both"/>
        <w:outlineLvl w:val="2"/>
        <w:rPr>
          <w:sz w:val="22"/>
          <w:szCs w:val="22"/>
          <w:lang w:val="en-US"/>
        </w:rPr>
      </w:pPr>
      <w:r>
        <w:rPr>
          <w:rFonts w:eastAsia="Times New Roman" w:cs="Segoe UI"/>
          <w:noProof/>
          <w:color w:val="222222"/>
          <w:kern w:val="0"/>
          <w:lang w:val="en-US"/>
        </w:rPr>
        <w:drawing>
          <wp:inline distT="0" distB="0" distL="0" distR="0" wp14:anchorId="6EFD5C81" wp14:editId="411A2CDD">
            <wp:extent cx="5966460" cy="4101942"/>
            <wp:effectExtent l="0" t="0" r="0" b="0"/>
            <wp:docPr id="14842027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02737"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82120" cy="4112708"/>
                    </a:xfrm>
                    <a:prstGeom prst="rect">
                      <a:avLst/>
                    </a:prstGeom>
                  </pic:spPr>
                </pic:pic>
              </a:graphicData>
            </a:graphic>
          </wp:inline>
        </w:drawing>
      </w:r>
      <w:r w:rsidR="00703D87" w:rsidRPr="00DC3D70">
        <w:rPr>
          <w:b/>
          <w:bCs/>
          <w:sz w:val="22"/>
          <w:szCs w:val="22"/>
          <w:lang w:val="en-US"/>
        </w:rPr>
        <w:t xml:space="preserve">Figure </w:t>
      </w:r>
      <w:r w:rsidR="00F02C77">
        <w:rPr>
          <w:b/>
          <w:bCs/>
          <w:sz w:val="22"/>
          <w:szCs w:val="22"/>
          <w:lang w:val="en-US"/>
        </w:rPr>
        <w:t>S</w:t>
      </w:r>
      <w:r w:rsidR="009C70E5">
        <w:rPr>
          <w:b/>
          <w:bCs/>
          <w:sz w:val="22"/>
          <w:szCs w:val="22"/>
          <w:lang w:val="en-US"/>
        </w:rPr>
        <w:t>2</w:t>
      </w:r>
      <w:r w:rsidR="00703D87" w:rsidRPr="00DC3D70">
        <w:rPr>
          <w:b/>
          <w:bCs/>
          <w:sz w:val="22"/>
          <w:szCs w:val="22"/>
          <w:lang w:val="en-US"/>
        </w:rPr>
        <w:t xml:space="preserve">: </w:t>
      </w:r>
      <w:r w:rsidR="00B9167D">
        <w:rPr>
          <w:b/>
          <w:bCs/>
          <w:sz w:val="22"/>
          <w:szCs w:val="22"/>
          <w:lang w:val="en-US"/>
        </w:rPr>
        <w:t>Effect</w:t>
      </w:r>
      <w:r w:rsidR="00703D87" w:rsidRPr="00C717F6">
        <w:rPr>
          <w:b/>
          <w:bCs/>
          <w:sz w:val="22"/>
          <w:szCs w:val="22"/>
          <w:lang w:val="en-US"/>
        </w:rPr>
        <w:t xml:space="preserve"> </w:t>
      </w:r>
      <w:r w:rsidR="00B9167D">
        <w:rPr>
          <w:b/>
          <w:bCs/>
          <w:sz w:val="22"/>
          <w:szCs w:val="22"/>
          <w:lang w:val="en-US"/>
        </w:rPr>
        <w:t>of</w:t>
      </w:r>
      <w:r w:rsidR="00703D87" w:rsidRPr="00C717F6">
        <w:rPr>
          <w:b/>
          <w:bCs/>
          <w:sz w:val="22"/>
          <w:szCs w:val="22"/>
          <w:lang w:val="en-US"/>
        </w:rPr>
        <w:t xml:space="preserve"> </w:t>
      </w:r>
      <w:r w:rsidR="008144E7">
        <w:rPr>
          <w:b/>
          <w:bCs/>
          <w:sz w:val="22"/>
          <w:szCs w:val="22"/>
          <w:lang w:val="en-US"/>
        </w:rPr>
        <w:t xml:space="preserve">MP on the </w:t>
      </w:r>
      <w:r w:rsidR="009C70E5">
        <w:rPr>
          <w:b/>
          <w:bCs/>
          <w:sz w:val="22"/>
          <w:szCs w:val="22"/>
          <w:lang w:val="en-US"/>
        </w:rPr>
        <w:t>secondary</w:t>
      </w:r>
      <w:r w:rsidR="008144E7">
        <w:rPr>
          <w:b/>
          <w:bCs/>
          <w:sz w:val="22"/>
          <w:szCs w:val="22"/>
          <w:lang w:val="en-US"/>
        </w:rPr>
        <w:t xml:space="preserve"> gradient</w:t>
      </w:r>
      <w:r w:rsidR="00BA2087">
        <w:rPr>
          <w:b/>
          <w:bCs/>
          <w:sz w:val="22"/>
          <w:szCs w:val="22"/>
          <w:lang w:val="en-US"/>
        </w:rPr>
        <w:t xml:space="preserve"> of </w:t>
      </w:r>
      <w:r w:rsidR="00064DF3">
        <w:rPr>
          <w:b/>
          <w:bCs/>
          <w:sz w:val="22"/>
          <w:szCs w:val="22"/>
          <w:lang w:val="en-US"/>
        </w:rPr>
        <w:t>brain functional</w:t>
      </w:r>
      <w:r w:rsidR="00BA2087">
        <w:rPr>
          <w:b/>
          <w:bCs/>
          <w:sz w:val="22"/>
          <w:szCs w:val="22"/>
          <w:lang w:val="en-US"/>
        </w:rPr>
        <w:t xml:space="preserve"> organization</w:t>
      </w:r>
      <w:r w:rsidR="00703D87" w:rsidRPr="00C717F6">
        <w:rPr>
          <w:b/>
          <w:bCs/>
          <w:sz w:val="22"/>
          <w:szCs w:val="22"/>
          <w:lang w:val="en-US"/>
        </w:rPr>
        <w:t>.</w:t>
      </w:r>
      <w:r w:rsidR="00703D87">
        <w:rPr>
          <w:b/>
          <w:bCs/>
          <w:sz w:val="22"/>
          <w:szCs w:val="22"/>
          <w:lang w:val="en-US"/>
        </w:rPr>
        <w:t xml:space="preserve"> </w:t>
      </w:r>
      <w:r w:rsidR="009B2856" w:rsidRPr="009B2856">
        <w:rPr>
          <w:sz w:val="22"/>
          <w:szCs w:val="22"/>
          <w:lang w:val="en-US"/>
        </w:rPr>
        <w:t>(</w:t>
      </w:r>
      <w:r w:rsidR="009B2856" w:rsidRPr="005F1F80">
        <w:rPr>
          <w:b/>
          <w:sz w:val="22"/>
          <w:szCs w:val="22"/>
          <w:lang w:val="en-US"/>
        </w:rPr>
        <w:t>a</w:t>
      </w:r>
      <w:r w:rsidR="009B2856" w:rsidRPr="009B2856">
        <w:rPr>
          <w:sz w:val="22"/>
          <w:szCs w:val="22"/>
          <w:lang w:val="en-US"/>
        </w:rPr>
        <w:t xml:space="preserve">, </w:t>
      </w:r>
      <w:r w:rsidR="009B2856" w:rsidRPr="005F1F80">
        <w:rPr>
          <w:b/>
          <w:sz w:val="22"/>
          <w:szCs w:val="22"/>
          <w:lang w:val="en-US"/>
        </w:rPr>
        <w:t>b</w:t>
      </w:r>
      <w:r w:rsidR="009B2856" w:rsidRPr="009B2856">
        <w:rPr>
          <w:sz w:val="22"/>
          <w:szCs w:val="22"/>
          <w:lang w:val="en-US"/>
        </w:rPr>
        <w:t xml:space="preserve">) Surface renderings display the strength of the </w:t>
      </w:r>
      <w:r w:rsidR="009C70E5">
        <w:rPr>
          <w:sz w:val="22"/>
          <w:szCs w:val="22"/>
          <w:lang w:val="en-US"/>
        </w:rPr>
        <w:t>secondary</w:t>
      </w:r>
      <w:r w:rsidR="009B2856" w:rsidRPr="009B2856">
        <w:rPr>
          <w:sz w:val="22"/>
          <w:szCs w:val="22"/>
          <w:lang w:val="en-US"/>
        </w:rPr>
        <w:t xml:space="preserve"> gradient overlaid on lateral and medial views of the left and right hemispheres, along with six axial slices covering subcortical regions, for the placebo (</w:t>
      </w:r>
      <w:r w:rsidR="00881B83">
        <w:rPr>
          <w:sz w:val="22"/>
          <w:szCs w:val="22"/>
          <w:lang w:val="en-US"/>
        </w:rPr>
        <w:t xml:space="preserve">PL; </w:t>
      </w:r>
      <w:r w:rsidR="009B2856" w:rsidRPr="009B2856">
        <w:rPr>
          <w:sz w:val="22"/>
          <w:szCs w:val="22"/>
          <w:lang w:val="en-US"/>
        </w:rPr>
        <w:t>a) and methylphenidate (</w:t>
      </w:r>
      <w:r w:rsidR="00881B83">
        <w:rPr>
          <w:sz w:val="22"/>
          <w:szCs w:val="22"/>
          <w:lang w:val="en-US"/>
        </w:rPr>
        <w:t xml:space="preserve">MP; </w:t>
      </w:r>
      <w:r w:rsidR="009B2856" w:rsidRPr="009B2856">
        <w:rPr>
          <w:sz w:val="22"/>
          <w:szCs w:val="22"/>
          <w:lang w:val="en-US"/>
        </w:rPr>
        <w:t>b) conditions in 38 healthy adults. The parcellation atlas included 438 cortical and subcortical regions.</w:t>
      </w:r>
      <w:r w:rsidR="00417D49">
        <w:rPr>
          <w:sz w:val="22"/>
          <w:szCs w:val="22"/>
          <w:lang w:val="en-US"/>
        </w:rPr>
        <w:t xml:space="preserve"> </w:t>
      </w:r>
      <w:r w:rsidR="009B2856" w:rsidRPr="009B2856">
        <w:rPr>
          <w:sz w:val="22"/>
          <w:szCs w:val="22"/>
          <w:lang w:val="en-US"/>
        </w:rPr>
        <w:t>(</w:t>
      </w:r>
      <w:r w:rsidR="009B2856" w:rsidRPr="005F1F80">
        <w:rPr>
          <w:b/>
          <w:sz w:val="22"/>
          <w:szCs w:val="22"/>
          <w:lang w:val="en-US"/>
        </w:rPr>
        <w:t>c</w:t>
      </w:r>
      <w:r w:rsidR="009B2856" w:rsidRPr="009B2856">
        <w:rPr>
          <w:sz w:val="22"/>
          <w:szCs w:val="22"/>
          <w:lang w:val="en-US"/>
        </w:rPr>
        <w:t xml:space="preserve">) Statistical difference maps (t-scores) illustrate regions with significant changes in gradient strength between </w:t>
      </w:r>
      <w:r w:rsidR="001E4FA4">
        <w:rPr>
          <w:sz w:val="22"/>
          <w:szCs w:val="22"/>
          <w:lang w:val="en-US"/>
        </w:rPr>
        <w:t>PL and MP</w:t>
      </w:r>
      <w:r w:rsidR="009B2856" w:rsidRPr="009B2856">
        <w:rPr>
          <w:sz w:val="22"/>
          <w:szCs w:val="22"/>
          <w:lang w:val="en-US"/>
        </w:rPr>
        <w:t xml:space="preserve">, estimated using a linear mixed-effects (LME) model with age, </w:t>
      </w:r>
      <w:r w:rsidR="001D6F9C">
        <w:rPr>
          <w:sz w:val="22"/>
          <w:szCs w:val="22"/>
          <w:lang w:val="en-US"/>
        </w:rPr>
        <w:t xml:space="preserve">sex, </w:t>
      </w:r>
      <w:r w:rsidR="009B2856" w:rsidRPr="009B2856">
        <w:rPr>
          <w:sz w:val="22"/>
          <w:szCs w:val="22"/>
          <w:lang w:val="en-US"/>
        </w:rPr>
        <w:t xml:space="preserve">race, </w:t>
      </w:r>
      <w:r w:rsidR="001D6F9C">
        <w:rPr>
          <w:sz w:val="22"/>
          <w:szCs w:val="22"/>
          <w:lang w:val="en-US"/>
        </w:rPr>
        <w:t>body mass index</w:t>
      </w:r>
      <w:r w:rsidR="009B2856" w:rsidRPr="009B2856">
        <w:rPr>
          <w:sz w:val="22"/>
          <w:szCs w:val="22"/>
          <w:lang w:val="en-US"/>
        </w:rPr>
        <w:t xml:space="preserve">, and </w:t>
      </w:r>
      <w:r w:rsidR="001D6F9C">
        <w:rPr>
          <w:sz w:val="22"/>
          <w:szCs w:val="22"/>
          <w:lang w:val="en-US"/>
        </w:rPr>
        <w:t>intel</w:t>
      </w:r>
      <w:r w:rsidR="001B36BB">
        <w:rPr>
          <w:sz w:val="22"/>
          <w:szCs w:val="22"/>
          <w:lang w:val="en-US"/>
        </w:rPr>
        <w:t>l</w:t>
      </w:r>
      <w:r w:rsidR="001D6F9C">
        <w:rPr>
          <w:sz w:val="22"/>
          <w:szCs w:val="22"/>
          <w:lang w:val="en-US"/>
        </w:rPr>
        <w:t>i</w:t>
      </w:r>
      <w:r w:rsidR="001B36BB">
        <w:rPr>
          <w:sz w:val="22"/>
          <w:szCs w:val="22"/>
          <w:lang w:val="en-US"/>
        </w:rPr>
        <w:t>g</w:t>
      </w:r>
      <w:r w:rsidR="001D6F9C">
        <w:rPr>
          <w:sz w:val="22"/>
          <w:szCs w:val="22"/>
          <w:lang w:val="en-US"/>
        </w:rPr>
        <w:t>ence</w:t>
      </w:r>
      <w:r w:rsidR="009B2856" w:rsidRPr="009B2856">
        <w:rPr>
          <w:sz w:val="22"/>
          <w:szCs w:val="22"/>
          <w:lang w:val="en-US"/>
        </w:rPr>
        <w:t xml:space="preserve"> as covariates.</w:t>
      </w:r>
      <w:r w:rsidR="001E4FA4">
        <w:rPr>
          <w:sz w:val="22"/>
          <w:szCs w:val="22"/>
          <w:lang w:val="en-US"/>
        </w:rPr>
        <w:t xml:space="preserve"> </w:t>
      </w:r>
      <w:r w:rsidR="00587C0A" w:rsidRPr="00587C0A">
        <w:rPr>
          <w:sz w:val="22"/>
          <w:szCs w:val="22"/>
          <w:lang w:val="en-US"/>
        </w:rPr>
        <w:t xml:space="preserve">The statistical maps are displayed using a false discovery rate (FDR) threshold of p &lt; 0.05. </w:t>
      </w:r>
      <w:r w:rsidR="009B2856" w:rsidRPr="009B2856">
        <w:rPr>
          <w:sz w:val="22"/>
          <w:szCs w:val="22"/>
          <w:lang w:val="en-US"/>
        </w:rPr>
        <w:t>(</w:t>
      </w:r>
      <w:r w:rsidR="009B2856" w:rsidRPr="005F1F80">
        <w:rPr>
          <w:b/>
          <w:sz w:val="22"/>
          <w:szCs w:val="22"/>
          <w:lang w:val="en-US"/>
        </w:rPr>
        <w:t>d</w:t>
      </w:r>
      <w:r w:rsidR="009B2856" w:rsidRPr="009B2856">
        <w:rPr>
          <w:sz w:val="22"/>
          <w:szCs w:val="22"/>
          <w:lang w:val="en-US"/>
        </w:rPr>
        <w:t xml:space="preserve">) </w:t>
      </w:r>
      <w:r w:rsidR="00252FF3">
        <w:rPr>
          <w:sz w:val="22"/>
          <w:szCs w:val="22"/>
          <w:lang w:val="en-US"/>
        </w:rPr>
        <w:t xml:space="preserve">Scatter plots showing </w:t>
      </w:r>
      <w:r w:rsidR="00EC6CA2">
        <w:rPr>
          <w:sz w:val="22"/>
          <w:szCs w:val="22"/>
          <w:lang w:val="en-US"/>
        </w:rPr>
        <w:t>strong</w:t>
      </w:r>
      <w:r w:rsidR="009461A6">
        <w:rPr>
          <w:sz w:val="22"/>
          <w:szCs w:val="22"/>
          <w:lang w:val="en-US"/>
        </w:rPr>
        <w:t xml:space="preserve"> linear associations between PL and MP con</w:t>
      </w:r>
      <w:r w:rsidR="008F7AC0">
        <w:rPr>
          <w:sz w:val="22"/>
          <w:szCs w:val="22"/>
          <w:lang w:val="en-US"/>
        </w:rPr>
        <w:t>d</w:t>
      </w:r>
      <w:r w:rsidR="009461A6">
        <w:rPr>
          <w:sz w:val="22"/>
          <w:szCs w:val="22"/>
          <w:lang w:val="en-US"/>
        </w:rPr>
        <w:t>itions</w:t>
      </w:r>
      <w:r w:rsidR="008F7AC0">
        <w:rPr>
          <w:sz w:val="22"/>
          <w:szCs w:val="22"/>
          <w:lang w:val="en-US"/>
        </w:rPr>
        <w:t xml:space="preserve"> </w:t>
      </w:r>
      <w:r w:rsidR="00E3131B">
        <w:rPr>
          <w:sz w:val="22"/>
          <w:szCs w:val="22"/>
          <w:lang w:val="en-US"/>
        </w:rPr>
        <w:t xml:space="preserve">for each gradient </w:t>
      </w:r>
      <w:r w:rsidR="007E7F17">
        <w:rPr>
          <w:sz w:val="22"/>
          <w:szCs w:val="22"/>
          <w:lang w:val="en-US"/>
        </w:rPr>
        <w:t xml:space="preserve">and between </w:t>
      </w:r>
      <w:r w:rsidR="000C6E15">
        <w:rPr>
          <w:sz w:val="22"/>
          <w:szCs w:val="22"/>
          <w:lang w:val="en-US"/>
        </w:rPr>
        <w:t>the</w:t>
      </w:r>
      <w:r w:rsidR="00CE5B9E">
        <w:rPr>
          <w:sz w:val="22"/>
          <w:szCs w:val="22"/>
          <w:lang w:val="en-US"/>
        </w:rPr>
        <w:t xml:space="preserve"> strength of the primary gradient and the</w:t>
      </w:r>
      <w:r w:rsidR="000C6E15">
        <w:rPr>
          <w:sz w:val="22"/>
          <w:szCs w:val="22"/>
          <w:lang w:val="en-US"/>
        </w:rPr>
        <w:t xml:space="preserve"> statistical </w:t>
      </w:r>
      <w:r w:rsidR="007E7F17">
        <w:rPr>
          <w:sz w:val="22"/>
          <w:szCs w:val="22"/>
          <w:lang w:val="en-US"/>
        </w:rPr>
        <w:t>significan</w:t>
      </w:r>
      <w:r w:rsidR="000C6E15">
        <w:rPr>
          <w:sz w:val="22"/>
          <w:szCs w:val="22"/>
          <w:lang w:val="en-US"/>
        </w:rPr>
        <w:t xml:space="preserve">ce </w:t>
      </w:r>
      <w:r w:rsidR="00F27026">
        <w:rPr>
          <w:sz w:val="22"/>
          <w:szCs w:val="22"/>
          <w:lang w:val="en-US"/>
        </w:rPr>
        <w:t>in</w:t>
      </w:r>
      <w:r w:rsidR="000C6E15">
        <w:rPr>
          <w:sz w:val="22"/>
          <w:szCs w:val="22"/>
          <w:lang w:val="en-US"/>
        </w:rPr>
        <w:t xml:space="preserve"> </w:t>
      </w:r>
      <w:r w:rsidR="00CE5B9E">
        <w:rPr>
          <w:sz w:val="22"/>
          <w:szCs w:val="22"/>
          <w:lang w:val="en-US"/>
        </w:rPr>
        <w:t>primary gradient</w:t>
      </w:r>
      <w:r w:rsidR="007E7F17">
        <w:rPr>
          <w:sz w:val="22"/>
          <w:szCs w:val="22"/>
          <w:lang w:val="en-US"/>
        </w:rPr>
        <w:t xml:space="preserve"> </w:t>
      </w:r>
      <w:r w:rsidR="00F27026">
        <w:rPr>
          <w:sz w:val="22"/>
          <w:szCs w:val="22"/>
          <w:lang w:val="en-US"/>
        </w:rPr>
        <w:t>changes induced by MP</w:t>
      </w:r>
      <w:r w:rsidR="006D4E27" w:rsidRPr="006D4E27">
        <w:rPr>
          <w:sz w:val="22"/>
          <w:szCs w:val="22"/>
          <w:lang w:val="en-US"/>
        </w:rPr>
        <w:t xml:space="preserve"> </w:t>
      </w:r>
      <w:r w:rsidR="006D4E27">
        <w:rPr>
          <w:sz w:val="22"/>
          <w:szCs w:val="22"/>
          <w:lang w:val="en-US"/>
        </w:rPr>
        <w:t>across 438 brain regions</w:t>
      </w:r>
      <w:r w:rsidR="000D0E64">
        <w:rPr>
          <w:sz w:val="22"/>
          <w:szCs w:val="22"/>
          <w:lang w:val="en-US"/>
        </w:rPr>
        <w:t xml:space="preserve"> (</w:t>
      </w:r>
      <w:r w:rsidR="006D4E27">
        <w:rPr>
          <w:sz w:val="22"/>
          <w:szCs w:val="22"/>
          <w:lang w:val="en-US"/>
        </w:rPr>
        <w:t xml:space="preserve">compared to the lack </w:t>
      </w:r>
      <w:r w:rsidR="000D0E64">
        <w:rPr>
          <w:sz w:val="22"/>
          <w:szCs w:val="22"/>
          <w:lang w:val="en-US"/>
        </w:rPr>
        <w:t xml:space="preserve">of </w:t>
      </w:r>
      <w:r w:rsidR="00594990">
        <w:rPr>
          <w:sz w:val="22"/>
          <w:szCs w:val="22"/>
          <w:lang w:val="en-US"/>
        </w:rPr>
        <w:t xml:space="preserve">a </w:t>
      </w:r>
      <w:r w:rsidR="000D0E64">
        <w:rPr>
          <w:sz w:val="22"/>
          <w:szCs w:val="22"/>
          <w:lang w:val="en-US"/>
        </w:rPr>
        <w:t>similar association for the secondary gradient;</w:t>
      </w:r>
      <w:r w:rsidR="0014249E">
        <w:rPr>
          <w:sz w:val="22"/>
          <w:szCs w:val="22"/>
          <w:lang w:val="en-US"/>
        </w:rPr>
        <w:t xml:space="preserve"> </w:t>
      </w:r>
      <w:r w:rsidR="000D0E64">
        <w:rPr>
          <w:sz w:val="22"/>
          <w:szCs w:val="22"/>
          <w:lang w:val="en-US"/>
        </w:rPr>
        <w:t>bottom)</w:t>
      </w:r>
      <w:r w:rsidR="008F7AC0">
        <w:rPr>
          <w:sz w:val="22"/>
          <w:szCs w:val="22"/>
          <w:lang w:val="en-US"/>
        </w:rPr>
        <w:t xml:space="preserve">. </w:t>
      </w:r>
    </w:p>
    <w:p w14:paraId="4E139961" w14:textId="4FB1269F" w:rsidR="00A04DA8" w:rsidRDefault="00CC2F20" w:rsidP="00A04DA8">
      <w:pPr>
        <w:shd w:val="clear" w:color="auto" w:fill="FFFFFF"/>
        <w:spacing w:after="120" w:line="276" w:lineRule="auto"/>
        <w:jc w:val="both"/>
        <w:outlineLvl w:val="2"/>
        <w:rPr>
          <w:sz w:val="22"/>
          <w:szCs w:val="22"/>
          <w:lang w:val="en-US"/>
        </w:rPr>
      </w:pPr>
      <w:r>
        <w:rPr>
          <w:rFonts w:eastAsia="Times New Roman" w:cs="Segoe UI"/>
          <w:noProof/>
          <w:color w:val="222222"/>
          <w:kern w:val="0"/>
          <w:lang w:val="en-US"/>
        </w:rPr>
        <w:lastRenderedPageBreak/>
        <w:drawing>
          <wp:inline distT="0" distB="0" distL="0" distR="0" wp14:anchorId="4C4D7B02" wp14:editId="7BFB86F2">
            <wp:extent cx="5943600" cy="4086225"/>
            <wp:effectExtent l="0" t="0" r="0" b="9525"/>
            <wp:docPr id="15851343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34396" name="Picture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pic:spPr>
                </pic:pic>
              </a:graphicData>
            </a:graphic>
          </wp:inline>
        </w:drawing>
      </w:r>
    </w:p>
    <w:p w14:paraId="65D0CCB6" w14:textId="0DFDB080" w:rsidR="001D380B" w:rsidRPr="001D380B" w:rsidRDefault="001D380B" w:rsidP="00A04DA8">
      <w:pPr>
        <w:shd w:val="clear" w:color="auto" w:fill="FFFFFF"/>
        <w:spacing w:after="120" w:line="276" w:lineRule="auto"/>
        <w:jc w:val="both"/>
        <w:outlineLvl w:val="2"/>
        <w:rPr>
          <w:sz w:val="22"/>
          <w:szCs w:val="22"/>
          <w:lang w:val="en-US"/>
        </w:rPr>
      </w:pPr>
      <w:r w:rsidRPr="00DC3D70">
        <w:rPr>
          <w:b/>
          <w:bCs/>
          <w:sz w:val="22"/>
          <w:szCs w:val="22"/>
          <w:lang w:val="en-US"/>
        </w:rPr>
        <w:t xml:space="preserve">Figure </w:t>
      </w:r>
      <w:r>
        <w:rPr>
          <w:b/>
          <w:bCs/>
          <w:sz w:val="22"/>
          <w:szCs w:val="22"/>
          <w:lang w:val="en-US"/>
        </w:rPr>
        <w:t>S3</w:t>
      </w:r>
      <w:r w:rsidRPr="00DC3D70">
        <w:rPr>
          <w:b/>
          <w:bCs/>
          <w:sz w:val="22"/>
          <w:szCs w:val="22"/>
          <w:lang w:val="en-US"/>
        </w:rPr>
        <w:t>:</w:t>
      </w:r>
      <w:r w:rsidRPr="004D1C93">
        <w:rPr>
          <w:lang w:val="en-US"/>
        </w:rPr>
        <w:t xml:space="preserve"> </w:t>
      </w:r>
      <w:r w:rsidR="008E78A7">
        <w:rPr>
          <w:lang w:val="en-US"/>
        </w:rPr>
        <w:t>C</w:t>
      </w:r>
      <w:r w:rsidRPr="001D380B">
        <w:rPr>
          <w:lang w:val="en-US"/>
        </w:rPr>
        <w:t>orrelation</w:t>
      </w:r>
      <w:r w:rsidR="009B273B">
        <w:rPr>
          <w:lang w:val="en-US"/>
        </w:rPr>
        <w:t>s</w:t>
      </w:r>
      <w:r w:rsidR="00515998">
        <w:rPr>
          <w:lang w:val="en-US"/>
        </w:rPr>
        <w:t xml:space="preserve"> </w:t>
      </w:r>
      <w:r w:rsidR="008E78A7">
        <w:rPr>
          <w:lang w:val="en-US"/>
        </w:rPr>
        <w:t>between</w:t>
      </w:r>
      <w:r w:rsidR="00515998">
        <w:rPr>
          <w:lang w:val="en-US"/>
        </w:rPr>
        <w:t xml:space="preserve"> </w:t>
      </w:r>
      <w:r w:rsidR="00D47B44">
        <w:rPr>
          <w:lang w:val="en-US"/>
        </w:rPr>
        <w:t xml:space="preserve">non-displaceable binding potentials corresponding to </w:t>
      </w:r>
      <w:r w:rsidR="009B273B">
        <w:rPr>
          <w:lang w:val="en-US"/>
        </w:rPr>
        <w:t>D</w:t>
      </w:r>
      <w:r w:rsidR="008E78A7">
        <w:rPr>
          <w:lang w:val="en-US"/>
        </w:rPr>
        <w:t>1</w:t>
      </w:r>
      <w:r w:rsidR="000A2DE9">
        <w:rPr>
          <w:lang w:val="en-US"/>
        </w:rPr>
        <w:t>R</w:t>
      </w:r>
      <w:r w:rsidR="008E78A7">
        <w:rPr>
          <w:lang w:val="en-US"/>
        </w:rPr>
        <w:t xml:space="preserve"> availability (left</w:t>
      </w:r>
      <w:r w:rsidR="00946607">
        <w:rPr>
          <w:lang w:val="en-US"/>
        </w:rPr>
        <w:t xml:space="preserve"> matrix</w:t>
      </w:r>
      <w:r w:rsidR="008E78A7">
        <w:rPr>
          <w:lang w:val="en-US"/>
        </w:rPr>
        <w:t xml:space="preserve">) and </w:t>
      </w:r>
      <w:r w:rsidR="000A2DE9">
        <w:rPr>
          <w:lang w:val="en-US"/>
        </w:rPr>
        <w:t>D2R availability (</w:t>
      </w:r>
      <w:r w:rsidR="00946607">
        <w:rPr>
          <w:lang w:val="en-US"/>
        </w:rPr>
        <w:t xml:space="preserve">middle and </w:t>
      </w:r>
      <w:r w:rsidR="000A2DE9">
        <w:rPr>
          <w:lang w:val="en-US"/>
        </w:rPr>
        <w:t>right</w:t>
      </w:r>
      <w:r w:rsidR="00946607">
        <w:rPr>
          <w:lang w:val="en-US"/>
        </w:rPr>
        <w:t xml:space="preserve"> matrices</w:t>
      </w:r>
      <w:r w:rsidR="000A2DE9">
        <w:rPr>
          <w:lang w:val="en-US"/>
        </w:rPr>
        <w:t>)</w:t>
      </w:r>
      <w:r>
        <w:rPr>
          <w:lang w:val="en-US"/>
        </w:rPr>
        <w:t xml:space="preserve"> </w:t>
      </w:r>
      <w:r w:rsidR="008E78A7">
        <w:rPr>
          <w:lang w:val="en-US"/>
        </w:rPr>
        <w:t>across striatal regions</w:t>
      </w:r>
      <w:r w:rsidR="00E74AC6">
        <w:rPr>
          <w:lang w:val="en-US"/>
        </w:rPr>
        <w:t xml:space="preserve"> (</w:t>
      </w:r>
      <w:r w:rsidR="00176B81">
        <w:rPr>
          <w:lang w:val="en-US"/>
        </w:rPr>
        <w:t xml:space="preserve">averaged in </w:t>
      </w:r>
      <w:r w:rsidR="00E74AC6">
        <w:rPr>
          <w:lang w:val="en-US"/>
        </w:rPr>
        <w:t>left</w:t>
      </w:r>
      <w:r w:rsidR="00176B81">
        <w:rPr>
          <w:lang w:val="en-US"/>
        </w:rPr>
        <w:t xml:space="preserve">, right, and </w:t>
      </w:r>
      <w:r w:rsidR="00646BFC">
        <w:rPr>
          <w:lang w:val="en-US"/>
        </w:rPr>
        <w:t>bilateral</w:t>
      </w:r>
      <w:r w:rsidR="00176B81">
        <w:rPr>
          <w:lang w:val="en-US"/>
        </w:rPr>
        <w:t xml:space="preserve"> </w:t>
      </w:r>
      <w:r w:rsidR="00E74AC6">
        <w:rPr>
          <w:lang w:val="en-US"/>
        </w:rPr>
        <w:t>putamen</w:t>
      </w:r>
      <w:r w:rsidR="00646BFC">
        <w:rPr>
          <w:lang w:val="en-US"/>
        </w:rPr>
        <w:t xml:space="preserve">, put, caudate, </w:t>
      </w:r>
      <w:proofErr w:type="spellStart"/>
      <w:r w:rsidR="00646BFC">
        <w:rPr>
          <w:lang w:val="en-US"/>
        </w:rPr>
        <w:t>cau</w:t>
      </w:r>
      <w:proofErr w:type="spellEnd"/>
      <w:r w:rsidR="00646BFC">
        <w:rPr>
          <w:lang w:val="en-US"/>
        </w:rPr>
        <w:t xml:space="preserve">, and nucleus accumbens, </w:t>
      </w:r>
      <w:proofErr w:type="spellStart"/>
      <w:r w:rsidR="00CD56AB">
        <w:rPr>
          <w:lang w:val="en-US"/>
        </w:rPr>
        <w:t>nacc</w:t>
      </w:r>
      <w:proofErr w:type="spellEnd"/>
      <w:r w:rsidR="00CD56AB">
        <w:rPr>
          <w:lang w:val="en-US"/>
        </w:rPr>
        <w:t>)</w:t>
      </w:r>
      <w:r w:rsidR="00E606E0">
        <w:rPr>
          <w:lang w:val="en-US"/>
        </w:rPr>
        <w:t xml:space="preserve">. </w:t>
      </w:r>
      <w:r w:rsidR="009674BE">
        <w:rPr>
          <w:lang w:val="en-US"/>
        </w:rPr>
        <w:t xml:space="preserve"> The bottom matrix shows the </w:t>
      </w:r>
      <w:r w:rsidR="00924675">
        <w:rPr>
          <w:lang w:val="en-US"/>
        </w:rPr>
        <w:t xml:space="preserve">correlations between D1R and D2R availability </w:t>
      </w:r>
      <w:r w:rsidR="00F27E6D">
        <w:rPr>
          <w:lang w:val="en-US"/>
        </w:rPr>
        <w:t>across striatal regions.</w:t>
      </w:r>
      <w:r w:rsidR="00E606E0">
        <w:rPr>
          <w:lang w:val="en-US"/>
        </w:rPr>
        <w:t xml:space="preserve"> PL: placebo; MP: methylphenidate.  3</w:t>
      </w:r>
      <w:r w:rsidR="00A471CE">
        <w:rPr>
          <w:lang w:val="en-US"/>
        </w:rPr>
        <w:t>8 healthy adults.</w:t>
      </w:r>
      <w:r w:rsidR="000A2DE9">
        <w:rPr>
          <w:lang w:val="en-US"/>
        </w:rPr>
        <w:t xml:space="preserve"> </w:t>
      </w:r>
    </w:p>
    <w:p w14:paraId="3A317064" w14:textId="48D752FB" w:rsidR="002E199A" w:rsidRDefault="00AC4E47" w:rsidP="00644E6F">
      <w:pPr>
        <w:shd w:val="clear" w:color="auto" w:fill="FFFFFF"/>
        <w:spacing w:after="120" w:line="276" w:lineRule="auto"/>
        <w:jc w:val="both"/>
        <w:outlineLvl w:val="2"/>
        <w:rPr>
          <w:rFonts w:eastAsia="Times New Roman" w:cs="Segoe UI"/>
          <w:color w:val="222222"/>
          <w:kern w:val="0"/>
          <w:lang w:val="en-US"/>
          <w14:ligatures w14:val="none"/>
        </w:rPr>
      </w:pPr>
      <w:r>
        <w:rPr>
          <w:rFonts w:eastAsia="Times New Roman" w:cs="Segoe UI"/>
          <w:b/>
          <w:bCs/>
          <w:noProof/>
          <w:color w:val="222222"/>
          <w:kern w:val="0"/>
          <w:lang w:val="en-US"/>
        </w:rPr>
        <w:lastRenderedPageBreak/>
        <w:drawing>
          <wp:inline distT="0" distB="0" distL="0" distR="0" wp14:anchorId="0797546F" wp14:editId="1673B32B">
            <wp:extent cx="5943600" cy="4086225"/>
            <wp:effectExtent l="0" t="0" r="0" b="9525"/>
            <wp:docPr id="704246462" name="Picture 1"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46462" name="Picture 1" descr="Chart&#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pic:spPr>
                </pic:pic>
              </a:graphicData>
            </a:graphic>
          </wp:inline>
        </w:drawing>
      </w:r>
    </w:p>
    <w:p w14:paraId="4E12CF88" w14:textId="174CA584" w:rsidR="00195EB5" w:rsidRDefault="00195EB5" w:rsidP="00644E6F">
      <w:pPr>
        <w:shd w:val="clear" w:color="auto" w:fill="FFFFFF"/>
        <w:spacing w:after="120" w:line="276" w:lineRule="auto"/>
        <w:jc w:val="both"/>
        <w:outlineLvl w:val="2"/>
        <w:rPr>
          <w:sz w:val="22"/>
          <w:szCs w:val="22"/>
          <w:lang w:val="en-US"/>
        </w:rPr>
      </w:pPr>
      <w:r w:rsidRPr="00DC3D70">
        <w:rPr>
          <w:b/>
          <w:bCs/>
          <w:sz w:val="22"/>
          <w:szCs w:val="22"/>
          <w:lang w:val="en-US"/>
        </w:rPr>
        <w:t xml:space="preserve">Figure </w:t>
      </w:r>
      <w:r>
        <w:rPr>
          <w:b/>
          <w:bCs/>
          <w:sz w:val="22"/>
          <w:szCs w:val="22"/>
          <w:lang w:val="en-US"/>
        </w:rPr>
        <w:t>S</w:t>
      </w:r>
      <w:r w:rsidR="001D380B">
        <w:rPr>
          <w:b/>
          <w:bCs/>
          <w:sz w:val="22"/>
          <w:szCs w:val="22"/>
          <w:lang w:val="en-US"/>
        </w:rPr>
        <w:t>4</w:t>
      </w:r>
      <w:r w:rsidRPr="00DC3D70">
        <w:rPr>
          <w:b/>
          <w:bCs/>
          <w:sz w:val="22"/>
          <w:szCs w:val="22"/>
          <w:lang w:val="en-US"/>
        </w:rPr>
        <w:t>:</w:t>
      </w:r>
      <w:r w:rsidR="004D1C93" w:rsidRPr="004D1C93">
        <w:rPr>
          <w:lang w:val="en-US"/>
        </w:rPr>
        <w:t xml:space="preserve"> </w:t>
      </w:r>
      <w:r w:rsidR="004D1C93">
        <w:rPr>
          <w:lang w:val="en-US"/>
        </w:rPr>
        <w:t>(</w:t>
      </w:r>
      <w:r w:rsidR="004D1C93" w:rsidRPr="004D1C93">
        <w:rPr>
          <w:b/>
          <w:bCs/>
          <w:lang w:val="en-US"/>
        </w:rPr>
        <w:t>a</w:t>
      </w:r>
      <w:r w:rsidR="004D1C93">
        <w:rPr>
          <w:lang w:val="en-US"/>
        </w:rPr>
        <w:t>)</w:t>
      </w:r>
      <w:r w:rsidR="004D1C93" w:rsidRPr="000D07E5">
        <w:rPr>
          <w:lang w:val="en-US"/>
        </w:rPr>
        <w:t xml:space="preserve"> </w:t>
      </w:r>
      <w:r w:rsidR="004D1C93" w:rsidRPr="000D07E5">
        <w:rPr>
          <w:sz w:val="22"/>
          <w:szCs w:val="22"/>
          <w:lang w:val="en-US"/>
        </w:rPr>
        <w:t xml:space="preserve">Scatter plot showing the linear relationship between BPnd values for raclopride binding estimated using the Simplified Reference Tissue Model (SRTM) and Logan graphical analysis across placebo (PL) and methylphenidate (MP) conditions. Each point represents an individual. </w:t>
      </w:r>
      <w:r w:rsidR="000D07E5">
        <w:rPr>
          <w:sz w:val="22"/>
          <w:szCs w:val="22"/>
          <w:lang w:val="en-US"/>
        </w:rPr>
        <w:t>(</w:t>
      </w:r>
      <w:r w:rsidR="000D07E5" w:rsidRPr="000D07E5">
        <w:rPr>
          <w:b/>
          <w:bCs/>
          <w:sz w:val="22"/>
          <w:szCs w:val="22"/>
          <w:lang w:val="en-US"/>
        </w:rPr>
        <w:t>b</w:t>
      </w:r>
      <w:r w:rsidR="000D07E5">
        <w:rPr>
          <w:sz w:val="22"/>
          <w:szCs w:val="22"/>
          <w:lang w:val="en-US"/>
        </w:rPr>
        <w:t>)</w:t>
      </w:r>
      <w:r w:rsidR="00393CDE" w:rsidRPr="00393CDE">
        <w:rPr>
          <w:lang w:val="en-US"/>
        </w:rPr>
        <w:t xml:space="preserve"> </w:t>
      </w:r>
      <w:r w:rsidR="00393CDE" w:rsidRPr="00393CDE">
        <w:rPr>
          <w:sz w:val="22"/>
          <w:szCs w:val="22"/>
          <w:lang w:val="en-US"/>
        </w:rPr>
        <w:t xml:space="preserve">Box plots showing the distribution of BPnd values for raclopride binding </w:t>
      </w:r>
      <w:r w:rsidR="00393CDE">
        <w:rPr>
          <w:sz w:val="22"/>
          <w:szCs w:val="22"/>
          <w:lang w:val="en-US"/>
        </w:rPr>
        <w:t xml:space="preserve">for </w:t>
      </w:r>
      <w:r w:rsidR="00393CDE" w:rsidRPr="00393CDE">
        <w:rPr>
          <w:sz w:val="22"/>
          <w:szCs w:val="22"/>
          <w:lang w:val="en-US"/>
        </w:rPr>
        <w:t>PL and</w:t>
      </w:r>
      <w:r w:rsidR="00393CDE">
        <w:rPr>
          <w:sz w:val="22"/>
          <w:szCs w:val="22"/>
          <w:lang w:val="en-US"/>
        </w:rPr>
        <w:t xml:space="preserve"> MP</w:t>
      </w:r>
      <w:r w:rsidR="00393CDE" w:rsidRPr="00393CDE">
        <w:rPr>
          <w:sz w:val="22"/>
          <w:szCs w:val="22"/>
          <w:lang w:val="en-US"/>
        </w:rPr>
        <w:t>.</w:t>
      </w:r>
    </w:p>
    <w:p w14:paraId="2AAB653E" w14:textId="1F4B11D9" w:rsidR="00FE1C8D" w:rsidRDefault="00FE1C8D" w:rsidP="00644E6F">
      <w:pPr>
        <w:shd w:val="clear" w:color="auto" w:fill="FFFFFF"/>
        <w:spacing w:after="120" w:line="276" w:lineRule="auto"/>
        <w:jc w:val="both"/>
        <w:outlineLvl w:val="2"/>
        <w:rPr>
          <w:rFonts w:eastAsia="Times New Roman" w:cs="Segoe UI"/>
          <w:color w:val="222222"/>
          <w:kern w:val="0"/>
          <w:lang w:val="en-US"/>
          <w14:ligatures w14:val="none"/>
        </w:rPr>
      </w:pPr>
      <w:r>
        <w:rPr>
          <w:rFonts w:eastAsia="Times New Roman" w:cs="Segoe UI"/>
          <w:noProof/>
          <w:color w:val="222222"/>
          <w:kern w:val="0"/>
          <w:lang w:val="en-US"/>
        </w:rPr>
        <w:lastRenderedPageBreak/>
        <w:drawing>
          <wp:inline distT="0" distB="0" distL="0" distR="0" wp14:anchorId="1DF882E8" wp14:editId="5442F7C8">
            <wp:extent cx="5943600" cy="4086225"/>
            <wp:effectExtent l="0" t="0" r="0" b="9525"/>
            <wp:docPr id="1007654739" name="Picture 2"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54739" name="Picture 2" descr="Diagram&#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pic:spPr>
                </pic:pic>
              </a:graphicData>
            </a:graphic>
          </wp:inline>
        </w:drawing>
      </w:r>
    </w:p>
    <w:p w14:paraId="12720209" w14:textId="458C19BA" w:rsidR="00FE1C8D" w:rsidRDefault="00FE1C8D" w:rsidP="00644E6F">
      <w:pPr>
        <w:shd w:val="clear" w:color="auto" w:fill="FFFFFF"/>
        <w:spacing w:after="120" w:line="276" w:lineRule="auto"/>
        <w:jc w:val="both"/>
        <w:outlineLvl w:val="2"/>
        <w:rPr>
          <w:lang w:val="en-US"/>
        </w:rPr>
      </w:pPr>
      <w:r w:rsidRPr="00DC3D70">
        <w:rPr>
          <w:b/>
          <w:bCs/>
          <w:sz w:val="22"/>
          <w:szCs w:val="22"/>
          <w:lang w:val="en-US"/>
        </w:rPr>
        <w:t xml:space="preserve">Figure </w:t>
      </w:r>
      <w:r>
        <w:rPr>
          <w:b/>
          <w:bCs/>
          <w:sz w:val="22"/>
          <w:szCs w:val="22"/>
          <w:lang w:val="en-US"/>
        </w:rPr>
        <w:t>S</w:t>
      </w:r>
      <w:r w:rsidR="001D380B">
        <w:rPr>
          <w:b/>
          <w:bCs/>
          <w:sz w:val="22"/>
          <w:szCs w:val="22"/>
          <w:lang w:val="en-US"/>
        </w:rPr>
        <w:t>5</w:t>
      </w:r>
      <w:r w:rsidRPr="00DC3D70">
        <w:rPr>
          <w:b/>
          <w:bCs/>
          <w:sz w:val="22"/>
          <w:szCs w:val="22"/>
          <w:lang w:val="en-US"/>
        </w:rPr>
        <w:t>:</w:t>
      </w:r>
      <w:r w:rsidRPr="004D1C93">
        <w:rPr>
          <w:lang w:val="en-US"/>
        </w:rPr>
        <w:t xml:space="preserve"> </w:t>
      </w:r>
      <w:r w:rsidRPr="000D07E5">
        <w:rPr>
          <w:sz w:val="22"/>
          <w:szCs w:val="22"/>
          <w:lang w:val="en-US"/>
        </w:rPr>
        <w:t>Scatter</w:t>
      </w:r>
      <w:r>
        <w:rPr>
          <w:sz w:val="22"/>
          <w:szCs w:val="22"/>
          <w:lang w:val="en-US"/>
        </w:rPr>
        <w:t xml:space="preserve"> plots</w:t>
      </w:r>
      <w:r w:rsidR="00DE4D64">
        <w:rPr>
          <w:sz w:val="22"/>
          <w:szCs w:val="22"/>
          <w:lang w:val="en-US"/>
        </w:rPr>
        <w:t xml:space="preserve"> showing linear associations between DA increases and D2 receptor availability in the striatum for </w:t>
      </w:r>
      <w:r w:rsidR="002C2340">
        <w:rPr>
          <w:sz w:val="22"/>
          <w:szCs w:val="22"/>
          <w:lang w:val="en-US"/>
        </w:rPr>
        <w:t xml:space="preserve">placebo </w:t>
      </w:r>
      <w:r w:rsidR="002C2340">
        <w:rPr>
          <w:lang w:val="en-US"/>
        </w:rPr>
        <w:t>(</w:t>
      </w:r>
      <w:r w:rsidR="002C2340" w:rsidRPr="004D1C93">
        <w:rPr>
          <w:b/>
          <w:bCs/>
          <w:lang w:val="en-US"/>
        </w:rPr>
        <w:t>a</w:t>
      </w:r>
      <w:r w:rsidR="002C2340">
        <w:rPr>
          <w:lang w:val="en-US"/>
        </w:rPr>
        <w:t>) and methylphenidate (</w:t>
      </w:r>
      <w:r w:rsidR="002C2340">
        <w:rPr>
          <w:b/>
          <w:bCs/>
          <w:lang w:val="en-US"/>
        </w:rPr>
        <w:t>b</w:t>
      </w:r>
      <w:r w:rsidR="002C2340">
        <w:rPr>
          <w:lang w:val="en-US"/>
        </w:rPr>
        <w:t>) conditions.</w:t>
      </w:r>
    </w:p>
    <w:p w14:paraId="1832824B" w14:textId="77777777" w:rsidR="003F592C" w:rsidRDefault="003F592C" w:rsidP="00644E6F">
      <w:pPr>
        <w:shd w:val="clear" w:color="auto" w:fill="FFFFFF"/>
        <w:spacing w:after="120" w:line="276" w:lineRule="auto"/>
        <w:jc w:val="both"/>
        <w:outlineLvl w:val="2"/>
        <w:rPr>
          <w:rFonts w:eastAsia="Times New Roman" w:cs="Segoe UI"/>
          <w:color w:val="222222"/>
          <w:kern w:val="0"/>
          <w:lang w:val="en-US"/>
          <w14:ligatures w14:val="none"/>
        </w:rPr>
      </w:pPr>
    </w:p>
    <w:p w14:paraId="7B577EFA" w14:textId="174FD602" w:rsidR="007537BA" w:rsidRDefault="008A0824" w:rsidP="00644E6F">
      <w:pPr>
        <w:shd w:val="clear" w:color="auto" w:fill="FFFFFF"/>
        <w:spacing w:after="120" w:line="276" w:lineRule="auto"/>
        <w:jc w:val="both"/>
        <w:outlineLvl w:val="2"/>
        <w:rPr>
          <w:rFonts w:eastAsia="Times New Roman" w:cs="Segoe UI"/>
          <w:color w:val="222222"/>
          <w:kern w:val="0"/>
          <w:lang w:val="en-US"/>
          <w14:ligatures w14:val="none"/>
        </w:rPr>
      </w:pPr>
      <w:r>
        <w:rPr>
          <w:rFonts w:eastAsia="Times New Roman" w:cs="Segoe UI"/>
          <w:noProof/>
          <w:color w:val="222222"/>
          <w:kern w:val="0"/>
          <w:lang w:val="en-US"/>
        </w:rPr>
        <w:lastRenderedPageBreak/>
        <w:drawing>
          <wp:inline distT="0" distB="0" distL="0" distR="0" wp14:anchorId="6CD1D640" wp14:editId="076A7512">
            <wp:extent cx="5863905" cy="6701516"/>
            <wp:effectExtent l="0" t="0" r="3810" b="4445"/>
            <wp:docPr id="130298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8803" name="Picture 130298803"/>
                    <pic:cNvPicPr/>
                  </pic:nvPicPr>
                  <pic:blipFill>
                    <a:blip r:embed="rId12"/>
                    <a:stretch>
                      <a:fillRect/>
                    </a:stretch>
                  </pic:blipFill>
                  <pic:spPr>
                    <a:xfrm>
                      <a:off x="0" y="0"/>
                      <a:ext cx="5877059" cy="6716549"/>
                    </a:xfrm>
                    <a:prstGeom prst="rect">
                      <a:avLst/>
                    </a:prstGeom>
                  </pic:spPr>
                </pic:pic>
              </a:graphicData>
            </a:graphic>
          </wp:inline>
        </w:drawing>
      </w:r>
    </w:p>
    <w:p w14:paraId="3B05AA6B" w14:textId="0F7CCF45" w:rsidR="003F592C" w:rsidRDefault="00697FD2" w:rsidP="00644E6F">
      <w:pPr>
        <w:shd w:val="clear" w:color="auto" w:fill="FFFFFF"/>
        <w:spacing w:after="120" w:line="276" w:lineRule="auto"/>
        <w:jc w:val="both"/>
        <w:outlineLvl w:val="2"/>
        <w:rPr>
          <w:rFonts w:eastAsia="Times New Roman" w:cs="Segoe UI"/>
          <w:color w:val="222222"/>
          <w:kern w:val="0"/>
          <w:lang w:val="en-US"/>
          <w14:ligatures w14:val="none"/>
        </w:rPr>
      </w:pPr>
      <w:r w:rsidRPr="00697FD2">
        <w:rPr>
          <w:b/>
          <w:bCs/>
          <w:sz w:val="22"/>
          <w:szCs w:val="22"/>
          <w:lang w:val="en-US"/>
        </w:rPr>
        <w:t>Figure S</w:t>
      </w:r>
      <w:r w:rsidR="001D380B">
        <w:rPr>
          <w:b/>
          <w:bCs/>
          <w:sz w:val="22"/>
          <w:szCs w:val="22"/>
          <w:lang w:val="en-US"/>
        </w:rPr>
        <w:t>6</w:t>
      </w:r>
      <w:r w:rsidRPr="00697FD2">
        <w:rPr>
          <w:b/>
          <w:bCs/>
          <w:sz w:val="22"/>
          <w:szCs w:val="22"/>
          <w:lang w:val="en-US"/>
        </w:rPr>
        <w:t>:</w:t>
      </w:r>
      <w:r w:rsidRPr="00697FD2">
        <w:rPr>
          <w:sz w:val="22"/>
          <w:szCs w:val="22"/>
          <w:lang w:val="en-US"/>
        </w:rPr>
        <w:t xml:space="preserve"> </w:t>
      </w:r>
      <w:r w:rsidRPr="005F1F80">
        <w:rPr>
          <w:sz w:val="22"/>
          <w:szCs w:val="22"/>
          <w:lang w:val="en-US"/>
        </w:rPr>
        <w:t>Partial least squares (PLS) regression predicting D</w:t>
      </w:r>
      <w:r w:rsidR="00C52E5B">
        <w:rPr>
          <w:sz w:val="22"/>
          <w:szCs w:val="22"/>
          <w:lang w:val="en-US"/>
        </w:rPr>
        <w:t>1</w:t>
      </w:r>
      <w:r w:rsidRPr="005F1F80">
        <w:rPr>
          <w:sz w:val="22"/>
          <w:szCs w:val="22"/>
          <w:lang w:val="en-US"/>
        </w:rPr>
        <w:t xml:space="preserve"> receptor availability in the putamen</w:t>
      </w:r>
      <w:r w:rsidR="008A0824">
        <w:rPr>
          <w:sz w:val="22"/>
          <w:szCs w:val="22"/>
          <w:lang w:val="en-US"/>
        </w:rPr>
        <w:t xml:space="preserve"> (top) and caudate (bottom)</w:t>
      </w:r>
      <w:r w:rsidRPr="005F1F80">
        <w:rPr>
          <w:sz w:val="22"/>
          <w:szCs w:val="22"/>
          <w:lang w:val="en-US"/>
        </w:rPr>
        <w:t xml:space="preserve"> from the </w:t>
      </w:r>
      <w:r w:rsidR="00C52E5B">
        <w:rPr>
          <w:sz w:val="22"/>
          <w:szCs w:val="22"/>
          <w:lang w:val="en-US"/>
        </w:rPr>
        <w:t>prim</w:t>
      </w:r>
      <w:r w:rsidRPr="005F1F80">
        <w:rPr>
          <w:sz w:val="22"/>
          <w:szCs w:val="22"/>
          <w:lang w:val="en-US"/>
        </w:rPr>
        <w:t>ary gradient across 438 brain parcels.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w:t>
      </w:r>
      <w:r w:rsidR="00D86E45">
        <w:rPr>
          <w:sz w:val="22"/>
          <w:szCs w:val="22"/>
          <w:lang w:val="en-US"/>
        </w:rPr>
        <w:t>1</w:t>
      </w:r>
      <w:r w:rsidRPr="005F1F80">
        <w:rPr>
          <w:sz w:val="22"/>
          <w:szCs w:val="22"/>
          <w:lang w:val="en-US"/>
        </w:rPr>
        <w:t xml:space="preserve"> receptor availability in MP using the PLS model trained on PL, and (iv) the relationship between the measured metric and PLS factors for components 1 and 2. The bottom row shows the same metrics but with the model trained on MP and tested on PL.</w:t>
      </w:r>
    </w:p>
    <w:p w14:paraId="4C051FE0" w14:textId="77777777" w:rsidR="003F592C" w:rsidRDefault="003F592C" w:rsidP="00644E6F">
      <w:pPr>
        <w:shd w:val="clear" w:color="auto" w:fill="FFFFFF"/>
        <w:spacing w:after="120" w:line="276" w:lineRule="auto"/>
        <w:jc w:val="both"/>
        <w:outlineLvl w:val="2"/>
        <w:rPr>
          <w:rFonts w:eastAsia="Times New Roman" w:cs="Segoe UI"/>
          <w:color w:val="222222"/>
          <w:kern w:val="0"/>
          <w:lang w:val="en-US"/>
          <w14:ligatures w14:val="none"/>
        </w:rPr>
      </w:pPr>
    </w:p>
    <w:p w14:paraId="75779FC6" w14:textId="349CCA4D" w:rsidR="003F592C" w:rsidRDefault="00536666" w:rsidP="00857EA9">
      <w:pPr>
        <w:shd w:val="clear" w:color="auto" w:fill="FFFFFF"/>
        <w:spacing w:after="120" w:line="276" w:lineRule="auto"/>
        <w:jc w:val="center"/>
        <w:outlineLvl w:val="2"/>
        <w:rPr>
          <w:rFonts w:eastAsia="Times New Roman" w:cs="Segoe UI"/>
          <w:color w:val="222222"/>
          <w:kern w:val="0"/>
          <w:lang w:val="en-US"/>
          <w14:ligatures w14:val="none"/>
        </w:rPr>
      </w:pPr>
      <w:r>
        <w:rPr>
          <w:rFonts w:eastAsia="Times New Roman" w:cs="Segoe UI"/>
          <w:noProof/>
          <w:color w:val="222222"/>
          <w:kern w:val="0"/>
          <w:lang w:val="en-US"/>
        </w:rPr>
        <w:drawing>
          <wp:inline distT="0" distB="0" distL="0" distR="0" wp14:anchorId="7E09C968" wp14:editId="1699D0D4">
            <wp:extent cx="5645791" cy="6452246"/>
            <wp:effectExtent l="0" t="0" r="5715" b="0"/>
            <wp:docPr id="10071780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78088" name="Picture 1007178088"/>
                    <pic:cNvPicPr/>
                  </pic:nvPicPr>
                  <pic:blipFill>
                    <a:blip r:embed="rId13"/>
                    <a:stretch>
                      <a:fillRect/>
                    </a:stretch>
                  </pic:blipFill>
                  <pic:spPr>
                    <a:xfrm>
                      <a:off x="0" y="0"/>
                      <a:ext cx="5666734" cy="6476181"/>
                    </a:xfrm>
                    <a:prstGeom prst="rect">
                      <a:avLst/>
                    </a:prstGeom>
                  </pic:spPr>
                </pic:pic>
              </a:graphicData>
            </a:graphic>
          </wp:inline>
        </w:drawing>
      </w:r>
    </w:p>
    <w:p w14:paraId="7FB903C6" w14:textId="1AA16C13" w:rsidR="00536666" w:rsidRDefault="00536666" w:rsidP="00536666">
      <w:pPr>
        <w:shd w:val="clear" w:color="auto" w:fill="FFFFFF"/>
        <w:spacing w:after="120" w:line="276" w:lineRule="auto"/>
        <w:jc w:val="both"/>
        <w:outlineLvl w:val="2"/>
        <w:rPr>
          <w:rFonts w:eastAsia="Times New Roman" w:cs="Segoe UI"/>
          <w:color w:val="222222"/>
          <w:kern w:val="0"/>
          <w:lang w:val="en-US"/>
          <w14:ligatures w14:val="none"/>
        </w:rPr>
      </w:pPr>
      <w:r w:rsidRPr="00697FD2">
        <w:rPr>
          <w:b/>
          <w:bCs/>
          <w:sz w:val="22"/>
          <w:szCs w:val="22"/>
          <w:lang w:val="en-US"/>
        </w:rPr>
        <w:t>Figure S</w:t>
      </w:r>
      <w:r>
        <w:rPr>
          <w:b/>
          <w:bCs/>
          <w:sz w:val="22"/>
          <w:szCs w:val="22"/>
          <w:lang w:val="en-US"/>
        </w:rPr>
        <w:t>7</w:t>
      </w:r>
      <w:r w:rsidRPr="00697FD2">
        <w:rPr>
          <w:b/>
          <w:bCs/>
          <w:sz w:val="22"/>
          <w:szCs w:val="22"/>
          <w:lang w:val="en-US"/>
        </w:rPr>
        <w:t>:</w:t>
      </w:r>
      <w:r w:rsidRPr="00697FD2">
        <w:rPr>
          <w:sz w:val="22"/>
          <w:szCs w:val="22"/>
          <w:lang w:val="en-US"/>
        </w:rPr>
        <w:t xml:space="preserve"> </w:t>
      </w:r>
      <w:r w:rsidRPr="005F1F80">
        <w:rPr>
          <w:sz w:val="22"/>
          <w:szCs w:val="22"/>
          <w:lang w:val="en-US"/>
        </w:rPr>
        <w:t>Partial least squares (PLS) regression predicting D</w:t>
      </w:r>
      <w:r>
        <w:rPr>
          <w:sz w:val="22"/>
          <w:szCs w:val="22"/>
          <w:lang w:val="en-US"/>
        </w:rPr>
        <w:t>1</w:t>
      </w:r>
      <w:r w:rsidRPr="005F1F80">
        <w:rPr>
          <w:sz w:val="22"/>
          <w:szCs w:val="22"/>
          <w:lang w:val="en-US"/>
        </w:rPr>
        <w:t xml:space="preserve"> receptor availability in the </w:t>
      </w:r>
      <w:r>
        <w:rPr>
          <w:sz w:val="22"/>
          <w:szCs w:val="22"/>
          <w:lang w:val="en-US"/>
        </w:rPr>
        <w:t xml:space="preserve">nucleus accumbens (top) and </w:t>
      </w:r>
      <w:r w:rsidR="00E553F3" w:rsidRPr="005F1F80">
        <w:rPr>
          <w:sz w:val="22"/>
          <w:szCs w:val="22"/>
          <w:lang w:val="en-US"/>
        </w:rPr>
        <w:t>D</w:t>
      </w:r>
      <w:r w:rsidR="00E553F3">
        <w:rPr>
          <w:sz w:val="22"/>
          <w:szCs w:val="22"/>
          <w:lang w:val="en-US"/>
        </w:rPr>
        <w:t>2</w:t>
      </w:r>
      <w:r w:rsidR="00E553F3" w:rsidRPr="005F1F80">
        <w:rPr>
          <w:sz w:val="22"/>
          <w:szCs w:val="22"/>
          <w:lang w:val="en-US"/>
        </w:rPr>
        <w:t xml:space="preserve"> receptor availability in the </w:t>
      </w:r>
      <w:r w:rsidR="00E553F3">
        <w:rPr>
          <w:sz w:val="22"/>
          <w:szCs w:val="22"/>
          <w:lang w:val="en-US"/>
        </w:rPr>
        <w:t>putamen</w:t>
      </w:r>
      <w:r>
        <w:rPr>
          <w:sz w:val="22"/>
          <w:szCs w:val="22"/>
          <w:lang w:val="en-US"/>
        </w:rPr>
        <w:t xml:space="preserve"> (bottom)</w:t>
      </w:r>
      <w:r w:rsidRPr="005F1F80">
        <w:rPr>
          <w:sz w:val="22"/>
          <w:szCs w:val="22"/>
          <w:lang w:val="en-US"/>
        </w:rPr>
        <w:t xml:space="preserve"> from the </w:t>
      </w:r>
      <w:r>
        <w:rPr>
          <w:sz w:val="22"/>
          <w:szCs w:val="22"/>
          <w:lang w:val="en-US"/>
        </w:rPr>
        <w:t>prim</w:t>
      </w:r>
      <w:r w:rsidRPr="005F1F80">
        <w:rPr>
          <w:sz w:val="22"/>
          <w:szCs w:val="22"/>
          <w:lang w:val="en-US"/>
        </w:rPr>
        <w:t>ary gradient across 438 brain parcels.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w:t>
      </w:r>
      <w:r>
        <w:rPr>
          <w:sz w:val="22"/>
          <w:szCs w:val="22"/>
          <w:lang w:val="en-US"/>
        </w:rPr>
        <w:t>1</w:t>
      </w:r>
      <w:r w:rsidRPr="005F1F80">
        <w:rPr>
          <w:sz w:val="22"/>
          <w:szCs w:val="22"/>
          <w:lang w:val="en-US"/>
        </w:rPr>
        <w:t xml:space="preserve"> receptor availability in MP using the PLS model trained on PL, and (iv) the relationship between the measured metric and PLS factors for components 1 and 2. The bottom row shows the same metrics but with the model trained on MP and tested on PL.</w:t>
      </w:r>
    </w:p>
    <w:p w14:paraId="799D51CA" w14:textId="2B4E4B9A" w:rsidR="003F592C" w:rsidRDefault="00E553F3" w:rsidP="00857EA9">
      <w:pPr>
        <w:shd w:val="clear" w:color="auto" w:fill="FFFFFF"/>
        <w:spacing w:after="120" w:line="276" w:lineRule="auto"/>
        <w:jc w:val="center"/>
        <w:outlineLvl w:val="2"/>
        <w:rPr>
          <w:rFonts w:eastAsia="Times New Roman" w:cs="Segoe UI"/>
          <w:color w:val="222222"/>
          <w:kern w:val="0"/>
          <w:lang w:val="en-US"/>
          <w14:ligatures w14:val="none"/>
        </w:rPr>
      </w:pPr>
      <w:r>
        <w:rPr>
          <w:rFonts w:eastAsia="Times New Roman" w:cs="Segoe UI"/>
          <w:noProof/>
          <w:color w:val="222222"/>
          <w:kern w:val="0"/>
          <w:lang w:val="en-US"/>
        </w:rPr>
        <w:lastRenderedPageBreak/>
        <w:drawing>
          <wp:inline distT="0" distB="0" distL="0" distR="0" wp14:anchorId="75B711F5" wp14:editId="4CD5DD3B">
            <wp:extent cx="5725563" cy="6543413"/>
            <wp:effectExtent l="0" t="0" r="2540" b="0"/>
            <wp:docPr id="20385644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64436" name="Picture 2038564436"/>
                    <pic:cNvPicPr/>
                  </pic:nvPicPr>
                  <pic:blipFill>
                    <a:blip r:embed="rId14"/>
                    <a:stretch>
                      <a:fillRect/>
                    </a:stretch>
                  </pic:blipFill>
                  <pic:spPr>
                    <a:xfrm>
                      <a:off x="0" y="0"/>
                      <a:ext cx="5733550" cy="6552540"/>
                    </a:xfrm>
                    <a:prstGeom prst="rect">
                      <a:avLst/>
                    </a:prstGeom>
                  </pic:spPr>
                </pic:pic>
              </a:graphicData>
            </a:graphic>
          </wp:inline>
        </w:drawing>
      </w:r>
    </w:p>
    <w:p w14:paraId="14A65830" w14:textId="3AA671DA" w:rsidR="00E553F3" w:rsidRDefault="00E553F3" w:rsidP="00E553F3">
      <w:pPr>
        <w:shd w:val="clear" w:color="auto" w:fill="FFFFFF"/>
        <w:spacing w:after="120" w:line="276" w:lineRule="auto"/>
        <w:jc w:val="both"/>
        <w:outlineLvl w:val="2"/>
        <w:rPr>
          <w:rFonts w:eastAsia="Times New Roman" w:cs="Segoe UI"/>
          <w:color w:val="222222"/>
          <w:kern w:val="0"/>
          <w:lang w:val="en-US"/>
          <w14:ligatures w14:val="none"/>
        </w:rPr>
      </w:pPr>
      <w:r w:rsidRPr="00697FD2">
        <w:rPr>
          <w:b/>
          <w:bCs/>
          <w:sz w:val="22"/>
          <w:szCs w:val="22"/>
          <w:lang w:val="en-US"/>
        </w:rPr>
        <w:t>Figure S</w:t>
      </w:r>
      <w:r>
        <w:rPr>
          <w:b/>
          <w:bCs/>
          <w:sz w:val="22"/>
          <w:szCs w:val="22"/>
          <w:lang w:val="en-US"/>
        </w:rPr>
        <w:t>8</w:t>
      </w:r>
      <w:r w:rsidRPr="00697FD2">
        <w:rPr>
          <w:b/>
          <w:bCs/>
          <w:sz w:val="22"/>
          <w:szCs w:val="22"/>
          <w:lang w:val="en-US"/>
        </w:rPr>
        <w:t>:</w:t>
      </w:r>
      <w:r w:rsidRPr="00697FD2">
        <w:rPr>
          <w:sz w:val="22"/>
          <w:szCs w:val="22"/>
          <w:lang w:val="en-US"/>
        </w:rPr>
        <w:t xml:space="preserve"> </w:t>
      </w:r>
      <w:r w:rsidRPr="005F1F80">
        <w:rPr>
          <w:sz w:val="22"/>
          <w:szCs w:val="22"/>
          <w:lang w:val="en-US"/>
        </w:rPr>
        <w:t>Partial least squares (PLS) regression predicting D</w:t>
      </w:r>
      <w:r>
        <w:rPr>
          <w:sz w:val="22"/>
          <w:szCs w:val="22"/>
          <w:lang w:val="en-US"/>
        </w:rPr>
        <w:t>2</w:t>
      </w:r>
      <w:r w:rsidRPr="005F1F80">
        <w:rPr>
          <w:sz w:val="22"/>
          <w:szCs w:val="22"/>
          <w:lang w:val="en-US"/>
        </w:rPr>
        <w:t xml:space="preserve"> receptor availability in the </w:t>
      </w:r>
      <w:r>
        <w:rPr>
          <w:sz w:val="22"/>
          <w:szCs w:val="22"/>
          <w:lang w:val="en-US"/>
        </w:rPr>
        <w:t>nucleus accumbens (top) and the caudate  (bottom)</w:t>
      </w:r>
      <w:r w:rsidRPr="005F1F80">
        <w:rPr>
          <w:sz w:val="22"/>
          <w:szCs w:val="22"/>
          <w:lang w:val="en-US"/>
        </w:rPr>
        <w:t xml:space="preserve"> from the </w:t>
      </w:r>
      <w:r>
        <w:rPr>
          <w:sz w:val="22"/>
          <w:szCs w:val="22"/>
          <w:lang w:val="en-US"/>
        </w:rPr>
        <w:t>prim</w:t>
      </w:r>
      <w:r w:rsidRPr="005F1F80">
        <w:rPr>
          <w:sz w:val="22"/>
          <w:szCs w:val="22"/>
          <w:lang w:val="en-US"/>
        </w:rPr>
        <w:t>ary gradient across 438 brain parcels.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w:t>
      </w:r>
      <w:r>
        <w:rPr>
          <w:sz w:val="22"/>
          <w:szCs w:val="22"/>
          <w:lang w:val="en-US"/>
        </w:rPr>
        <w:t>1</w:t>
      </w:r>
      <w:r w:rsidRPr="005F1F80">
        <w:rPr>
          <w:sz w:val="22"/>
          <w:szCs w:val="22"/>
          <w:lang w:val="en-US"/>
        </w:rPr>
        <w:t xml:space="preserve"> receptor availability in MP using the PLS model trained on PL, and (iv) the relationship between the measured metric and PLS factors for components 1 and 2. The bottom row shows the same metrics but with the model trained on MP and tested on PL.</w:t>
      </w:r>
    </w:p>
    <w:p w14:paraId="72B940DC" w14:textId="3F1210D5" w:rsidR="003F592C" w:rsidRDefault="002A3520" w:rsidP="00857EA9">
      <w:pPr>
        <w:shd w:val="clear" w:color="auto" w:fill="FFFFFF"/>
        <w:spacing w:after="120" w:line="276" w:lineRule="auto"/>
        <w:jc w:val="center"/>
        <w:outlineLvl w:val="2"/>
        <w:rPr>
          <w:rFonts w:eastAsia="Times New Roman" w:cs="Segoe UI"/>
          <w:color w:val="222222"/>
          <w:kern w:val="0"/>
          <w:lang w:val="en-US"/>
          <w14:ligatures w14:val="none"/>
        </w:rPr>
      </w:pPr>
      <w:r>
        <w:rPr>
          <w:rFonts w:eastAsia="Times New Roman" w:cs="Segoe UI"/>
          <w:noProof/>
          <w:color w:val="222222"/>
          <w:kern w:val="0"/>
          <w:lang w:val="en-US"/>
        </w:rPr>
        <w:lastRenderedPageBreak/>
        <w:drawing>
          <wp:inline distT="0" distB="0" distL="0" distR="0" wp14:anchorId="331C8DCD" wp14:editId="2F9A516D">
            <wp:extent cx="5644818" cy="6451134"/>
            <wp:effectExtent l="0" t="0" r="0" b="635"/>
            <wp:docPr id="4559538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53831" name="Picture 455953831"/>
                    <pic:cNvPicPr/>
                  </pic:nvPicPr>
                  <pic:blipFill>
                    <a:blip r:embed="rId15"/>
                    <a:stretch>
                      <a:fillRect/>
                    </a:stretch>
                  </pic:blipFill>
                  <pic:spPr>
                    <a:xfrm>
                      <a:off x="0" y="0"/>
                      <a:ext cx="5651736" cy="6459041"/>
                    </a:xfrm>
                    <a:prstGeom prst="rect">
                      <a:avLst/>
                    </a:prstGeom>
                  </pic:spPr>
                </pic:pic>
              </a:graphicData>
            </a:graphic>
          </wp:inline>
        </w:drawing>
      </w:r>
    </w:p>
    <w:p w14:paraId="0152642B" w14:textId="0E8D3FDF" w:rsidR="003F592C" w:rsidRDefault="002A3520" w:rsidP="00644E6F">
      <w:pPr>
        <w:shd w:val="clear" w:color="auto" w:fill="FFFFFF"/>
        <w:spacing w:after="120" w:line="276" w:lineRule="auto"/>
        <w:jc w:val="both"/>
        <w:outlineLvl w:val="2"/>
        <w:rPr>
          <w:rFonts w:eastAsia="Times New Roman" w:cs="Segoe UI"/>
          <w:color w:val="222222"/>
          <w:kern w:val="0"/>
          <w:lang w:val="en-US"/>
          <w14:ligatures w14:val="none"/>
        </w:rPr>
      </w:pPr>
      <w:r w:rsidRPr="00697FD2">
        <w:rPr>
          <w:b/>
          <w:bCs/>
          <w:sz w:val="22"/>
          <w:szCs w:val="22"/>
          <w:lang w:val="en-US"/>
        </w:rPr>
        <w:t>Figure S</w:t>
      </w:r>
      <w:r>
        <w:rPr>
          <w:b/>
          <w:bCs/>
          <w:sz w:val="22"/>
          <w:szCs w:val="22"/>
          <w:lang w:val="en-US"/>
        </w:rPr>
        <w:t>9</w:t>
      </w:r>
      <w:r w:rsidRPr="00697FD2">
        <w:rPr>
          <w:b/>
          <w:bCs/>
          <w:sz w:val="22"/>
          <w:szCs w:val="22"/>
          <w:lang w:val="en-US"/>
        </w:rPr>
        <w:t>:</w:t>
      </w:r>
      <w:r w:rsidRPr="00697FD2">
        <w:rPr>
          <w:sz w:val="22"/>
          <w:szCs w:val="22"/>
          <w:lang w:val="en-US"/>
        </w:rPr>
        <w:t xml:space="preserve"> </w:t>
      </w:r>
      <w:r w:rsidRPr="005F1F80">
        <w:rPr>
          <w:sz w:val="22"/>
          <w:szCs w:val="22"/>
          <w:lang w:val="en-US"/>
        </w:rPr>
        <w:t>Partial least squares (PLS) regression predicting D</w:t>
      </w:r>
      <w:r>
        <w:rPr>
          <w:sz w:val="22"/>
          <w:szCs w:val="22"/>
          <w:lang w:val="en-US"/>
        </w:rPr>
        <w:t>A increases</w:t>
      </w:r>
      <w:r w:rsidRPr="005F1F80">
        <w:rPr>
          <w:sz w:val="22"/>
          <w:szCs w:val="22"/>
          <w:lang w:val="en-US"/>
        </w:rPr>
        <w:t xml:space="preserve"> in the </w:t>
      </w:r>
      <w:r w:rsidR="003164FC">
        <w:rPr>
          <w:sz w:val="22"/>
          <w:szCs w:val="22"/>
          <w:lang w:val="en-US"/>
        </w:rPr>
        <w:t xml:space="preserve">putamen (top) and </w:t>
      </w:r>
      <w:r>
        <w:rPr>
          <w:sz w:val="22"/>
          <w:szCs w:val="22"/>
          <w:lang w:val="en-US"/>
        </w:rPr>
        <w:t>nucleus accumbens (</w:t>
      </w:r>
      <w:r w:rsidR="003164FC">
        <w:rPr>
          <w:sz w:val="22"/>
          <w:szCs w:val="22"/>
          <w:lang w:val="en-US"/>
        </w:rPr>
        <w:t>bottom</w:t>
      </w:r>
      <w:r>
        <w:rPr>
          <w:sz w:val="22"/>
          <w:szCs w:val="22"/>
          <w:lang w:val="en-US"/>
        </w:rPr>
        <w:t xml:space="preserve">) </w:t>
      </w:r>
      <w:r w:rsidRPr="005F1F80">
        <w:rPr>
          <w:sz w:val="22"/>
          <w:szCs w:val="22"/>
          <w:lang w:val="en-US"/>
        </w:rPr>
        <w:t xml:space="preserve">from the </w:t>
      </w:r>
      <w:r>
        <w:rPr>
          <w:sz w:val="22"/>
          <w:szCs w:val="22"/>
          <w:lang w:val="en-US"/>
        </w:rPr>
        <w:t>prim</w:t>
      </w:r>
      <w:r w:rsidRPr="005F1F80">
        <w:rPr>
          <w:sz w:val="22"/>
          <w:szCs w:val="22"/>
          <w:lang w:val="en-US"/>
        </w:rPr>
        <w:t>ary gradient across 438 brain parcels.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w:t>
      </w:r>
      <w:r>
        <w:rPr>
          <w:sz w:val="22"/>
          <w:szCs w:val="22"/>
          <w:lang w:val="en-US"/>
        </w:rPr>
        <w:t>1</w:t>
      </w:r>
      <w:r w:rsidRPr="005F1F80">
        <w:rPr>
          <w:sz w:val="22"/>
          <w:szCs w:val="22"/>
          <w:lang w:val="en-US"/>
        </w:rPr>
        <w:t xml:space="preserve"> receptor availability in MP using the PLS model trained on PL, and (iv) the relationship between the measured metric and PLS factors for components 1 and 2. The bottom row shows the same metrics but with the model trained on MP and tested on PL.</w:t>
      </w:r>
    </w:p>
    <w:p w14:paraId="4121901A" w14:textId="659493A6" w:rsidR="003F592C" w:rsidRDefault="005A1D10" w:rsidP="00644E6F">
      <w:pPr>
        <w:shd w:val="clear" w:color="auto" w:fill="FFFFFF"/>
        <w:spacing w:after="120" w:line="276" w:lineRule="auto"/>
        <w:jc w:val="both"/>
        <w:outlineLvl w:val="2"/>
        <w:rPr>
          <w:rFonts w:eastAsia="Times New Roman" w:cs="Segoe UI"/>
          <w:color w:val="222222"/>
          <w:kern w:val="0"/>
          <w:lang w:val="en-US"/>
          <w14:ligatures w14:val="none"/>
        </w:rPr>
      </w:pPr>
      <w:r>
        <w:rPr>
          <w:rFonts w:eastAsia="Times New Roman" w:cs="Segoe UI"/>
          <w:noProof/>
          <w:color w:val="222222"/>
          <w:kern w:val="0"/>
          <w:lang w:val="en-US"/>
        </w:rPr>
        <w:lastRenderedPageBreak/>
        <w:drawing>
          <wp:inline distT="0" distB="0" distL="0" distR="0" wp14:anchorId="0FF14377" wp14:editId="543B81BC">
            <wp:extent cx="5943600" cy="3289300"/>
            <wp:effectExtent l="0" t="0" r="0" b="0"/>
            <wp:docPr id="2967297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29769" name="Picture 296729769"/>
                    <pic:cNvPicPr/>
                  </pic:nvPicPr>
                  <pic:blipFill rotWithShape="1">
                    <a:blip r:embed="rId16"/>
                    <a:srcRect b="51575"/>
                    <a:stretch/>
                  </pic:blipFill>
                  <pic:spPr bwMode="auto">
                    <a:xfrm>
                      <a:off x="0" y="0"/>
                      <a:ext cx="5943600" cy="3289300"/>
                    </a:xfrm>
                    <a:prstGeom prst="rect">
                      <a:avLst/>
                    </a:prstGeom>
                    <a:ln>
                      <a:noFill/>
                    </a:ln>
                    <a:extLst>
                      <a:ext uri="{53640926-AAD7-44D8-BBD7-CCE9431645EC}">
                        <a14:shadowObscured xmlns:a14="http://schemas.microsoft.com/office/drawing/2010/main"/>
                      </a:ext>
                    </a:extLst>
                  </pic:spPr>
                </pic:pic>
              </a:graphicData>
            </a:graphic>
          </wp:inline>
        </w:drawing>
      </w:r>
    </w:p>
    <w:p w14:paraId="49291863" w14:textId="5373D626" w:rsidR="00EC5F39" w:rsidRDefault="00EC5F39" w:rsidP="00EC5F39">
      <w:pPr>
        <w:shd w:val="clear" w:color="auto" w:fill="FFFFFF"/>
        <w:spacing w:after="120" w:line="276" w:lineRule="auto"/>
        <w:jc w:val="both"/>
        <w:outlineLvl w:val="2"/>
        <w:rPr>
          <w:rFonts w:eastAsia="Times New Roman" w:cs="Segoe UI"/>
          <w:color w:val="222222"/>
          <w:kern w:val="0"/>
          <w:lang w:val="en-US"/>
          <w14:ligatures w14:val="none"/>
        </w:rPr>
      </w:pPr>
      <w:r w:rsidRPr="00697FD2">
        <w:rPr>
          <w:b/>
          <w:bCs/>
          <w:sz w:val="22"/>
          <w:szCs w:val="22"/>
          <w:lang w:val="en-US"/>
        </w:rPr>
        <w:t>Figure S</w:t>
      </w:r>
      <w:r>
        <w:rPr>
          <w:b/>
          <w:bCs/>
          <w:sz w:val="22"/>
          <w:szCs w:val="22"/>
          <w:lang w:val="en-US"/>
        </w:rPr>
        <w:t>10</w:t>
      </w:r>
      <w:r w:rsidRPr="00697FD2">
        <w:rPr>
          <w:b/>
          <w:bCs/>
          <w:sz w:val="22"/>
          <w:szCs w:val="22"/>
          <w:lang w:val="en-US"/>
        </w:rPr>
        <w:t>:</w:t>
      </w:r>
      <w:r w:rsidRPr="00697FD2">
        <w:rPr>
          <w:sz w:val="22"/>
          <w:szCs w:val="22"/>
          <w:lang w:val="en-US"/>
        </w:rPr>
        <w:t xml:space="preserve"> </w:t>
      </w:r>
      <w:r w:rsidRPr="005F1F80">
        <w:rPr>
          <w:sz w:val="22"/>
          <w:szCs w:val="22"/>
          <w:lang w:val="en-US"/>
        </w:rPr>
        <w:t>Partial least squares (PLS) regression predicting D</w:t>
      </w:r>
      <w:r>
        <w:rPr>
          <w:sz w:val="22"/>
          <w:szCs w:val="22"/>
          <w:lang w:val="en-US"/>
        </w:rPr>
        <w:t>A increases</w:t>
      </w:r>
      <w:r w:rsidRPr="005F1F80">
        <w:rPr>
          <w:sz w:val="22"/>
          <w:szCs w:val="22"/>
          <w:lang w:val="en-US"/>
        </w:rPr>
        <w:t xml:space="preserve"> in the </w:t>
      </w:r>
      <w:r>
        <w:rPr>
          <w:sz w:val="22"/>
          <w:szCs w:val="22"/>
          <w:lang w:val="en-US"/>
        </w:rPr>
        <w:t xml:space="preserve">caudate </w:t>
      </w:r>
      <w:r w:rsidRPr="005F1F80">
        <w:rPr>
          <w:sz w:val="22"/>
          <w:szCs w:val="22"/>
          <w:lang w:val="en-US"/>
        </w:rPr>
        <w:t xml:space="preserve">from the </w:t>
      </w:r>
      <w:r>
        <w:rPr>
          <w:sz w:val="22"/>
          <w:szCs w:val="22"/>
          <w:lang w:val="en-US"/>
        </w:rPr>
        <w:t>prim</w:t>
      </w:r>
      <w:r w:rsidRPr="005F1F80">
        <w:rPr>
          <w:sz w:val="22"/>
          <w:szCs w:val="22"/>
          <w:lang w:val="en-US"/>
        </w:rPr>
        <w:t>ary gradient across 438 brain parcels.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w:t>
      </w:r>
      <w:r>
        <w:rPr>
          <w:sz w:val="22"/>
          <w:szCs w:val="22"/>
          <w:lang w:val="en-US"/>
        </w:rPr>
        <w:t>1</w:t>
      </w:r>
      <w:r w:rsidRPr="005F1F80">
        <w:rPr>
          <w:sz w:val="22"/>
          <w:szCs w:val="22"/>
          <w:lang w:val="en-US"/>
        </w:rPr>
        <w:t xml:space="preserve"> receptor availability in MP using the PLS model trained on PL, and (iv) the relationship between the measured metric and PLS factors for components 1 and 2. The bottom row shows the same metrics but with the model trained on MP and tested on PL.</w:t>
      </w:r>
    </w:p>
    <w:p w14:paraId="4681DD15" w14:textId="77777777" w:rsidR="003F592C" w:rsidRDefault="003F592C" w:rsidP="00644E6F">
      <w:pPr>
        <w:shd w:val="clear" w:color="auto" w:fill="FFFFFF"/>
        <w:spacing w:after="120" w:line="276" w:lineRule="auto"/>
        <w:jc w:val="both"/>
        <w:outlineLvl w:val="2"/>
        <w:rPr>
          <w:rFonts w:eastAsia="Times New Roman" w:cs="Segoe UI"/>
          <w:color w:val="222222"/>
          <w:kern w:val="0"/>
          <w:lang w:val="en-US"/>
          <w14:ligatures w14:val="none"/>
        </w:rPr>
      </w:pPr>
    </w:p>
    <w:p w14:paraId="6C4473A8" w14:textId="77777777" w:rsidR="003F592C" w:rsidRDefault="003F592C" w:rsidP="00644E6F">
      <w:pPr>
        <w:shd w:val="clear" w:color="auto" w:fill="FFFFFF"/>
        <w:spacing w:after="120" w:line="276" w:lineRule="auto"/>
        <w:jc w:val="both"/>
        <w:outlineLvl w:val="2"/>
        <w:rPr>
          <w:rFonts w:eastAsia="Times New Roman" w:cs="Segoe UI"/>
          <w:color w:val="222222"/>
          <w:kern w:val="0"/>
          <w:lang w:val="en-US"/>
          <w14:ligatures w14:val="none"/>
        </w:rPr>
      </w:pPr>
    </w:p>
    <w:p w14:paraId="75E0A63D" w14:textId="47E889C5" w:rsidR="003F592C" w:rsidRDefault="00E30CE6" w:rsidP="00857EA9">
      <w:pPr>
        <w:shd w:val="clear" w:color="auto" w:fill="FFFFFF"/>
        <w:spacing w:after="120" w:line="276" w:lineRule="auto"/>
        <w:jc w:val="center"/>
        <w:outlineLvl w:val="2"/>
        <w:rPr>
          <w:rFonts w:eastAsia="Times New Roman" w:cs="Segoe UI"/>
          <w:color w:val="222222"/>
          <w:kern w:val="0"/>
          <w:lang w:val="en-US"/>
          <w14:ligatures w14:val="none"/>
        </w:rPr>
      </w:pPr>
      <w:r>
        <w:rPr>
          <w:rFonts w:eastAsia="Times New Roman" w:cs="Segoe UI"/>
          <w:noProof/>
          <w:color w:val="222222"/>
          <w:kern w:val="0"/>
          <w:lang w:val="en-US"/>
        </w:rPr>
        <w:lastRenderedPageBreak/>
        <w:drawing>
          <wp:inline distT="0" distB="0" distL="0" distR="0" wp14:anchorId="3EFA1AF7" wp14:editId="09E5C4D8">
            <wp:extent cx="5285064" cy="6039992"/>
            <wp:effectExtent l="0" t="0" r="0" b="5715"/>
            <wp:docPr id="9314550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55019" name="Picture 931455019"/>
                    <pic:cNvPicPr/>
                  </pic:nvPicPr>
                  <pic:blipFill>
                    <a:blip r:embed="rId17"/>
                    <a:stretch>
                      <a:fillRect/>
                    </a:stretch>
                  </pic:blipFill>
                  <pic:spPr>
                    <a:xfrm>
                      <a:off x="0" y="0"/>
                      <a:ext cx="5296731" cy="6053326"/>
                    </a:xfrm>
                    <a:prstGeom prst="rect">
                      <a:avLst/>
                    </a:prstGeom>
                  </pic:spPr>
                </pic:pic>
              </a:graphicData>
            </a:graphic>
          </wp:inline>
        </w:drawing>
      </w:r>
    </w:p>
    <w:p w14:paraId="709D42C2" w14:textId="08C9B35F" w:rsidR="00815428" w:rsidRPr="00BA6FF8" w:rsidRDefault="00815428" w:rsidP="00815428">
      <w:pPr>
        <w:shd w:val="clear" w:color="auto" w:fill="FFFFFF"/>
        <w:spacing w:after="120" w:line="240" w:lineRule="auto"/>
        <w:jc w:val="both"/>
        <w:outlineLvl w:val="2"/>
        <w:rPr>
          <w:b/>
          <w:sz w:val="22"/>
          <w:szCs w:val="22"/>
          <w:lang w:val="en-US"/>
        </w:rPr>
      </w:pPr>
      <w:r w:rsidRPr="00DC3D70">
        <w:rPr>
          <w:b/>
          <w:bCs/>
          <w:sz w:val="22"/>
          <w:szCs w:val="22"/>
          <w:lang w:val="en-US"/>
        </w:rPr>
        <w:t xml:space="preserve">Figure </w:t>
      </w:r>
      <w:r>
        <w:rPr>
          <w:b/>
          <w:bCs/>
          <w:sz w:val="22"/>
          <w:szCs w:val="22"/>
          <w:lang w:val="en-US"/>
        </w:rPr>
        <w:t>S11</w:t>
      </w:r>
      <w:r w:rsidRPr="00DC3D70">
        <w:rPr>
          <w:b/>
          <w:bCs/>
          <w:sz w:val="22"/>
          <w:szCs w:val="22"/>
          <w:lang w:val="en-US"/>
        </w:rPr>
        <w:t xml:space="preserve">: </w:t>
      </w:r>
      <w:r w:rsidRPr="005F1F80">
        <w:rPr>
          <w:b/>
          <w:sz w:val="22"/>
          <w:szCs w:val="22"/>
          <w:lang w:val="en-US"/>
        </w:rPr>
        <w:t xml:space="preserve">Dopamine receptor availability and PLS-based predictions in </w:t>
      </w:r>
      <w:r>
        <w:rPr>
          <w:b/>
          <w:sz w:val="22"/>
          <w:szCs w:val="22"/>
          <w:lang w:val="en-US"/>
        </w:rPr>
        <w:t>nucleus accumbens</w:t>
      </w:r>
      <w:r w:rsidRPr="005F1F80">
        <w:rPr>
          <w:b/>
          <w:bCs/>
          <w:sz w:val="22"/>
          <w:szCs w:val="22"/>
          <w:lang w:val="en-US"/>
        </w:rPr>
        <w:t>.</w:t>
      </w:r>
      <w:r>
        <w:rPr>
          <w:b/>
          <w:bCs/>
          <w:sz w:val="22"/>
          <w:szCs w:val="22"/>
          <w:lang w:val="en-US"/>
        </w:rPr>
        <w:t xml:space="preserve"> </w:t>
      </w:r>
      <w:r w:rsidRPr="005F1F80">
        <w:rPr>
          <w:sz w:val="22"/>
          <w:szCs w:val="22"/>
          <w:lang w:val="en-US"/>
        </w:rPr>
        <w:t>(</w:t>
      </w:r>
      <w:r w:rsidRPr="001E60FB">
        <w:rPr>
          <w:b/>
          <w:bCs/>
          <w:sz w:val="22"/>
          <w:szCs w:val="22"/>
          <w:lang w:val="en-US"/>
        </w:rPr>
        <w:t>a</w:t>
      </w:r>
      <w:r w:rsidRPr="005F1F80">
        <w:rPr>
          <w:sz w:val="22"/>
          <w:szCs w:val="22"/>
          <w:lang w:val="en-US"/>
        </w:rPr>
        <w:t xml:space="preserve">) Paired plot showing </w:t>
      </w:r>
      <w:r>
        <w:rPr>
          <w:sz w:val="22"/>
          <w:szCs w:val="22"/>
          <w:lang w:val="en-US"/>
        </w:rPr>
        <w:t>the non-displaceable binding potential (</w:t>
      </w:r>
      <w:r w:rsidRPr="005F1F80">
        <w:rPr>
          <w:sz w:val="22"/>
          <w:szCs w:val="22"/>
          <w:lang w:val="en-US"/>
        </w:rPr>
        <w:t>BPnd</w:t>
      </w:r>
      <w:r>
        <w:rPr>
          <w:sz w:val="22"/>
          <w:szCs w:val="22"/>
          <w:lang w:val="en-US"/>
        </w:rPr>
        <w:t>) of</w:t>
      </w:r>
      <w:r w:rsidRPr="008B55B7">
        <w:rPr>
          <w:sz w:val="22"/>
          <w:szCs w:val="22"/>
          <w:lang w:val="en-US"/>
        </w:rPr>
        <w:t xml:space="preserve"> </w:t>
      </w:r>
      <w:r w:rsidRPr="005F1F80">
        <w:rPr>
          <w:sz w:val="22"/>
          <w:szCs w:val="22"/>
          <w:lang w:val="en-US"/>
        </w:rPr>
        <w:t>[</w:t>
      </w:r>
      <w:r w:rsidRPr="005F1F80">
        <w:rPr>
          <w:sz w:val="22"/>
          <w:szCs w:val="22"/>
          <w:vertAlign w:val="superscript"/>
          <w:lang w:val="en-US"/>
        </w:rPr>
        <w:t>11</w:t>
      </w:r>
      <w:r w:rsidRPr="005F1F80">
        <w:rPr>
          <w:sz w:val="22"/>
          <w:szCs w:val="22"/>
          <w:lang w:val="en-US"/>
        </w:rPr>
        <w:t xml:space="preserve">C]raclopride in </w:t>
      </w:r>
      <w:r>
        <w:rPr>
          <w:sz w:val="22"/>
          <w:szCs w:val="22"/>
          <w:lang w:val="en-US"/>
        </w:rPr>
        <w:t>nucleus accumbens</w:t>
      </w:r>
      <w:r w:rsidRPr="005F1F80">
        <w:rPr>
          <w:sz w:val="22"/>
          <w:szCs w:val="22"/>
          <w:lang w:val="en-US"/>
        </w:rPr>
        <w:t xml:space="preserve"> for methylphenidate (MP) and placebo (PL) sessions across 3</w:t>
      </w:r>
      <w:r>
        <w:rPr>
          <w:sz w:val="22"/>
          <w:szCs w:val="22"/>
          <w:lang w:val="en-US"/>
        </w:rPr>
        <w:t>8</w:t>
      </w:r>
      <w:r w:rsidRPr="005F1F80">
        <w:rPr>
          <w:sz w:val="22"/>
          <w:szCs w:val="22"/>
          <w:lang w:val="en-US"/>
        </w:rPr>
        <w:t xml:space="preserve"> healthy adults.</w:t>
      </w:r>
      <w:r>
        <w:rPr>
          <w:b/>
          <w:bCs/>
          <w:sz w:val="22"/>
          <w:szCs w:val="22"/>
          <w:lang w:val="en-US"/>
        </w:rPr>
        <w:t xml:space="preserve"> </w:t>
      </w:r>
      <w:r w:rsidRPr="005F1F80">
        <w:rPr>
          <w:sz w:val="22"/>
          <w:szCs w:val="22"/>
          <w:lang w:val="en-US"/>
        </w:rPr>
        <w:t>(</w:t>
      </w:r>
      <w:r w:rsidRPr="001E60FB">
        <w:rPr>
          <w:b/>
          <w:bCs/>
          <w:sz w:val="22"/>
          <w:szCs w:val="22"/>
          <w:lang w:val="en-US"/>
        </w:rPr>
        <w:t>b</w:t>
      </w:r>
      <w:r w:rsidRPr="005F1F80">
        <w:rPr>
          <w:sz w:val="22"/>
          <w:szCs w:val="22"/>
          <w:lang w:val="en-US"/>
        </w:rPr>
        <w:t xml:space="preserve">) Partial least squares (PLS) regression predicting D1 receptor availability in the </w:t>
      </w:r>
      <w:r>
        <w:rPr>
          <w:sz w:val="22"/>
          <w:szCs w:val="22"/>
          <w:lang w:val="en-US"/>
        </w:rPr>
        <w:t>nucleus accumbens</w:t>
      </w:r>
      <w:r w:rsidRPr="005F1F80">
        <w:rPr>
          <w:sz w:val="22"/>
          <w:szCs w:val="22"/>
          <w:lang w:val="en-US"/>
        </w:rPr>
        <w:t xml:space="preserve"> from the secondary gradient across 438 brain parcels</w:t>
      </w:r>
      <w:r>
        <w:rPr>
          <w:sz w:val="22"/>
          <w:szCs w:val="22"/>
          <w:lang w:val="en-US"/>
        </w:rPr>
        <w:t xml:space="preserve"> with 2 components</w:t>
      </w:r>
      <w:r w:rsidRPr="005F1F80">
        <w:rPr>
          <w:sz w:val="22"/>
          <w:szCs w:val="22"/>
          <w:lang w:val="en-US"/>
        </w:rPr>
        <w:t>.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D1 receptor availability in MP using the PLS model trained on PL, and (iv) the relationship between the measured metric and PLS factors for components 1 and 2. The bottom row shows the same metrics but with the model trained on MP and tested on PL.</w:t>
      </w:r>
      <w:r>
        <w:rPr>
          <w:b/>
          <w:bCs/>
          <w:sz w:val="22"/>
          <w:szCs w:val="22"/>
          <w:lang w:val="en-US"/>
        </w:rPr>
        <w:t xml:space="preserve"> (c) </w:t>
      </w:r>
      <w:r>
        <w:rPr>
          <w:sz w:val="22"/>
          <w:szCs w:val="22"/>
          <w:lang w:val="en-US"/>
        </w:rPr>
        <w:t>L</w:t>
      </w:r>
      <w:r w:rsidRPr="005F1F80">
        <w:rPr>
          <w:sz w:val="22"/>
          <w:szCs w:val="22"/>
          <w:lang w:val="en-US"/>
        </w:rPr>
        <w:t xml:space="preserve">oading patterns for components 1 and 2 </w:t>
      </w:r>
      <w:r>
        <w:rPr>
          <w:sz w:val="22"/>
          <w:szCs w:val="22"/>
          <w:lang w:val="en-US"/>
        </w:rPr>
        <w:t>of</w:t>
      </w:r>
      <w:r w:rsidRPr="005F1F80">
        <w:rPr>
          <w:sz w:val="22"/>
          <w:szCs w:val="22"/>
          <w:lang w:val="en-US"/>
        </w:rPr>
        <w:t xml:space="preserve"> the PLS model predicting D1 receptor availability</w:t>
      </w:r>
      <w:r>
        <w:rPr>
          <w:sz w:val="22"/>
          <w:szCs w:val="22"/>
          <w:lang w:val="en-US"/>
        </w:rPr>
        <w:t xml:space="preserve"> from the secondary gradient corresponding to MP and PL sessions</w:t>
      </w:r>
      <w:r w:rsidRPr="005F1F80">
        <w:rPr>
          <w:sz w:val="22"/>
          <w:szCs w:val="22"/>
          <w:lang w:val="en-US"/>
        </w:rPr>
        <w:t>. Surface renderings depict lateral and medial views, and axial slices highlight subcortical structures associated with the PLS components.</w:t>
      </w:r>
    </w:p>
    <w:p w14:paraId="43821646" w14:textId="389003DA" w:rsidR="00815428" w:rsidRDefault="002B418D" w:rsidP="00857EA9">
      <w:pPr>
        <w:shd w:val="clear" w:color="auto" w:fill="FFFFFF"/>
        <w:spacing w:after="120" w:line="276" w:lineRule="auto"/>
        <w:jc w:val="center"/>
        <w:outlineLvl w:val="2"/>
        <w:rPr>
          <w:rFonts w:eastAsia="Times New Roman" w:cs="Segoe UI"/>
          <w:color w:val="222222"/>
          <w:kern w:val="0"/>
          <w:lang w:val="en-US"/>
          <w14:ligatures w14:val="none"/>
        </w:rPr>
      </w:pPr>
      <w:r>
        <w:rPr>
          <w:rFonts w:eastAsia="Times New Roman" w:cs="Segoe UI"/>
          <w:noProof/>
          <w:color w:val="222222"/>
          <w:kern w:val="0"/>
          <w:lang w:val="en-US"/>
        </w:rPr>
        <w:lastRenderedPageBreak/>
        <w:drawing>
          <wp:inline distT="0" distB="0" distL="0" distR="0" wp14:anchorId="07F082F0" wp14:editId="754BF947">
            <wp:extent cx="5211730" cy="5956183"/>
            <wp:effectExtent l="0" t="0" r="0" b="635"/>
            <wp:docPr id="19352496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49691" name="Picture 1935249691"/>
                    <pic:cNvPicPr/>
                  </pic:nvPicPr>
                  <pic:blipFill>
                    <a:blip r:embed="rId18"/>
                    <a:stretch>
                      <a:fillRect/>
                    </a:stretch>
                  </pic:blipFill>
                  <pic:spPr>
                    <a:xfrm>
                      <a:off x="0" y="0"/>
                      <a:ext cx="5217981" cy="5963327"/>
                    </a:xfrm>
                    <a:prstGeom prst="rect">
                      <a:avLst/>
                    </a:prstGeom>
                  </pic:spPr>
                </pic:pic>
              </a:graphicData>
            </a:graphic>
          </wp:inline>
        </w:drawing>
      </w:r>
    </w:p>
    <w:p w14:paraId="7F7E4CBC" w14:textId="37FB994A" w:rsidR="0034069A" w:rsidRPr="00BA6FF8" w:rsidRDefault="0034069A" w:rsidP="0034069A">
      <w:pPr>
        <w:shd w:val="clear" w:color="auto" w:fill="FFFFFF"/>
        <w:spacing w:after="120" w:line="240" w:lineRule="auto"/>
        <w:jc w:val="both"/>
        <w:outlineLvl w:val="2"/>
        <w:rPr>
          <w:b/>
          <w:sz w:val="22"/>
          <w:szCs w:val="22"/>
          <w:lang w:val="en-US"/>
        </w:rPr>
      </w:pPr>
      <w:r w:rsidRPr="00DC3D70">
        <w:rPr>
          <w:b/>
          <w:bCs/>
          <w:sz w:val="22"/>
          <w:szCs w:val="22"/>
          <w:lang w:val="en-US"/>
        </w:rPr>
        <w:t xml:space="preserve">Figure </w:t>
      </w:r>
      <w:r>
        <w:rPr>
          <w:b/>
          <w:bCs/>
          <w:sz w:val="22"/>
          <w:szCs w:val="22"/>
          <w:lang w:val="en-US"/>
        </w:rPr>
        <w:t>S1</w:t>
      </w:r>
      <w:r w:rsidR="00130425">
        <w:rPr>
          <w:b/>
          <w:bCs/>
          <w:sz w:val="22"/>
          <w:szCs w:val="22"/>
          <w:lang w:val="en-US"/>
        </w:rPr>
        <w:t>2</w:t>
      </w:r>
      <w:r w:rsidRPr="00DC3D70">
        <w:rPr>
          <w:b/>
          <w:bCs/>
          <w:sz w:val="22"/>
          <w:szCs w:val="22"/>
          <w:lang w:val="en-US"/>
        </w:rPr>
        <w:t xml:space="preserve">: </w:t>
      </w:r>
      <w:r w:rsidRPr="005F1F80">
        <w:rPr>
          <w:b/>
          <w:sz w:val="22"/>
          <w:szCs w:val="22"/>
          <w:lang w:val="en-US"/>
        </w:rPr>
        <w:t>Dopamine receptor availability and PLS-based predictions</w:t>
      </w:r>
      <w:r w:rsidR="00130425">
        <w:rPr>
          <w:b/>
          <w:sz w:val="22"/>
          <w:szCs w:val="22"/>
          <w:lang w:val="en-US"/>
        </w:rPr>
        <w:t xml:space="preserve"> </w:t>
      </w:r>
      <w:r w:rsidRPr="005F1F80">
        <w:rPr>
          <w:b/>
          <w:sz w:val="22"/>
          <w:szCs w:val="22"/>
          <w:lang w:val="en-US"/>
        </w:rPr>
        <w:t xml:space="preserve">in </w:t>
      </w:r>
      <w:r w:rsidR="00130425">
        <w:rPr>
          <w:b/>
          <w:sz w:val="22"/>
          <w:szCs w:val="22"/>
          <w:lang w:val="en-US"/>
        </w:rPr>
        <w:t>caudate</w:t>
      </w:r>
      <w:r w:rsidRPr="005F1F80">
        <w:rPr>
          <w:b/>
          <w:bCs/>
          <w:sz w:val="22"/>
          <w:szCs w:val="22"/>
          <w:lang w:val="en-US"/>
        </w:rPr>
        <w:t>.</w:t>
      </w:r>
      <w:r>
        <w:rPr>
          <w:b/>
          <w:bCs/>
          <w:sz w:val="22"/>
          <w:szCs w:val="22"/>
          <w:lang w:val="en-US"/>
        </w:rPr>
        <w:t xml:space="preserve"> </w:t>
      </w:r>
      <w:r w:rsidRPr="005F1F80">
        <w:rPr>
          <w:sz w:val="22"/>
          <w:szCs w:val="22"/>
          <w:lang w:val="en-US"/>
        </w:rPr>
        <w:t>(</w:t>
      </w:r>
      <w:r w:rsidRPr="001E60FB">
        <w:rPr>
          <w:b/>
          <w:bCs/>
          <w:sz w:val="22"/>
          <w:szCs w:val="22"/>
          <w:lang w:val="en-US"/>
        </w:rPr>
        <w:t>a</w:t>
      </w:r>
      <w:r w:rsidRPr="005F1F80">
        <w:rPr>
          <w:sz w:val="22"/>
          <w:szCs w:val="22"/>
          <w:lang w:val="en-US"/>
        </w:rPr>
        <w:t xml:space="preserve">) Paired plot showing </w:t>
      </w:r>
      <w:r>
        <w:rPr>
          <w:sz w:val="22"/>
          <w:szCs w:val="22"/>
          <w:lang w:val="en-US"/>
        </w:rPr>
        <w:t>the non-displaceable binding potential (</w:t>
      </w:r>
      <w:r w:rsidRPr="005F1F80">
        <w:rPr>
          <w:sz w:val="22"/>
          <w:szCs w:val="22"/>
          <w:lang w:val="en-US"/>
        </w:rPr>
        <w:t>BPnd</w:t>
      </w:r>
      <w:r>
        <w:rPr>
          <w:sz w:val="22"/>
          <w:szCs w:val="22"/>
          <w:lang w:val="en-US"/>
        </w:rPr>
        <w:t>) of</w:t>
      </w:r>
      <w:r w:rsidRPr="008B55B7">
        <w:rPr>
          <w:sz w:val="22"/>
          <w:szCs w:val="22"/>
          <w:lang w:val="en-US"/>
        </w:rPr>
        <w:t xml:space="preserve"> </w:t>
      </w:r>
      <w:r w:rsidRPr="005F1F80">
        <w:rPr>
          <w:sz w:val="22"/>
          <w:szCs w:val="22"/>
          <w:lang w:val="en-US"/>
        </w:rPr>
        <w:t>[</w:t>
      </w:r>
      <w:r w:rsidRPr="005F1F80">
        <w:rPr>
          <w:sz w:val="22"/>
          <w:szCs w:val="22"/>
          <w:vertAlign w:val="superscript"/>
          <w:lang w:val="en-US"/>
        </w:rPr>
        <w:t>11</w:t>
      </w:r>
      <w:r w:rsidRPr="005F1F80">
        <w:rPr>
          <w:sz w:val="22"/>
          <w:szCs w:val="22"/>
          <w:lang w:val="en-US"/>
        </w:rPr>
        <w:t xml:space="preserve">C]raclopride in </w:t>
      </w:r>
      <w:r w:rsidR="00130425">
        <w:rPr>
          <w:sz w:val="22"/>
          <w:szCs w:val="22"/>
          <w:lang w:val="en-US"/>
        </w:rPr>
        <w:t>caudate</w:t>
      </w:r>
      <w:r w:rsidRPr="005F1F80">
        <w:rPr>
          <w:sz w:val="22"/>
          <w:szCs w:val="22"/>
          <w:lang w:val="en-US"/>
        </w:rPr>
        <w:t xml:space="preserve"> for methylphenidate (MP) and placebo (PL) sessions across 3</w:t>
      </w:r>
      <w:r>
        <w:rPr>
          <w:sz w:val="22"/>
          <w:szCs w:val="22"/>
          <w:lang w:val="en-US"/>
        </w:rPr>
        <w:t>8</w:t>
      </w:r>
      <w:r w:rsidRPr="005F1F80">
        <w:rPr>
          <w:sz w:val="22"/>
          <w:szCs w:val="22"/>
          <w:lang w:val="en-US"/>
        </w:rPr>
        <w:t xml:space="preserve"> healthy adults.</w:t>
      </w:r>
      <w:r>
        <w:rPr>
          <w:b/>
          <w:bCs/>
          <w:sz w:val="22"/>
          <w:szCs w:val="22"/>
          <w:lang w:val="en-US"/>
        </w:rPr>
        <w:t xml:space="preserve"> </w:t>
      </w:r>
      <w:r w:rsidRPr="005F1F80">
        <w:rPr>
          <w:sz w:val="22"/>
          <w:szCs w:val="22"/>
          <w:lang w:val="en-US"/>
        </w:rPr>
        <w:t>(</w:t>
      </w:r>
      <w:r w:rsidRPr="001E60FB">
        <w:rPr>
          <w:b/>
          <w:bCs/>
          <w:sz w:val="22"/>
          <w:szCs w:val="22"/>
          <w:lang w:val="en-US"/>
        </w:rPr>
        <w:t>b</w:t>
      </w:r>
      <w:r w:rsidRPr="005F1F80">
        <w:rPr>
          <w:sz w:val="22"/>
          <w:szCs w:val="22"/>
          <w:lang w:val="en-US"/>
        </w:rPr>
        <w:t>) Partial least squares (PLS) regression predicting D</w:t>
      </w:r>
      <w:r w:rsidR="00404502">
        <w:rPr>
          <w:sz w:val="22"/>
          <w:szCs w:val="22"/>
          <w:lang w:val="en-US"/>
        </w:rPr>
        <w:t>A</w:t>
      </w:r>
      <w:r w:rsidRPr="005F1F80">
        <w:rPr>
          <w:sz w:val="22"/>
          <w:szCs w:val="22"/>
          <w:lang w:val="en-US"/>
        </w:rPr>
        <w:t xml:space="preserve"> </w:t>
      </w:r>
      <w:r w:rsidR="00404502">
        <w:rPr>
          <w:sz w:val="22"/>
          <w:szCs w:val="22"/>
          <w:lang w:val="en-US"/>
        </w:rPr>
        <w:t>increases</w:t>
      </w:r>
      <w:r w:rsidRPr="005F1F80">
        <w:rPr>
          <w:sz w:val="22"/>
          <w:szCs w:val="22"/>
          <w:lang w:val="en-US"/>
        </w:rPr>
        <w:t xml:space="preserve"> in </w:t>
      </w:r>
      <w:r w:rsidR="00404502">
        <w:rPr>
          <w:sz w:val="22"/>
          <w:szCs w:val="22"/>
          <w:lang w:val="en-US"/>
        </w:rPr>
        <w:t>caudate</w:t>
      </w:r>
      <w:r w:rsidRPr="005F1F80">
        <w:rPr>
          <w:sz w:val="22"/>
          <w:szCs w:val="22"/>
          <w:lang w:val="en-US"/>
        </w:rPr>
        <w:t xml:space="preserve"> from the secondary gradient across 438 brain parcels</w:t>
      </w:r>
      <w:r>
        <w:rPr>
          <w:sz w:val="22"/>
          <w:szCs w:val="22"/>
          <w:lang w:val="en-US"/>
        </w:rPr>
        <w:t xml:space="preserve"> with 2 components</w:t>
      </w:r>
      <w:r w:rsidRPr="005F1F80">
        <w:rPr>
          <w:sz w:val="22"/>
          <w:szCs w:val="22"/>
          <w:lang w:val="en-US"/>
        </w:rPr>
        <w:t>.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D1 receptor availability in MP using the PLS model trained on PL, and (iv) the relationship between the measured metric and PLS factors for components 1 and 2. The bottom row shows the same metrics but with the model trained on MP and tested on PL.</w:t>
      </w:r>
      <w:r>
        <w:rPr>
          <w:b/>
          <w:bCs/>
          <w:sz w:val="22"/>
          <w:szCs w:val="22"/>
          <w:lang w:val="en-US"/>
        </w:rPr>
        <w:t xml:space="preserve"> (c) </w:t>
      </w:r>
      <w:r>
        <w:rPr>
          <w:sz w:val="22"/>
          <w:szCs w:val="22"/>
          <w:lang w:val="en-US"/>
        </w:rPr>
        <w:t>L</w:t>
      </w:r>
      <w:r w:rsidRPr="005F1F80">
        <w:rPr>
          <w:sz w:val="22"/>
          <w:szCs w:val="22"/>
          <w:lang w:val="en-US"/>
        </w:rPr>
        <w:t xml:space="preserve">oading patterns for components 1 and 2 </w:t>
      </w:r>
      <w:r>
        <w:rPr>
          <w:sz w:val="22"/>
          <w:szCs w:val="22"/>
          <w:lang w:val="en-US"/>
        </w:rPr>
        <w:t>of</w:t>
      </w:r>
      <w:r w:rsidRPr="005F1F80">
        <w:rPr>
          <w:sz w:val="22"/>
          <w:szCs w:val="22"/>
          <w:lang w:val="en-US"/>
        </w:rPr>
        <w:t xml:space="preserve"> the PLS model predicting D</w:t>
      </w:r>
      <w:r w:rsidR="00404502">
        <w:rPr>
          <w:sz w:val="22"/>
          <w:szCs w:val="22"/>
          <w:lang w:val="en-US"/>
        </w:rPr>
        <w:t>A</w:t>
      </w:r>
      <w:r w:rsidRPr="005F1F80">
        <w:rPr>
          <w:sz w:val="22"/>
          <w:szCs w:val="22"/>
          <w:lang w:val="en-US"/>
        </w:rPr>
        <w:t xml:space="preserve"> </w:t>
      </w:r>
      <w:r w:rsidR="00404502">
        <w:rPr>
          <w:sz w:val="22"/>
          <w:szCs w:val="22"/>
          <w:lang w:val="en-US"/>
        </w:rPr>
        <w:t>increases</w:t>
      </w:r>
      <w:r>
        <w:rPr>
          <w:sz w:val="22"/>
          <w:szCs w:val="22"/>
          <w:lang w:val="en-US"/>
        </w:rPr>
        <w:t xml:space="preserve"> from the secondary gradient corresponding to MP and PL sessions</w:t>
      </w:r>
      <w:r w:rsidRPr="005F1F80">
        <w:rPr>
          <w:sz w:val="22"/>
          <w:szCs w:val="22"/>
          <w:lang w:val="en-US"/>
        </w:rPr>
        <w:t>. Surface renderings depict lateral and medial views, and axial slices highlight subcortical structures associated with the PLS components.</w:t>
      </w:r>
    </w:p>
    <w:p w14:paraId="2E75FD2C" w14:textId="0833C1B8" w:rsidR="0034069A" w:rsidRDefault="00765BF7" w:rsidP="00857EA9">
      <w:pPr>
        <w:shd w:val="clear" w:color="auto" w:fill="FFFFFF"/>
        <w:spacing w:after="120" w:line="276" w:lineRule="auto"/>
        <w:jc w:val="center"/>
        <w:outlineLvl w:val="2"/>
        <w:rPr>
          <w:rFonts w:eastAsia="Times New Roman" w:cs="Segoe UI"/>
          <w:color w:val="222222"/>
          <w:kern w:val="0"/>
          <w:lang w:val="en-US"/>
          <w14:ligatures w14:val="none"/>
        </w:rPr>
      </w:pPr>
      <w:r>
        <w:rPr>
          <w:rFonts w:eastAsia="Times New Roman" w:cs="Segoe UI"/>
          <w:noProof/>
          <w:color w:val="222222"/>
          <w:kern w:val="0"/>
          <w:lang w:val="en-US"/>
        </w:rPr>
        <w:lastRenderedPageBreak/>
        <w:drawing>
          <wp:inline distT="0" distB="0" distL="0" distR="0" wp14:anchorId="449B70E2" wp14:editId="2E2837B4">
            <wp:extent cx="5637402" cy="6442659"/>
            <wp:effectExtent l="0" t="0" r="1905" b="0"/>
            <wp:docPr id="3610935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93586" name="Picture 361093586"/>
                    <pic:cNvPicPr/>
                  </pic:nvPicPr>
                  <pic:blipFill>
                    <a:blip r:embed="rId19"/>
                    <a:stretch>
                      <a:fillRect/>
                    </a:stretch>
                  </pic:blipFill>
                  <pic:spPr>
                    <a:xfrm>
                      <a:off x="0" y="0"/>
                      <a:ext cx="5642080" cy="6448005"/>
                    </a:xfrm>
                    <a:prstGeom prst="rect">
                      <a:avLst/>
                    </a:prstGeom>
                  </pic:spPr>
                </pic:pic>
              </a:graphicData>
            </a:graphic>
          </wp:inline>
        </w:drawing>
      </w:r>
    </w:p>
    <w:p w14:paraId="11EE6C8D" w14:textId="599406BF" w:rsidR="007537BA" w:rsidRDefault="007537BA" w:rsidP="00644E6F">
      <w:pPr>
        <w:shd w:val="clear" w:color="auto" w:fill="FFFFFF"/>
        <w:spacing w:after="120" w:line="276" w:lineRule="auto"/>
        <w:jc w:val="both"/>
        <w:outlineLvl w:val="2"/>
        <w:rPr>
          <w:rFonts w:eastAsia="Times New Roman" w:cs="Segoe UI"/>
          <w:color w:val="222222"/>
          <w:kern w:val="0"/>
          <w:lang w:val="en-US"/>
          <w14:ligatures w14:val="none"/>
        </w:rPr>
      </w:pPr>
    </w:p>
    <w:p w14:paraId="52D68E0F" w14:textId="0B617B50" w:rsidR="00765BF7" w:rsidRDefault="00765BF7" w:rsidP="00765BF7">
      <w:pPr>
        <w:shd w:val="clear" w:color="auto" w:fill="FFFFFF"/>
        <w:spacing w:after="120" w:line="276" w:lineRule="auto"/>
        <w:jc w:val="both"/>
        <w:outlineLvl w:val="2"/>
        <w:rPr>
          <w:rFonts w:eastAsia="Times New Roman" w:cs="Segoe UI"/>
          <w:color w:val="222222"/>
          <w:kern w:val="0"/>
          <w:lang w:val="en-US"/>
          <w14:ligatures w14:val="none"/>
        </w:rPr>
      </w:pPr>
      <w:r w:rsidRPr="00697FD2">
        <w:rPr>
          <w:b/>
          <w:bCs/>
          <w:sz w:val="22"/>
          <w:szCs w:val="22"/>
          <w:lang w:val="en-US"/>
        </w:rPr>
        <w:t>Figure S</w:t>
      </w:r>
      <w:r>
        <w:rPr>
          <w:b/>
          <w:bCs/>
          <w:sz w:val="22"/>
          <w:szCs w:val="22"/>
          <w:lang w:val="en-US"/>
        </w:rPr>
        <w:t>13</w:t>
      </w:r>
      <w:r w:rsidRPr="00697FD2">
        <w:rPr>
          <w:b/>
          <w:bCs/>
          <w:sz w:val="22"/>
          <w:szCs w:val="22"/>
          <w:lang w:val="en-US"/>
        </w:rPr>
        <w:t>:</w:t>
      </w:r>
      <w:r w:rsidRPr="00697FD2">
        <w:rPr>
          <w:sz w:val="22"/>
          <w:szCs w:val="22"/>
          <w:lang w:val="en-US"/>
        </w:rPr>
        <w:t xml:space="preserve"> </w:t>
      </w:r>
      <w:r w:rsidRPr="005F1F80">
        <w:rPr>
          <w:sz w:val="22"/>
          <w:szCs w:val="22"/>
          <w:lang w:val="en-US"/>
        </w:rPr>
        <w:t>Partial least squares (PLS) regression predicting D</w:t>
      </w:r>
      <w:r w:rsidR="00F03E08">
        <w:rPr>
          <w:sz w:val="22"/>
          <w:szCs w:val="22"/>
          <w:lang w:val="en-US"/>
        </w:rPr>
        <w:t>1R</w:t>
      </w:r>
      <w:r>
        <w:rPr>
          <w:sz w:val="22"/>
          <w:szCs w:val="22"/>
          <w:lang w:val="en-US"/>
        </w:rPr>
        <w:t xml:space="preserve"> </w:t>
      </w:r>
      <w:r w:rsidR="00F03E08">
        <w:rPr>
          <w:sz w:val="22"/>
          <w:szCs w:val="22"/>
          <w:lang w:val="en-US"/>
        </w:rPr>
        <w:t>(top) and D2R</w:t>
      </w:r>
      <w:r w:rsidRPr="005F1F80">
        <w:rPr>
          <w:sz w:val="22"/>
          <w:szCs w:val="22"/>
          <w:lang w:val="en-US"/>
        </w:rPr>
        <w:t xml:space="preserve"> </w:t>
      </w:r>
      <w:r w:rsidR="00F03E08">
        <w:rPr>
          <w:sz w:val="22"/>
          <w:szCs w:val="22"/>
          <w:lang w:val="en-US"/>
        </w:rPr>
        <w:t xml:space="preserve">(bottom) </w:t>
      </w:r>
      <w:r w:rsidRPr="005F1F80">
        <w:rPr>
          <w:sz w:val="22"/>
          <w:szCs w:val="22"/>
          <w:lang w:val="en-US"/>
        </w:rPr>
        <w:t xml:space="preserve">in </w:t>
      </w:r>
      <w:r w:rsidR="00F03E08">
        <w:rPr>
          <w:sz w:val="22"/>
          <w:szCs w:val="22"/>
          <w:lang w:val="en-US"/>
        </w:rPr>
        <w:t>caudate</w:t>
      </w:r>
      <w:r>
        <w:rPr>
          <w:sz w:val="22"/>
          <w:szCs w:val="22"/>
          <w:lang w:val="en-US"/>
        </w:rPr>
        <w:t xml:space="preserve"> </w:t>
      </w:r>
      <w:r w:rsidRPr="005F1F80">
        <w:rPr>
          <w:sz w:val="22"/>
          <w:szCs w:val="22"/>
          <w:lang w:val="en-US"/>
        </w:rPr>
        <w:t xml:space="preserve">from the </w:t>
      </w:r>
      <w:r w:rsidR="00246A84">
        <w:rPr>
          <w:sz w:val="22"/>
          <w:szCs w:val="22"/>
          <w:lang w:val="en-US"/>
        </w:rPr>
        <w:t>second</w:t>
      </w:r>
      <w:r w:rsidRPr="005F1F80">
        <w:rPr>
          <w:sz w:val="22"/>
          <w:szCs w:val="22"/>
          <w:lang w:val="en-US"/>
        </w:rPr>
        <w:t>ary gradient across 438 brain parcels.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w:t>
      </w:r>
      <w:r>
        <w:rPr>
          <w:sz w:val="22"/>
          <w:szCs w:val="22"/>
          <w:lang w:val="en-US"/>
        </w:rPr>
        <w:t>1</w:t>
      </w:r>
      <w:r w:rsidRPr="005F1F80">
        <w:rPr>
          <w:sz w:val="22"/>
          <w:szCs w:val="22"/>
          <w:lang w:val="en-US"/>
        </w:rPr>
        <w:t xml:space="preserve"> receptor availability in MP using the PLS model trained on PL, and (iv) the relationship between the measured metric and PLS factors for components 1 and 2. The bottom row shows the same metrics but with the model trained on MP and tested on PL.</w:t>
      </w:r>
    </w:p>
    <w:p w14:paraId="12BFC349" w14:textId="5F4E9BA6" w:rsidR="00F9378E" w:rsidRDefault="00F9378E" w:rsidP="00F9378E">
      <w:pPr>
        <w:shd w:val="clear" w:color="auto" w:fill="FFFFFF"/>
        <w:spacing w:after="120" w:line="276" w:lineRule="auto"/>
        <w:jc w:val="both"/>
        <w:outlineLvl w:val="2"/>
        <w:rPr>
          <w:rFonts w:eastAsia="Times New Roman" w:cs="Segoe UI"/>
          <w:color w:val="222222"/>
          <w:kern w:val="0"/>
          <w:lang w:val="en-US"/>
          <w14:ligatures w14:val="none"/>
        </w:rPr>
      </w:pPr>
      <w:r>
        <w:rPr>
          <w:noProof/>
          <w:color w:val="000000" w:themeColor="text1"/>
          <w:lang w:val="en-US"/>
        </w:rPr>
        <w:lastRenderedPageBreak/>
        <w:drawing>
          <wp:inline distT="0" distB="0" distL="0" distR="0" wp14:anchorId="6A217846" wp14:editId="660ECC7F">
            <wp:extent cx="5943600" cy="6792595"/>
            <wp:effectExtent l="0" t="0" r="0" b="1905"/>
            <wp:docPr id="2571615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61569" name="Picture 257161569"/>
                    <pic:cNvPicPr/>
                  </pic:nvPicPr>
                  <pic:blipFill>
                    <a:blip r:embed="rId20"/>
                    <a:stretch>
                      <a:fillRect/>
                    </a:stretch>
                  </pic:blipFill>
                  <pic:spPr>
                    <a:xfrm>
                      <a:off x="0" y="0"/>
                      <a:ext cx="5943600" cy="6792595"/>
                    </a:xfrm>
                    <a:prstGeom prst="rect">
                      <a:avLst/>
                    </a:prstGeom>
                  </pic:spPr>
                </pic:pic>
              </a:graphicData>
            </a:graphic>
          </wp:inline>
        </w:drawing>
      </w:r>
      <w:r w:rsidRPr="00697FD2">
        <w:rPr>
          <w:b/>
          <w:bCs/>
          <w:sz w:val="22"/>
          <w:szCs w:val="22"/>
          <w:lang w:val="en-US"/>
        </w:rPr>
        <w:t>Figure S</w:t>
      </w:r>
      <w:r>
        <w:rPr>
          <w:b/>
          <w:bCs/>
          <w:sz w:val="22"/>
          <w:szCs w:val="22"/>
          <w:lang w:val="en-US"/>
        </w:rPr>
        <w:t>14</w:t>
      </w:r>
      <w:r w:rsidRPr="00697FD2">
        <w:rPr>
          <w:b/>
          <w:bCs/>
          <w:sz w:val="22"/>
          <w:szCs w:val="22"/>
          <w:lang w:val="en-US"/>
        </w:rPr>
        <w:t>:</w:t>
      </w:r>
      <w:r w:rsidRPr="00697FD2">
        <w:rPr>
          <w:sz w:val="22"/>
          <w:szCs w:val="22"/>
          <w:lang w:val="en-US"/>
        </w:rPr>
        <w:t xml:space="preserve"> </w:t>
      </w:r>
      <w:r w:rsidRPr="005F1F80">
        <w:rPr>
          <w:sz w:val="22"/>
          <w:szCs w:val="22"/>
          <w:lang w:val="en-US"/>
        </w:rPr>
        <w:t>Partial least squares (PLS) regression predicting D</w:t>
      </w:r>
      <w:r>
        <w:rPr>
          <w:sz w:val="22"/>
          <w:szCs w:val="22"/>
          <w:lang w:val="en-US"/>
        </w:rPr>
        <w:t xml:space="preserve">2R </w:t>
      </w:r>
      <w:r w:rsidRPr="005F1F80">
        <w:rPr>
          <w:sz w:val="22"/>
          <w:szCs w:val="22"/>
          <w:lang w:val="en-US"/>
        </w:rPr>
        <w:t xml:space="preserve">in </w:t>
      </w:r>
      <w:r>
        <w:rPr>
          <w:sz w:val="22"/>
          <w:szCs w:val="22"/>
          <w:lang w:val="en-US"/>
        </w:rPr>
        <w:t>putamen</w:t>
      </w:r>
      <w:r w:rsidR="005A5566">
        <w:rPr>
          <w:sz w:val="22"/>
          <w:szCs w:val="22"/>
          <w:lang w:val="en-US"/>
        </w:rPr>
        <w:t xml:space="preserve"> (top) and nucleus accumbens (bottom) </w:t>
      </w:r>
      <w:r>
        <w:rPr>
          <w:sz w:val="22"/>
          <w:szCs w:val="22"/>
          <w:lang w:val="en-US"/>
        </w:rPr>
        <w:t xml:space="preserve"> </w:t>
      </w:r>
      <w:r w:rsidRPr="005F1F80">
        <w:rPr>
          <w:sz w:val="22"/>
          <w:szCs w:val="22"/>
          <w:lang w:val="en-US"/>
        </w:rPr>
        <w:t xml:space="preserve">from the </w:t>
      </w:r>
      <w:r>
        <w:rPr>
          <w:sz w:val="22"/>
          <w:szCs w:val="22"/>
          <w:lang w:val="en-US"/>
        </w:rPr>
        <w:t>second</w:t>
      </w:r>
      <w:r w:rsidRPr="005F1F80">
        <w:rPr>
          <w:sz w:val="22"/>
          <w:szCs w:val="22"/>
          <w:lang w:val="en-US"/>
        </w:rPr>
        <w:t>ary gradient across 438 brain parcels.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w:t>
      </w:r>
      <w:r>
        <w:rPr>
          <w:sz w:val="22"/>
          <w:szCs w:val="22"/>
          <w:lang w:val="en-US"/>
        </w:rPr>
        <w:t>1</w:t>
      </w:r>
      <w:r w:rsidRPr="005F1F80">
        <w:rPr>
          <w:sz w:val="22"/>
          <w:szCs w:val="22"/>
          <w:lang w:val="en-US"/>
        </w:rPr>
        <w:t xml:space="preserve"> receptor availability in MP using the PLS model trained on PL, and (iv) the relationship between the measured metric and PLS factors for components 1 and 2. The bottom row shows the same metrics but with the model trained on MP and tested on PL.</w:t>
      </w:r>
    </w:p>
    <w:p w14:paraId="165D7F1C" w14:textId="2DE88DFC" w:rsidR="008634FB" w:rsidRDefault="005A5566" w:rsidP="00857EA9">
      <w:pPr>
        <w:jc w:val="center"/>
        <w:rPr>
          <w:color w:val="000000" w:themeColor="text1"/>
          <w:lang w:val="en-US"/>
        </w:rPr>
      </w:pPr>
      <w:r>
        <w:rPr>
          <w:noProof/>
          <w:color w:val="000000" w:themeColor="text1"/>
          <w:lang w:val="en-US"/>
        </w:rPr>
        <w:lastRenderedPageBreak/>
        <w:drawing>
          <wp:inline distT="0" distB="0" distL="0" distR="0" wp14:anchorId="4D9BD350" wp14:editId="5CD359CF">
            <wp:extent cx="5788404" cy="6615231"/>
            <wp:effectExtent l="0" t="0" r="3175" b="1905"/>
            <wp:docPr id="21154091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09161" name="Picture 2115409161"/>
                    <pic:cNvPicPr/>
                  </pic:nvPicPr>
                  <pic:blipFill>
                    <a:blip r:embed="rId21"/>
                    <a:stretch>
                      <a:fillRect/>
                    </a:stretch>
                  </pic:blipFill>
                  <pic:spPr>
                    <a:xfrm>
                      <a:off x="0" y="0"/>
                      <a:ext cx="5794078" cy="6621715"/>
                    </a:xfrm>
                    <a:prstGeom prst="rect">
                      <a:avLst/>
                    </a:prstGeom>
                  </pic:spPr>
                </pic:pic>
              </a:graphicData>
            </a:graphic>
          </wp:inline>
        </w:drawing>
      </w:r>
    </w:p>
    <w:p w14:paraId="54E35B14" w14:textId="6B7241B4" w:rsidR="005A5566" w:rsidRDefault="005A5566" w:rsidP="005A5566">
      <w:pPr>
        <w:shd w:val="clear" w:color="auto" w:fill="FFFFFF"/>
        <w:spacing w:after="120" w:line="276" w:lineRule="auto"/>
        <w:jc w:val="both"/>
        <w:outlineLvl w:val="2"/>
        <w:rPr>
          <w:sz w:val="22"/>
          <w:szCs w:val="22"/>
          <w:lang w:val="en-US"/>
        </w:rPr>
      </w:pPr>
      <w:r w:rsidRPr="00697FD2">
        <w:rPr>
          <w:b/>
          <w:bCs/>
          <w:sz w:val="22"/>
          <w:szCs w:val="22"/>
          <w:lang w:val="en-US"/>
        </w:rPr>
        <w:t>Figure S</w:t>
      </w:r>
      <w:r>
        <w:rPr>
          <w:b/>
          <w:bCs/>
          <w:sz w:val="22"/>
          <w:szCs w:val="22"/>
          <w:lang w:val="en-US"/>
        </w:rPr>
        <w:t>15</w:t>
      </w:r>
      <w:r w:rsidRPr="00697FD2">
        <w:rPr>
          <w:b/>
          <w:bCs/>
          <w:sz w:val="22"/>
          <w:szCs w:val="22"/>
          <w:lang w:val="en-US"/>
        </w:rPr>
        <w:t>:</w:t>
      </w:r>
      <w:r w:rsidRPr="00697FD2">
        <w:rPr>
          <w:sz w:val="22"/>
          <w:szCs w:val="22"/>
          <w:lang w:val="en-US"/>
        </w:rPr>
        <w:t xml:space="preserve"> </w:t>
      </w:r>
      <w:r w:rsidRPr="005F1F80">
        <w:rPr>
          <w:sz w:val="22"/>
          <w:szCs w:val="22"/>
          <w:lang w:val="en-US"/>
        </w:rPr>
        <w:t xml:space="preserve">Partial least squares (PLS) regression predicting </w:t>
      </w:r>
      <w:r w:rsidR="0072269D">
        <w:rPr>
          <w:sz w:val="22"/>
          <w:szCs w:val="22"/>
          <w:lang w:val="en-US"/>
        </w:rPr>
        <w:t>DA increases</w:t>
      </w:r>
      <w:r>
        <w:rPr>
          <w:sz w:val="22"/>
          <w:szCs w:val="22"/>
          <w:lang w:val="en-US"/>
        </w:rPr>
        <w:t xml:space="preserve"> </w:t>
      </w:r>
      <w:r w:rsidRPr="005F1F80">
        <w:rPr>
          <w:sz w:val="22"/>
          <w:szCs w:val="22"/>
          <w:lang w:val="en-US"/>
        </w:rPr>
        <w:t xml:space="preserve">in </w:t>
      </w:r>
      <w:r>
        <w:rPr>
          <w:sz w:val="22"/>
          <w:szCs w:val="22"/>
          <w:lang w:val="en-US"/>
        </w:rPr>
        <w:t xml:space="preserve">putamen (top) and nucleus accumbens (bottom)  </w:t>
      </w:r>
      <w:r w:rsidRPr="005F1F80">
        <w:rPr>
          <w:sz w:val="22"/>
          <w:szCs w:val="22"/>
          <w:lang w:val="en-US"/>
        </w:rPr>
        <w:t xml:space="preserve">from the </w:t>
      </w:r>
      <w:r>
        <w:rPr>
          <w:sz w:val="22"/>
          <w:szCs w:val="22"/>
          <w:lang w:val="en-US"/>
        </w:rPr>
        <w:t>second</w:t>
      </w:r>
      <w:r w:rsidRPr="005F1F80">
        <w:rPr>
          <w:sz w:val="22"/>
          <w:szCs w:val="22"/>
          <w:lang w:val="en-US"/>
        </w:rPr>
        <w:t>ary gradient across 438 brain parcels.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w:t>
      </w:r>
      <w:r>
        <w:rPr>
          <w:sz w:val="22"/>
          <w:szCs w:val="22"/>
          <w:lang w:val="en-US"/>
        </w:rPr>
        <w:t>1</w:t>
      </w:r>
      <w:r w:rsidRPr="005F1F80">
        <w:rPr>
          <w:sz w:val="22"/>
          <w:szCs w:val="22"/>
          <w:lang w:val="en-US"/>
        </w:rPr>
        <w:t xml:space="preserve"> receptor availability in MP using the PLS model trained on PL, and (iv) the relationship between the measured metric and PLS factors for components 1 and 2. The bottom row shows the same metrics but with the model trained on MP and tested on PL.</w:t>
      </w:r>
    </w:p>
    <w:p w14:paraId="587A530C" w14:textId="18458E80" w:rsidR="005A5566" w:rsidRDefault="0072269D" w:rsidP="0072269D">
      <w:pPr>
        <w:shd w:val="clear" w:color="auto" w:fill="FFFFFF"/>
        <w:spacing w:after="120" w:line="276" w:lineRule="auto"/>
        <w:jc w:val="both"/>
        <w:outlineLvl w:val="2"/>
        <w:rPr>
          <w:sz w:val="22"/>
          <w:szCs w:val="22"/>
          <w:lang w:val="en-US"/>
        </w:rPr>
      </w:pPr>
      <w:r>
        <w:rPr>
          <w:sz w:val="22"/>
          <w:szCs w:val="22"/>
          <w:lang w:val="en-US"/>
        </w:rPr>
        <w:lastRenderedPageBreak/>
        <w:tab/>
      </w:r>
      <w:r>
        <w:rPr>
          <w:rFonts w:eastAsia="Times New Roman" w:cs="Segoe UI"/>
          <w:noProof/>
          <w:color w:val="222222"/>
          <w:kern w:val="0"/>
          <w:lang w:val="en-US"/>
        </w:rPr>
        <w:drawing>
          <wp:inline distT="0" distB="0" distL="0" distR="0" wp14:anchorId="24E0A170" wp14:editId="7161869D">
            <wp:extent cx="5943600" cy="3365500"/>
            <wp:effectExtent l="0" t="0" r="0" b="0"/>
            <wp:docPr id="9817072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707292" name="Picture 981707292"/>
                    <pic:cNvPicPr/>
                  </pic:nvPicPr>
                  <pic:blipFill rotWithShape="1">
                    <a:blip r:embed="rId22"/>
                    <a:srcRect b="50453"/>
                    <a:stretch/>
                  </pic:blipFill>
                  <pic:spPr bwMode="auto">
                    <a:xfrm>
                      <a:off x="0" y="0"/>
                      <a:ext cx="5943600" cy="3365500"/>
                    </a:xfrm>
                    <a:prstGeom prst="rect">
                      <a:avLst/>
                    </a:prstGeom>
                    <a:ln>
                      <a:noFill/>
                    </a:ln>
                    <a:extLst>
                      <a:ext uri="{53640926-AAD7-44D8-BBD7-CCE9431645EC}">
                        <a14:shadowObscured xmlns:a14="http://schemas.microsoft.com/office/drawing/2010/main"/>
                      </a:ext>
                    </a:extLst>
                  </pic:spPr>
                </pic:pic>
              </a:graphicData>
            </a:graphic>
          </wp:inline>
        </w:drawing>
      </w:r>
      <w:r w:rsidRPr="00697FD2">
        <w:rPr>
          <w:b/>
          <w:bCs/>
          <w:sz w:val="22"/>
          <w:szCs w:val="22"/>
          <w:lang w:val="en-US"/>
        </w:rPr>
        <w:t>Figure S</w:t>
      </w:r>
      <w:r>
        <w:rPr>
          <w:b/>
          <w:bCs/>
          <w:sz w:val="22"/>
          <w:szCs w:val="22"/>
          <w:lang w:val="en-US"/>
        </w:rPr>
        <w:t>16</w:t>
      </w:r>
      <w:r w:rsidRPr="00697FD2">
        <w:rPr>
          <w:b/>
          <w:bCs/>
          <w:sz w:val="22"/>
          <w:szCs w:val="22"/>
          <w:lang w:val="en-US"/>
        </w:rPr>
        <w:t>:</w:t>
      </w:r>
      <w:r w:rsidRPr="00697FD2">
        <w:rPr>
          <w:sz w:val="22"/>
          <w:szCs w:val="22"/>
          <w:lang w:val="en-US"/>
        </w:rPr>
        <w:t xml:space="preserve"> </w:t>
      </w:r>
      <w:r w:rsidRPr="005F1F80">
        <w:rPr>
          <w:sz w:val="22"/>
          <w:szCs w:val="22"/>
          <w:lang w:val="en-US"/>
        </w:rPr>
        <w:t xml:space="preserve">Partial least squares (PLS) regression predicting </w:t>
      </w:r>
      <w:r>
        <w:rPr>
          <w:sz w:val="22"/>
          <w:szCs w:val="22"/>
          <w:lang w:val="en-US"/>
        </w:rPr>
        <w:t xml:space="preserve">DA increases </w:t>
      </w:r>
      <w:r w:rsidRPr="005F1F80">
        <w:rPr>
          <w:sz w:val="22"/>
          <w:szCs w:val="22"/>
          <w:lang w:val="en-US"/>
        </w:rPr>
        <w:t xml:space="preserve">in </w:t>
      </w:r>
      <w:r>
        <w:rPr>
          <w:sz w:val="22"/>
          <w:szCs w:val="22"/>
          <w:lang w:val="en-US"/>
        </w:rPr>
        <w:t xml:space="preserve">caudate </w:t>
      </w:r>
      <w:r w:rsidRPr="005F1F80">
        <w:rPr>
          <w:sz w:val="22"/>
          <w:szCs w:val="22"/>
          <w:lang w:val="en-US"/>
        </w:rPr>
        <w:t xml:space="preserve">from the </w:t>
      </w:r>
      <w:r>
        <w:rPr>
          <w:sz w:val="22"/>
          <w:szCs w:val="22"/>
          <w:lang w:val="en-US"/>
        </w:rPr>
        <w:t>second</w:t>
      </w:r>
      <w:r w:rsidRPr="005F1F80">
        <w:rPr>
          <w:sz w:val="22"/>
          <w:szCs w:val="22"/>
          <w:lang w:val="en-US"/>
        </w:rPr>
        <w:t>ary gradient across 438 brain parcels. The top row includes: (</w:t>
      </w:r>
      <w:proofErr w:type="spellStart"/>
      <w:r w:rsidRPr="005F1F80">
        <w:rPr>
          <w:sz w:val="22"/>
          <w:szCs w:val="22"/>
          <w:lang w:val="en-US"/>
        </w:rPr>
        <w:t>i</w:t>
      </w:r>
      <w:proofErr w:type="spellEnd"/>
      <w:r w:rsidRPr="005F1F80">
        <w:rPr>
          <w:sz w:val="22"/>
          <w:szCs w:val="22"/>
          <w:lang w:val="en-US"/>
        </w:rPr>
        <w:t>) explained variance by PLS components, (ii) fitted values from leave-one-out cross-validation (LOO-CV) versus measured values for the PL session, (iii) predicted D</w:t>
      </w:r>
      <w:r>
        <w:rPr>
          <w:sz w:val="22"/>
          <w:szCs w:val="22"/>
          <w:lang w:val="en-US"/>
        </w:rPr>
        <w:t>1</w:t>
      </w:r>
      <w:r w:rsidRPr="005F1F80">
        <w:rPr>
          <w:sz w:val="22"/>
          <w:szCs w:val="22"/>
          <w:lang w:val="en-US"/>
        </w:rPr>
        <w:t xml:space="preserve"> receptor availability in MP using the PLS model trained on PL, and (iv) the relationship between the measured metric and PLS factors for components 1 and 2. The bottom row shows the same metrics but with the model trained on MP and tested on PL</w:t>
      </w:r>
    </w:p>
    <w:p w14:paraId="3DCF0275" w14:textId="77777777" w:rsidR="00857EA9" w:rsidRDefault="00857EA9" w:rsidP="0072269D">
      <w:pPr>
        <w:shd w:val="clear" w:color="auto" w:fill="FFFFFF"/>
        <w:spacing w:after="120" w:line="276" w:lineRule="auto"/>
        <w:jc w:val="both"/>
        <w:outlineLvl w:val="2"/>
        <w:rPr>
          <w:sz w:val="22"/>
          <w:szCs w:val="22"/>
          <w:lang w:val="en-US"/>
        </w:rPr>
      </w:pPr>
    </w:p>
    <w:p w14:paraId="51AF4DC5" w14:textId="77777777" w:rsidR="00857EA9" w:rsidRDefault="00857EA9" w:rsidP="0072269D">
      <w:pPr>
        <w:shd w:val="clear" w:color="auto" w:fill="FFFFFF"/>
        <w:spacing w:after="120" w:line="276" w:lineRule="auto"/>
        <w:jc w:val="both"/>
        <w:outlineLvl w:val="2"/>
        <w:rPr>
          <w:sz w:val="22"/>
          <w:szCs w:val="22"/>
          <w:lang w:val="en-US"/>
        </w:rPr>
      </w:pPr>
    </w:p>
    <w:p w14:paraId="74F68F90" w14:textId="77777777" w:rsidR="00857EA9" w:rsidRPr="0072269D" w:rsidRDefault="00857EA9" w:rsidP="0072269D">
      <w:pPr>
        <w:shd w:val="clear" w:color="auto" w:fill="FFFFFF"/>
        <w:spacing w:after="120" w:line="276" w:lineRule="auto"/>
        <w:jc w:val="both"/>
        <w:outlineLvl w:val="2"/>
        <w:rPr>
          <w:rFonts w:eastAsia="Times New Roman" w:cs="Segoe UI"/>
          <w:color w:val="222222"/>
          <w:kern w:val="0"/>
          <w:lang w:val="en-US"/>
          <w14:ligatures w14:val="none"/>
        </w:rPr>
      </w:pPr>
    </w:p>
    <w:p w14:paraId="1580AB7C" w14:textId="7D968613" w:rsidR="005A5566" w:rsidRDefault="005A5566" w:rsidP="00934DC3">
      <w:pPr>
        <w:rPr>
          <w:color w:val="000000" w:themeColor="text1"/>
          <w:lang w:val="en-US"/>
        </w:rPr>
      </w:pPr>
      <w:r>
        <w:rPr>
          <w:color w:val="000000" w:themeColor="text1"/>
          <w:lang w:val="en-US"/>
        </w:rPr>
        <w:lastRenderedPageBreak/>
        <w:tab/>
      </w:r>
      <w:r w:rsidR="00CE46D2">
        <w:rPr>
          <w:rFonts w:eastAsia="Times New Roman" w:cs="Segoe UI"/>
          <w:b/>
          <w:bCs/>
          <w:noProof/>
          <w:color w:val="222222"/>
          <w:kern w:val="0"/>
          <w:lang w:val="en-US"/>
          <w14:ligatures w14:val="none"/>
        </w:rPr>
        <w:drawing>
          <wp:inline distT="0" distB="0" distL="0" distR="0" wp14:anchorId="12A2896E" wp14:editId="577B1F06">
            <wp:extent cx="4192989" cy="2695492"/>
            <wp:effectExtent l="0" t="0" r="0" b="0"/>
            <wp:docPr id="1508272820" name="Picture 1"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72820" name="Picture 1" descr="Graphical user interface&#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289589" cy="2757592"/>
                    </a:xfrm>
                    <a:prstGeom prst="rect">
                      <a:avLst/>
                    </a:prstGeom>
                    <a:noFill/>
                    <a:ln>
                      <a:noFill/>
                    </a:ln>
                  </pic:spPr>
                </pic:pic>
              </a:graphicData>
            </a:graphic>
          </wp:inline>
        </w:drawing>
      </w:r>
    </w:p>
    <w:p w14:paraId="4503E700" w14:textId="253287BB" w:rsidR="00130A1B" w:rsidRPr="00A45FC0" w:rsidRDefault="00130A1B" w:rsidP="00130A1B">
      <w:pPr>
        <w:shd w:val="clear" w:color="auto" w:fill="FFFFFF"/>
        <w:spacing w:after="120" w:line="240" w:lineRule="auto"/>
        <w:jc w:val="both"/>
        <w:outlineLvl w:val="2"/>
        <w:rPr>
          <w:rFonts w:eastAsia="Times New Roman" w:cs="Segoe UI"/>
          <w:color w:val="222222"/>
          <w:kern w:val="0"/>
          <w:sz w:val="20"/>
          <w:szCs w:val="20"/>
          <w:lang w:val="en-US"/>
          <w14:ligatures w14:val="none"/>
        </w:rPr>
      </w:pPr>
      <w:r w:rsidRPr="00A45FC0">
        <w:rPr>
          <w:rFonts w:eastAsia="Times New Roman" w:cs="Segoe UI"/>
          <w:b/>
          <w:bCs/>
          <w:color w:val="222222"/>
          <w:kern w:val="0"/>
          <w:sz w:val="20"/>
          <w:szCs w:val="20"/>
          <w:lang w:val="en-US"/>
          <w14:ligatures w14:val="none"/>
        </w:rPr>
        <w:t xml:space="preserve">Figure </w:t>
      </w:r>
      <w:r>
        <w:rPr>
          <w:rFonts w:eastAsia="Times New Roman" w:cs="Segoe UI"/>
          <w:b/>
          <w:bCs/>
          <w:color w:val="222222"/>
          <w:kern w:val="0"/>
          <w:sz w:val="20"/>
          <w:szCs w:val="20"/>
          <w:lang w:val="en-US"/>
          <w14:ligatures w14:val="none"/>
        </w:rPr>
        <w:t>S17</w:t>
      </w:r>
      <w:r w:rsidRPr="00A45FC0">
        <w:rPr>
          <w:rFonts w:eastAsia="Times New Roman" w:cs="Segoe UI"/>
          <w:b/>
          <w:bCs/>
          <w:color w:val="222222"/>
          <w:kern w:val="0"/>
          <w:sz w:val="20"/>
          <w:szCs w:val="20"/>
          <w:lang w:val="en-US"/>
          <w14:ligatures w14:val="none"/>
        </w:rPr>
        <w:t xml:space="preserve">: Association between </w:t>
      </w:r>
      <w:r>
        <w:rPr>
          <w:rFonts w:eastAsia="Times New Roman" w:cs="Segoe UI"/>
          <w:b/>
          <w:bCs/>
          <w:color w:val="222222"/>
          <w:kern w:val="0"/>
          <w:sz w:val="20"/>
          <w:szCs w:val="20"/>
          <w:lang w:val="en-US"/>
          <w14:ligatures w14:val="none"/>
        </w:rPr>
        <w:t>principal gradient</w:t>
      </w:r>
      <w:r w:rsidRPr="00A45FC0">
        <w:rPr>
          <w:rFonts w:eastAsia="Times New Roman" w:cs="Segoe UI"/>
          <w:b/>
          <w:bCs/>
          <w:color w:val="222222"/>
          <w:kern w:val="0"/>
          <w:sz w:val="20"/>
          <w:szCs w:val="20"/>
          <w:lang w:val="en-US"/>
          <w14:ligatures w14:val="none"/>
        </w:rPr>
        <w:t xml:space="preserve"> shifts and NET density. </w:t>
      </w:r>
      <w:r w:rsidRPr="00A45FC0">
        <w:rPr>
          <w:rFonts w:eastAsia="Times New Roman" w:cs="Segoe UI"/>
          <w:color w:val="222222"/>
          <w:kern w:val="0"/>
          <w:sz w:val="20"/>
          <w:szCs w:val="20"/>
          <w:lang w:val="en-US"/>
          <w14:ligatures w14:val="none"/>
        </w:rPr>
        <w:t>(</w:t>
      </w:r>
      <w:r w:rsidRPr="00A45FC0">
        <w:rPr>
          <w:rFonts w:eastAsia="Times New Roman" w:cs="Segoe UI"/>
          <w:b/>
          <w:bCs/>
          <w:color w:val="222222"/>
          <w:kern w:val="0"/>
          <w:sz w:val="20"/>
          <w:szCs w:val="20"/>
          <w:lang w:val="en-US"/>
          <w14:ligatures w14:val="none"/>
        </w:rPr>
        <w:t>a</w:t>
      </w:r>
      <w:r w:rsidRPr="00A45FC0">
        <w:rPr>
          <w:rFonts w:eastAsia="Times New Roman" w:cs="Segoe UI"/>
          <w:color w:val="222222"/>
          <w:kern w:val="0"/>
          <w:sz w:val="20"/>
          <w:szCs w:val="20"/>
          <w:lang w:val="en-US"/>
          <w14:ligatures w14:val="none"/>
        </w:rPr>
        <w:t xml:space="preserve">) Cortical surface maps </w:t>
      </w:r>
      <w:r>
        <w:rPr>
          <w:rFonts w:eastAsia="Times New Roman" w:cs="Segoe UI"/>
          <w:color w:val="222222"/>
          <w:kern w:val="0"/>
          <w:sz w:val="20"/>
          <w:szCs w:val="20"/>
          <w:lang w:val="en-US"/>
          <w14:ligatures w14:val="none"/>
        </w:rPr>
        <w:t>showing</w:t>
      </w:r>
      <w:r w:rsidRPr="00A45FC0">
        <w:rPr>
          <w:rFonts w:eastAsia="Times New Roman" w:cs="Segoe UI"/>
          <w:color w:val="222222"/>
          <w:kern w:val="0"/>
          <w:sz w:val="20"/>
          <w:szCs w:val="20"/>
          <w:lang w:val="en-US"/>
          <w14:ligatures w14:val="none"/>
        </w:rPr>
        <w:t xml:space="preserve"> the </w:t>
      </w:r>
      <w:r>
        <w:rPr>
          <w:rFonts w:eastAsia="Times New Roman" w:cs="Segoe UI"/>
          <w:color w:val="222222"/>
          <w:kern w:val="0"/>
          <w:sz w:val="20"/>
          <w:szCs w:val="20"/>
          <w:lang w:val="en-US"/>
          <w14:ligatures w14:val="none"/>
        </w:rPr>
        <w:t xml:space="preserve">statistical </w:t>
      </w:r>
      <w:r w:rsidRPr="00A45FC0">
        <w:rPr>
          <w:rFonts w:eastAsia="Times New Roman" w:cs="Segoe UI"/>
          <w:color w:val="222222"/>
          <w:kern w:val="0"/>
          <w:sz w:val="20"/>
          <w:szCs w:val="20"/>
          <w:lang w:val="en-US"/>
          <w14:ligatures w14:val="none"/>
        </w:rPr>
        <w:t>difference</w:t>
      </w:r>
      <w:r>
        <w:rPr>
          <w:rFonts w:eastAsia="Times New Roman" w:cs="Segoe UI"/>
          <w:color w:val="222222"/>
          <w:kern w:val="0"/>
          <w:sz w:val="20"/>
          <w:szCs w:val="20"/>
          <w:lang w:val="en-US"/>
          <w14:ligatures w14:val="none"/>
        </w:rPr>
        <w:t>s (t-score)</w:t>
      </w:r>
      <w:r w:rsidRPr="00A45FC0">
        <w:rPr>
          <w:rFonts w:eastAsia="Times New Roman" w:cs="Segoe UI"/>
          <w:color w:val="222222"/>
          <w:kern w:val="0"/>
          <w:sz w:val="20"/>
          <w:szCs w:val="20"/>
          <w:lang w:val="en-US"/>
          <w14:ligatures w14:val="none"/>
        </w:rPr>
        <w:t xml:space="preserve"> in the </w:t>
      </w:r>
      <w:r>
        <w:rPr>
          <w:rFonts w:eastAsia="Times New Roman" w:cs="Segoe UI"/>
          <w:color w:val="222222"/>
          <w:kern w:val="0"/>
          <w:sz w:val="20"/>
          <w:szCs w:val="20"/>
          <w:lang w:val="en-US"/>
          <w14:ligatures w14:val="none"/>
        </w:rPr>
        <w:t>principal</w:t>
      </w:r>
      <w:r w:rsidRPr="00A45FC0">
        <w:rPr>
          <w:rFonts w:eastAsia="Times New Roman" w:cs="Segoe UI"/>
          <w:color w:val="222222"/>
          <w:kern w:val="0"/>
          <w:sz w:val="20"/>
          <w:szCs w:val="20"/>
          <w:lang w:val="en-US"/>
          <w14:ligatures w14:val="none"/>
        </w:rPr>
        <w:t xml:space="preserve"> functional connectivity gradient</w:t>
      </w:r>
      <w:r>
        <w:rPr>
          <w:rFonts w:eastAsia="Times New Roman" w:cs="Segoe UI"/>
          <w:color w:val="222222"/>
          <w:kern w:val="0"/>
          <w:sz w:val="20"/>
          <w:szCs w:val="20"/>
          <w:lang w:val="en-US"/>
          <w14:ligatures w14:val="none"/>
        </w:rPr>
        <w:t xml:space="preserve"> between methylphenidate (MP) and placebo (PL)</w:t>
      </w:r>
      <w:r w:rsidRPr="00A45FC0">
        <w:rPr>
          <w:rFonts w:eastAsia="Times New Roman" w:cs="Segoe UI"/>
          <w:color w:val="222222"/>
          <w:kern w:val="0"/>
          <w:sz w:val="20"/>
          <w:szCs w:val="20"/>
          <w:lang w:val="en-US"/>
          <w14:ligatures w14:val="none"/>
        </w:rPr>
        <w:t xml:space="preserve">, displayed on lateral </w:t>
      </w:r>
      <w:r>
        <w:rPr>
          <w:rFonts w:eastAsia="Times New Roman" w:cs="Segoe UI"/>
          <w:color w:val="222222"/>
          <w:kern w:val="0"/>
          <w:sz w:val="20"/>
          <w:szCs w:val="20"/>
          <w:lang w:val="en-US"/>
          <w14:ligatures w14:val="none"/>
        </w:rPr>
        <w:t xml:space="preserve">(top) </w:t>
      </w:r>
      <w:r w:rsidRPr="00A45FC0">
        <w:rPr>
          <w:rFonts w:eastAsia="Times New Roman" w:cs="Segoe UI"/>
          <w:color w:val="222222"/>
          <w:kern w:val="0"/>
          <w:sz w:val="20"/>
          <w:szCs w:val="20"/>
          <w:lang w:val="en-US"/>
          <w14:ligatures w14:val="none"/>
        </w:rPr>
        <w:t>and medial views of the left hemisphere. (</w:t>
      </w:r>
      <w:r w:rsidRPr="008F6255">
        <w:rPr>
          <w:rFonts w:eastAsia="Times New Roman" w:cs="Segoe UI"/>
          <w:b/>
          <w:color w:val="222222"/>
          <w:kern w:val="0"/>
          <w:sz w:val="20"/>
          <w:szCs w:val="20"/>
          <w:lang w:val="en-US"/>
          <w14:ligatures w14:val="none"/>
        </w:rPr>
        <w:t>b</w:t>
      </w:r>
      <w:r w:rsidRPr="00A45FC0">
        <w:rPr>
          <w:rFonts w:eastAsia="Times New Roman" w:cs="Segoe UI"/>
          <w:color w:val="222222"/>
          <w:kern w:val="0"/>
          <w:sz w:val="20"/>
          <w:szCs w:val="20"/>
          <w:lang w:val="en-US"/>
          <w14:ligatures w14:val="none"/>
        </w:rPr>
        <w:t>)</w:t>
      </w:r>
      <w:r>
        <w:rPr>
          <w:rFonts w:eastAsia="Times New Roman" w:cs="Segoe UI"/>
          <w:color w:val="222222"/>
          <w:kern w:val="0"/>
          <w:sz w:val="20"/>
          <w:szCs w:val="20"/>
          <w:lang w:val="en-US"/>
          <w14:ligatures w14:val="none"/>
        </w:rPr>
        <w:t xml:space="preserve"> R</w:t>
      </w:r>
      <w:r w:rsidRPr="00A45FC0">
        <w:rPr>
          <w:rFonts w:eastAsia="Times New Roman" w:cs="Segoe UI"/>
          <w:color w:val="222222"/>
          <w:kern w:val="0"/>
          <w:sz w:val="20"/>
          <w:szCs w:val="20"/>
          <w:lang w:val="en-US"/>
          <w14:ligatures w14:val="none"/>
        </w:rPr>
        <w:t xml:space="preserve">egional norepinephrine transporter (NET) density map derived from PET data, displayed on corresponding cortical views. </w:t>
      </w:r>
      <w:r>
        <w:rPr>
          <w:rFonts w:eastAsia="Times New Roman" w:cs="Segoe UI"/>
          <w:color w:val="222222"/>
          <w:kern w:val="0"/>
          <w:sz w:val="20"/>
          <w:szCs w:val="20"/>
          <w:lang w:val="en-US"/>
          <w14:ligatures w14:val="none"/>
        </w:rPr>
        <w:t>The n</w:t>
      </w:r>
      <w:r w:rsidRPr="00A45FC0">
        <w:rPr>
          <w:rFonts w:eastAsia="Times New Roman" w:cs="Segoe UI"/>
          <w:color w:val="222222"/>
          <w:kern w:val="0"/>
          <w:sz w:val="20"/>
          <w:szCs w:val="20"/>
          <w:lang w:val="en-US"/>
          <w14:ligatures w14:val="none"/>
        </w:rPr>
        <w:t xml:space="preserve">ull distribution of spatial correlation coefficients </w:t>
      </w:r>
      <w:r>
        <w:rPr>
          <w:rFonts w:eastAsia="Times New Roman" w:cs="Segoe UI"/>
          <w:color w:val="222222"/>
          <w:kern w:val="0"/>
          <w:sz w:val="20"/>
          <w:szCs w:val="20"/>
          <w:lang w:val="en-US"/>
          <w14:ligatures w14:val="none"/>
        </w:rPr>
        <w:t xml:space="preserve">was </w:t>
      </w:r>
      <w:r w:rsidRPr="00A45FC0">
        <w:rPr>
          <w:rFonts w:eastAsia="Times New Roman" w:cs="Segoe UI"/>
          <w:color w:val="222222"/>
          <w:kern w:val="0"/>
          <w:sz w:val="20"/>
          <w:szCs w:val="20"/>
          <w:lang w:val="en-US"/>
          <w14:ligatures w14:val="none"/>
        </w:rPr>
        <w:t>generated via spin test (</w:t>
      </w:r>
      <w:r>
        <w:rPr>
          <w:rFonts w:eastAsia="Times New Roman" w:cs="Segoe UI"/>
          <w:color w:val="222222"/>
          <w:kern w:val="0"/>
          <w:sz w:val="20"/>
          <w:szCs w:val="20"/>
          <w:lang w:val="en-US"/>
          <w14:ligatures w14:val="none"/>
        </w:rPr>
        <w:t>10</w:t>
      </w:r>
      <w:r w:rsidRPr="00A45FC0">
        <w:rPr>
          <w:rFonts w:eastAsia="Times New Roman" w:cs="Segoe UI"/>
          <w:color w:val="222222"/>
          <w:kern w:val="0"/>
          <w:sz w:val="20"/>
          <w:szCs w:val="20"/>
          <w:lang w:val="en-US"/>
          <w14:ligatures w14:val="none"/>
        </w:rPr>
        <w:t xml:space="preserve">,000 permutations). The observed empirical correlation between </w:t>
      </w:r>
      <w:r>
        <w:rPr>
          <w:rFonts w:eastAsia="Times New Roman" w:cs="Segoe UI"/>
          <w:color w:val="222222"/>
          <w:kern w:val="0"/>
          <w:sz w:val="20"/>
          <w:szCs w:val="20"/>
          <w:lang w:val="en-US"/>
          <w14:ligatures w14:val="none"/>
        </w:rPr>
        <w:t>principal gradient</w:t>
      </w:r>
      <w:r w:rsidRPr="00A45FC0">
        <w:rPr>
          <w:rFonts w:eastAsia="Times New Roman" w:cs="Segoe UI"/>
          <w:color w:val="222222"/>
          <w:kern w:val="0"/>
          <w:sz w:val="20"/>
          <w:szCs w:val="20"/>
          <w:lang w:val="en-US"/>
          <w14:ligatures w14:val="none"/>
        </w:rPr>
        <w:t xml:space="preserve"> shifts</w:t>
      </w:r>
      <w:r>
        <w:rPr>
          <w:rFonts w:eastAsia="Times New Roman" w:cs="Segoe UI"/>
          <w:color w:val="222222"/>
          <w:kern w:val="0"/>
          <w:sz w:val="20"/>
          <w:szCs w:val="20"/>
          <w:lang w:val="en-US"/>
          <w14:ligatures w14:val="none"/>
        </w:rPr>
        <w:t xml:space="preserve"> and </w:t>
      </w:r>
      <w:r w:rsidRPr="00A45FC0">
        <w:rPr>
          <w:rFonts w:eastAsia="Times New Roman" w:cs="Segoe UI"/>
          <w:color w:val="222222"/>
          <w:kern w:val="0"/>
          <w:sz w:val="20"/>
          <w:szCs w:val="20"/>
          <w:lang w:val="en-US"/>
          <w14:ligatures w14:val="none"/>
        </w:rPr>
        <w:t>NET density</w:t>
      </w:r>
      <w:r>
        <w:rPr>
          <w:rFonts w:eastAsia="Times New Roman" w:cs="Segoe UI"/>
          <w:color w:val="222222"/>
          <w:kern w:val="0"/>
          <w:sz w:val="20"/>
          <w:szCs w:val="20"/>
          <w:lang w:val="en-US"/>
          <w14:ligatures w14:val="none"/>
        </w:rPr>
        <w:t xml:space="preserve"> across 438 parcels </w:t>
      </w:r>
      <w:r w:rsidRPr="00A45FC0">
        <w:rPr>
          <w:rFonts w:eastAsia="Times New Roman" w:cs="Segoe UI"/>
          <w:color w:val="222222"/>
          <w:kern w:val="0"/>
          <w:sz w:val="20"/>
          <w:szCs w:val="20"/>
          <w:lang w:val="en-US"/>
          <w14:ligatures w14:val="none"/>
        </w:rPr>
        <w:t xml:space="preserve">is indicated by </w:t>
      </w:r>
      <w:r>
        <w:rPr>
          <w:rFonts w:eastAsia="Times New Roman" w:cs="Segoe UI"/>
          <w:color w:val="222222"/>
          <w:kern w:val="0"/>
          <w:sz w:val="20"/>
          <w:szCs w:val="20"/>
          <w:lang w:val="en-US"/>
          <w14:ligatures w14:val="none"/>
        </w:rPr>
        <w:t>a</w:t>
      </w:r>
      <w:r w:rsidRPr="00A45FC0">
        <w:rPr>
          <w:rFonts w:eastAsia="Times New Roman" w:cs="Segoe UI"/>
          <w:color w:val="222222"/>
          <w:kern w:val="0"/>
          <w:sz w:val="20"/>
          <w:szCs w:val="20"/>
          <w:lang w:val="en-US"/>
          <w14:ligatures w14:val="none"/>
        </w:rPr>
        <w:t xml:space="preserve"> red </w:t>
      </w:r>
      <w:r>
        <w:rPr>
          <w:rFonts w:eastAsia="Times New Roman" w:cs="Segoe UI"/>
          <w:color w:val="222222"/>
          <w:kern w:val="0"/>
          <w:sz w:val="20"/>
          <w:szCs w:val="20"/>
          <w:lang w:val="en-US"/>
          <w14:ligatures w14:val="none"/>
        </w:rPr>
        <w:t>horizontal</w:t>
      </w:r>
      <w:r w:rsidRPr="00A45FC0">
        <w:rPr>
          <w:rFonts w:eastAsia="Times New Roman" w:cs="Segoe UI"/>
          <w:color w:val="222222"/>
          <w:kern w:val="0"/>
          <w:sz w:val="20"/>
          <w:szCs w:val="20"/>
          <w:lang w:val="en-US"/>
          <w14:ligatures w14:val="none"/>
        </w:rPr>
        <w:t xml:space="preserve"> </w:t>
      </w:r>
      <w:r>
        <w:rPr>
          <w:rFonts w:eastAsia="Times New Roman" w:cs="Segoe UI"/>
          <w:color w:val="222222"/>
          <w:kern w:val="0"/>
          <w:sz w:val="20"/>
          <w:szCs w:val="20"/>
          <w:lang w:val="en-US"/>
          <w14:ligatures w14:val="none"/>
        </w:rPr>
        <w:t>arrow</w:t>
      </w:r>
      <w:r w:rsidRPr="00A45FC0">
        <w:rPr>
          <w:rFonts w:eastAsia="Times New Roman" w:cs="Segoe UI"/>
          <w:color w:val="222222"/>
          <w:kern w:val="0"/>
          <w:sz w:val="20"/>
          <w:szCs w:val="20"/>
          <w:lang w:val="en-US"/>
          <w14:ligatures w14:val="none"/>
        </w:rPr>
        <w:t>.</w:t>
      </w:r>
      <w:r>
        <w:rPr>
          <w:rFonts w:eastAsia="Times New Roman" w:cs="Segoe UI"/>
          <w:color w:val="222222"/>
          <w:kern w:val="0"/>
          <w:sz w:val="20"/>
          <w:szCs w:val="20"/>
          <w:lang w:val="en-US"/>
          <w14:ligatures w14:val="none"/>
        </w:rPr>
        <w:t xml:space="preserve"> </w:t>
      </w:r>
      <w:r w:rsidRPr="00A45FC0">
        <w:rPr>
          <w:rFonts w:eastAsia="Times New Roman" w:cs="Segoe UI"/>
          <w:color w:val="222222"/>
          <w:kern w:val="0"/>
          <w:sz w:val="20"/>
          <w:szCs w:val="20"/>
          <w:lang w:val="en-US"/>
          <w14:ligatures w14:val="none"/>
        </w:rPr>
        <w:t>A significant correlation was found (spin-test p = 0.0</w:t>
      </w:r>
      <w:r>
        <w:rPr>
          <w:rFonts w:eastAsia="Times New Roman" w:cs="Segoe UI"/>
          <w:color w:val="222222"/>
          <w:kern w:val="0"/>
          <w:sz w:val="20"/>
          <w:szCs w:val="20"/>
          <w:lang w:val="en-US"/>
          <w14:ligatures w14:val="none"/>
        </w:rPr>
        <w:t>008</w:t>
      </w:r>
      <w:r w:rsidRPr="00A45FC0">
        <w:rPr>
          <w:rFonts w:eastAsia="Times New Roman" w:cs="Segoe UI"/>
          <w:color w:val="222222"/>
          <w:kern w:val="0"/>
          <w:sz w:val="20"/>
          <w:szCs w:val="20"/>
          <w:lang w:val="en-US"/>
          <w14:ligatures w14:val="none"/>
        </w:rPr>
        <w:t xml:space="preserve">), indicating that regions with higher NET density </w:t>
      </w:r>
      <w:r>
        <w:rPr>
          <w:rFonts w:eastAsia="Times New Roman" w:cs="Segoe UI"/>
          <w:color w:val="222222"/>
          <w:kern w:val="0"/>
          <w:sz w:val="20"/>
          <w:szCs w:val="20"/>
          <w:lang w:val="en-US"/>
          <w14:ligatures w14:val="none"/>
        </w:rPr>
        <w:t>had stronger</w:t>
      </w:r>
      <w:r w:rsidRPr="00A45FC0">
        <w:rPr>
          <w:rFonts w:eastAsia="Times New Roman" w:cs="Segoe UI"/>
          <w:color w:val="222222"/>
          <w:kern w:val="0"/>
          <w:sz w:val="20"/>
          <w:szCs w:val="20"/>
          <w:lang w:val="en-US"/>
          <w14:ligatures w14:val="none"/>
        </w:rPr>
        <w:t xml:space="preserve"> MP-induced shifts in the </w:t>
      </w:r>
      <w:r>
        <w:rPr>
          <w:rFonts w:eastAsia="Times New Roman" w:cs="Segoe UI"/>
          <w:color w:val="222222"/>
          <w:kern w:val="0"/>
          <w:sz w:val="20"/>
          <w:szCs w:val="20"/>
          <w:lang w:val="en-US"/>
          <w14:ligatures w14:val="none"/>
        </w:rPr>
        <w:t>principal gradient</w:t>
      </w:r>
      <w:r w:rsidRPr="00A45FC0">
        <w:rPr>
          <w:rFonts w:eastAsia="Times New Roman" w:cs="Segoe UI"/>
          <w:color w:val="222222"/>
          <w:kern w:val="0"/>
          <w:sz w:val="20"/>
          <w:szCs w:val="20"/>
          <w:lang w:val="en-US"/>
          <w14:ligatures w14:val="none"/>
        </w:rPr>
        <w:t>.</w:t>
      </w:r>
    </w:p>
    <w:p w14:paraId="63E0E025" w14:textId="77777777" w:rsidR="00130A1B" w:rsidRDefault="00130A1B" w:rsidP="00934DC3">
      <w:pPr>
        <w:rPr>
          <w:color w:val="000000" w:themeColor="text1"/>
          <w:lang w:val="en-US"/>
        </w:rPr>
      </w:pPr>
    </w:p>
    <w:p w14:paraId="037B09F9" w14:textId="77777777" w:rsidR="00E426AE" w:rsidRDefault="00E426AE" w:rsidP="00934DC3">
      <w:pPr>
        <w:rPr>
          <w:color w:val="000000" w:themeColor="text1"/>
          <w:lang w:val="en-US"/>
        </w:rPr>
      </w:pPr>
    </w:p>
    <w:p w14:paraId="2E272BDD" w14:textId="6C780CA1" w:rsidR="00E426AE" w:rsidRDefault="00DA11C1" w:rsidP="00DA11C1">
      <w:pPr>
        <w:jc w:val="center"/>
        <w:rPr>
          <w:color w:val="000000" w:themeColor="text1"/>
          <w:lang w:val="en-US"/>
        </w:rPr>
      </w:pPr>
      <w:r>
        <w:rPr>
          <w:noProof/>
          <w:color w:val="000000" w:themeColor="text1"/>
          <w:lang w:val="en-US"/>
        </w:rPr>
        <w:lastRenderedPageBreak/>
        <w:drawing>
          <wp:inline distT="0" distB="0" distL="0" distR="0" wp14:anchorId="54897FE9" wp14:editId="5A51A48C">
            <wp:extent cx="3785191" cy="6308652"/>
            <wp:effectExtent l="0" t="0" r="0" b="3810"/>
            <wp:docPr id="1988145017"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45017" name="Picture 1" descr="Diagram&#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3821242" cy="6368736"/>
                    </a:xfrm>
                    <a:prstGeom prst="rect">
                      <a:avLst/>
                    </a:prstGeom>
                  </pic:spPr>
                </pic:pic>
              </a:graphicData>
            </a:graphic>
          </wp:inline>
        </w:drawing>
      </w:r>
    </w:p>
    <w:p w14:paraId="124C8265" w14:textId="7EFAEE24" w:rsidR="00CA2C16" w:rsidRPr="00141A5E" w:rsidRDefault="00CA2C16" w:rsidP="00CA2C16">
      <w:pPr>
        <w:shd w:val="clear" w:color="auto" w:fill="FFFFFF"/>
        <w:spacing w:after="120" w:line="240" w:lineRule="auto"/>
        <w:jc w:val="both"/>
        <w:outlineLvl w:val="2"/>
        <w:rPr>
          <w:rFonts w:eastAsia="Times New Roman" w:cs="Segoe UI"/>
          <w:color w:val="222222"/>
          <w:kern w:val="0"/>
          <w:sz w:val="20"/>
          <w:szCs w:val="20"/>
          <w:lang w:val="en-US"/>
          <w14:ligatures w14:val="none"/>
        </w:rPr>
      </w:pPr>
      <w:r w:rsidRPr="00F97EA0">
        <w:rPr>
          <w:rFonts w:eastAsia="Times New Roman" w:cs="Segoe UI"/>
          <w:b/>
          <w:bCs/>
          <w:color w:val="222222"/>
          <w:kern w:val="0"/>
          <w:sz w:val="20"/>
          <w:szCs w:val="20"/>
          <w:lang w:val="en-US"/>
          <w14:ligatures w14:val="none"/>
        </w:rPr>
        <w:t xml:space="preserve">Figure </w:t>
      </w:r>
      <w:r w:rsidR="00DA11C1">
        <w:rPr>
          <w:rFonts w:eastAsia="Times New Roman" w:cs="Segoe UI"/>
          <w:b/>
          <w:bCs/>
          <w:color w:val="222222"/>
          <w:kern w:val="0"/>
          <w:sz w:val="20"/>
          <w:szCs w:val="20"/>
          <w:lang w:val="en-US"/>
          <w14:ligatures w14:val="none"/>
        </w:rPr>
        <w:t>S</w:t>
      </w:r>
      <w:r>
        <w:rPr>
          <w:rFonts w:eastAsia="Times New Roman" w:cs="Segoe UI"/>
          <w:b/>
          <w:bCs/>
          <w:color w:val="222222"/>
          <w:kern w:val="0"/>
          <w:sz w:val="20"/>
          <w:szCs w:val="20"/>
          <w:lang w:val="en-US"/>
          <w14:ligatures w14:val="none"/>
        </w:rPr>
        <w:t>18</w:t>
      </w:r>
      <w:r w:rsidRPr="00F97EA0">
        <w:rPr>
          <w:rFonts w:eastAsia="Times New Roman" w:cs="Segoe UI"/>
          <w:b/>
          <w:bCs/>
          <w:color w:val="222222"/>
          <w:kern w:val="0"/>
          <w:sz w:val="20"/>
          <w:szCs w:val="20"/>
          <w:lang w:val="en-US"/>
          <w14:ligatures w14:val="none"/>
        </w:rPr>
        <w:t>.</w:t>
      </w:r>
      <w:r>
        <w:rPr>
          <w:rFonts w:eastAsia="Times New Roman" w:cs="Segoe UI"/>
          <w:b/>
          <w:bCs/>
          <w:color w:val="222222"/>
          <w:kern w:val="0"/>
          <w:sz w:val="20"/>
          <w:szCs w:val="20"/>
          <w:lang w:val="en-US"/>
          <w14:ligatures w14:val="none"/>
        </w:rPr>
        <w:t xml:space="preserve"> S</w:t>
      </w:r>
      <w:r w:rsidRPr="00F97EA0">
        <w:rPr>
          <w:rFonts w:eastAsia="Times New Roman" w:cs="Segoe UI"/>
          <w:b/>
          <w:bCs/>
          <w:color w:val="222222"/>
          <w:kern w:val="0"/>
          <w:sz w:val="20"/>
          <w:szCs w:val="20"/>
          <w:lang w:val="en-US"/>
          <w14:ligatures w14:val="none"/>
        </w:rPr>
        <w:t xml:space="preserve">timulant-related gradient compression in </w:t>
      </w:r>
      <w:r>
        <w:rPr>
          <w:rFonts w:eastAsia="Times New Roman" w:cs="Segoe UI"/>
          <w:b/>
          <w:bCs/>
          <w:color w:val="222222"/>
          <w:kern w:val="0"/>
          <w:sz w:val="20"/>
          <w:szCs w:val="20"/>
          <w:lang w:val="en-US"/>
          <w14:ligatures w14:val="none"/>
        </w:rPr>
        <w:t>ABCD boys and girls</w:t>
      </w:r>
      <w:r w:rsidRPr="00F97EA0">
        <w:rPr>
          <w:rFonts w:eastAsia="Times New Roman" w:cs="Segoe UI"/>
          <w:b/>
          <w:bCs/>
          <w:color w:val="222222"/>
          <w:kern w:val="0"/>
          <w:sz w:val="20"/>
          <w:szCs w:val="20"/>
          <w:lang w:val="en-US"/>
          <w14:ligatures w14:val="none"/>
        </w:rPr>
        <w:t xml:space="preserve">. </w:t>
      </w:r>
      <w:r w:rsidRPr="00F97EA0">
        <w:rPr>
          <w:rFonts w:eastAsia="Times New Roman" w:cs="Segoe UI"/>
          <w:color w:val="222222"/>
          <w:kern w:val="0"/>
          <w:sz w:val="20"/>
          <w:szCs w:val="20"/>
          <w:lang w:val="en-US"/>
          <w14:ligatures w14:val="none"/>
        </w:rPr>
        <w:t>Violin plots illustrate significantly higher gradient values in bilateral anterior primary somatomotor cortex (area 3a</w:t>
      </w:r>
      <w:r>
        <w:rPr>
          <w:rFonts w:eastAsia="Times New Roman" w:cs="Segoe UI"/>
          <w:color w:val="222222"/>
          <w:kern w:val="0"/>
          <w:sz w:val="20"/>
          <w:szCs w:val="20"/>
          <w:lang w:val="en-US"/>
          <w14:ligatures w14:val="none"/>
        </w:rPr>
        <w:t xml:space="preserve">) for </w:t>
      </w:r>
      <w:r w:rsidRPr="00F97EA0">
        <w:rPr>
          <w:rFonts w:eastAsia="Times New Roman" w:cs="Segoe UI"/>
          <w:color w:val="222222"/>
          <w:kern w:val="0"/>
          <w:sz w:val="20"/>
          <w:szCs w:val="20"/>
          <w:lang w:val="en-US"/>
          <w14:ligatures w14:val="none"/>
        </w:rPr>
        <w:t xml:space="preserve">children treated with stimulant medications (methylphenidate or amphetamines; 105 girls, 274 boys) </w:t>
      </w:r>
      <w:r>
        <w:rPr>
          <w:rFonts w:eastAsia="Times New Roman" w:cs="Segoe UI"/>
          <w:color w:val="222222"/>
          <w:kern w:val="0"/>
          <w:sz w:val="20"/>
          <w:szCs w:val="20"/>
          <w:lang w:val="en-US"/>
          <w14:ligatures w14:val="none"/>
        </w:rPr>
        <w:t>compared to</w:t>
      </w:r>
      <w:r w:rsidRPr="00F97EA0">
        <w:rPr>
          <w:rFonts w:eastAsia="Times New Roman" w:cs="Segoe UI"/>
          <w:color w:val="222222"/>
          <w:kern w:val="0"/>
          <w:sz w:val="20"/>
          <w:szCs w:val="20"/>
          <w:lang w:val="en-US"/>
          <w14:ligatures w14:val="none"/>
        </w:rPr>
        <w:t xml:space="preserve"> unmedicated peers (2,260 girls, 2,319 boys</w:t>
      </w:r>
      <w:r w:rsidRPr="00141A5E">
        <w:rPr>
          <w:rFonts w:eastAsia="Times New Roman" w:cs="Segoe UI"/>
          <w:color w:val="222222"/>
          <w:kern w:val="0"/>
          <w:sz w:val="20"/>
          <w:szCs w:val="20"/>
          <w:lang w:val="en-US"/>
          <w14:ligatures w14:val="none"/>
        </w:rPr>
        <w:t>)</w:t>
      </w:r>
      <w:r>
        <w:rPr>
          <w:rFonts w:eastAsia="Times New Roman" w:cs="Segoe UI"/>
          <w:color w:val="222222"/>
          <w:kern w:val="0"/>
          <w:sz w:val="20"/>
          <w:szCs w:val="20"/>
          <w:lang w:val="en-US"/>
          <w14:ligatures w14:val="none"/>
        </w:rPr>
        <w:t>, independently for boys and girls</w:t>
      </w:r>
      <w:r w:rsidRPr="00B31BED">
        <w:rPr>
          <w:rFonts w:eastAsia="Times New Roman" w:cs="Segoe UI"/>
          <w:color w:val="222222"/>
          <w:kern w:val="0"/>
          <w:sz w:val="20"/>
          <w:szCs w:val="20"/>
          <w:lang w:val="en-US"/>
          <w14:ligatures w14:val="none"/>
        </w:rPr>
        <w:t>, after correcting for inattention, sex, age, head motion, scanner type, and research site</w:t>
      </w:r>
      <w:r>
        <w:rPr>
          <w:rFonts w:eastAsia="Times New Roman" w:cs="Segoe UI"/>
          <w:color w:val="222222"/>
          <w:kern w:val="0"/>
          <w:sz w:val="20"/>
          <w:szCs w:val="20"/>
          <w:lang w:val="en-US"/>
          <w14:ligatures w14:val="none"/>
        </w:rPr>
        <w:t>; P-values are from two-sided two-sample t-test.</w:t>
      </w:r>
    </w:p>
    <w:p w14:paraId="085F8BF5" w14:textId="1C330AB3" w:rsidR="00E426AE" w:rsidRDefault="00E426AE" w:rsidP="00CA2C16">
      <w:pPr>
        <w:shd w:val="clear" w:color="auto" w:fill="FFFFFF"/>
        <w:spacing w:after="120" w:line="240" w:lineRule="auto"/>
        <w:jc w:val="both"/>
        <w:outlineLvl w:val="2"/>
        <w:rPr>
          <w:color w:val="000000" w:themeColor="text1"/>
          <w:lang w:val="en-US"/>
        </w:rPr>
      </w:pPr>
    </w:p>
    <w:p w14:paraId="163E7377" w14:textId="77777777" w:rsidR="00E426AE" w:rsidRDefault="00E426AE" w:rsidP="00934DC3">
      <w:pPr>
        <w:rPr>
          <w:color w:val="000000" w:themeColor="text1"/>
          <w:lang w:val="en-US"/>
        </w:rPr>
      </w:pPr>
    </w:p>
    <w:sectPr w:rsidR="00E426AE" w:rsidSect="00DD0D5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Academy Engraved LET">
    <w:panose1 w:val="02000000000000000000"/>
    <w:charset w:val="00"/>
    <w:family w:val="auto"/>
    <w:pitch w:val="variable"/>
    <w:sig w:usb0="8000007F" w:usb1="4000000A"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9"/>
  <w:doNotDisplayPageBoundaries/>
  <w:hideSpellingErrors/>
  <w:hideGrammaticalError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nnotated&lt;/Style&gt;&lt;LeftDelim&gt;{&lt;/LeftDelim&gt;&lt;RightDelim&gt;}&lt;/RightDelim&gt;&lt;FontName&gt;Academy Engraved LET&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8634FB"/>
    <w:rsid w:val="000016ED"/>
    <w:rsid w:val="000045B8"/>
    <w:rsid w:val="000074BD"/>
    <w:rsid w:val="00011156"/>
    <w:rsid w:val="0001128F"/>
    <w:rsid w:val="00011DB1"/>
    <w:rsid w:val="00014BA2"/>
    <w:rsid w:val="00014BF7"/>
    <w:rsid w:val="00017E58"/>
    <w:rsid w:val="000202E0"/>
    <w:rsid w:val="00020920"/>
    <w:rsid w:val="00023D8A"/>
    <w:rsid w:val="000249B4"/>
    <w:rsid w:val="00024EE7"/>
    <w:rsid w:val="00027DDF"/>
    <w:rsid w:val="000337FA"/>
    <w:rsid w:val="00034286"/>
    <w:rsid w:val="00034F72"/>
    <w:rsid w:val="00035BBE"/>
    <w:rsid w:val="00040EA5"/>
    <w:rsid w:val="00041D84"/>
    <w:rsid w:val="00041FF8"/>
    <w:rsid w:val="000432C9"/>
    <w:rsid w:val="00043AE3"/>
    <w:rsid w:val="00043FBD"/>
    <w:rsid w:val="0004448D"/>
    <w:rsid w:val="0004518B"/>
    <w:rsid w:val="00045456"/>
    <w:rsid w:val="00046F5C"/>
    <w:rsid w:val="00047BE1"/>
    <w:rsid w:val="000508C8"/>
    <w:rsid w:val="00053260"/>
    <w:rsid w:val="00053454"/>
    <w:rsid w:val="0005518E"/>
    <w:rsid w:val="00056EE4"/>
    <w:rsid w:val="00057145"/>
    <w:rsid w:val="00057A16"/>
    <w:rsid w:val="00060166"/>
    <w:rsid w:val="00060CDA"/>
    <w:rsid w:val="0006163E"/>
    <w:rsid w:val="00062CDD"/>
    <w:rsid w:val="00063CBE"/>
    <w:rsid w:val="00064DF3"/>
    <w:rsid w:val="00065EE7"/>
    <w:rsid w:val="000663E1"/>
    <w:rsid w:val="00066BCD"/>
    <w:rsid w:val="00070B0F"/>
    <w:rsid w:val="000716D8"/>
    <w:rsid w:val="0007229A"/>
    <w:rsid w:val="000725A6"/>
    <w:rsid w:val="00075880"/>
    <w:rsid w:val="00076A47"/>
    <w:rsid w:val="00076D59"/>
    <w:rsid w:val="0008090B"/>
    <w:rsid w:val="00082F0B"/>
    <w:rsid w:val="00082F6B"/>
    <w:rsid w:val="00083418"/>
    <w:rsid w:val="0008417E"/>
    <w:rsid w:val="00085D10"/>
    <w:rsid w:val="00085F28"/>
    <w:rsid w:val="00090551"/>
    <w:rsid w:val="000930F8"/>
    <w:rsid w:val="0009582B"/>
    <w:rsid w:val="000961C1"/>
    <w:rsid w:val="000A0A38"/>
    <w:rsid w:val="000A1195"/>
    <w:rsid w:val="000A2DE9"/>
    <w:rsid w:val="000A4913"/>
    <w:rsid w:val="000A73BF"/>
    <w:rsid w:val="000B0CBF"/>
    <w:rsid w:val="000B1F7A"/>
    <w:rsid w:val="000B2231"/>
    <w:rsid w:val="000B22DF"/>
    <w:rsid w:val="000B2D43"/>
    <w:rsid w:val="000B43B3"/>
    <w:rsid w:val="000B4402"/>
    <w:rsid w:val="000B5752"/>
    <w:rsid w:val="000B75E3"/>
    <w:rsid w:val="000C17A7"/>
    <w:rsid w:val="000C3104"/>
    <w:rsid w:val="000C459E"/>
    <w:rsid w:val="000C571B"/>
    <w:rsid w:val="000C57D0"/>
    <w:rsid w:val="000C6E15"/>
    <w:rsid w:val="000C78B0"/>
    <w:rsid w:val="000D07E5"/>
    <w:rsid w:val="000D08B8"/>
    <w:rsid w:val="000D0E64"/>
    <w:rsid w:val="000D48D0"/>
    <w:rsid w:val="000D55C4"/>
    <w:rsid w:val="000E31EC"/>
    <w:rsid w:val="000E5CEC"/>
    <w:rsid w:val="000E7178"/>
    <w:rsid w:val="000F0961"/>
    <w:rsid w:val="000F18C2"/>
    <w:rsid w:val="000F401D"/>
    <w:rsid w:val="000F63E7"/>
    <w:rsid w:val="000F6C14"/>
    <w:rsid w:val="000F7080"/>
    <w:rsid w:val="000F7340"/>
    <w:rsid w:val="000F74B7"/>
    <w:rsid w:val="00100AD4"/>
    <w:rsid w:val="00103B44"/>
    <w:rsid w:val="0010546C"/>
    <w:rsid w:val="00105F12"/>
    <w:rsid w:val="00110858"/>
    <w:rsid w:val="00110A65"/>
    <w:rsid w:val="00114542"/>
    <w:rsid w:val="00114B5B"/>
    <w:rsid w:val="0011616D"/>
    <w:rsid w:val="00116271"/>
    <w:rsid w:val="00117BD4"/>
    <w:rsid w:val="00117DB0"/>
    <w:rsid w:val="00121B1F"/>
    <w:rsid w:val="00123C16"/>
    <w:rsid w:val="00123F87"/>
    <w:rsid w:val="001242EB"/>
    <w:rsid w:val="001266B9"/>
    <w:rsid w:val="00127F5B"/>
    <w:rsid w:val="00130425"/>
    <w:rsid w:val="0013078A"/>
    <w:rsid w:val="00130A1B"/>
    <w:rsid w:val="001326DC"/>
    <w:rsid w:val="00136C56"/>
    <w:rsid w:val="00136C7D"/>
    <w:rsid w:val="00141462"/>
    <w:rsid w:val="0014249E"/>
    <w:rsid w:val="001436CA"/>
    <w:rsid w:val="00143E34"/>
    <w:rsid w:val="00145B1E"/>
    <w:rsid w:val="00145B63"/>
    <w:rsid w:val="00145EE0"/>
    <w:rsid w:val="00146B32"/>
    <w:rsid w:val="00147582"/>
    <w:rsid w:val="0015189D"/>
    <w:rsid w:val="0015262F"/>
    <w:rsid w:val="0015363F"/>
    <w:rsid w:val="001558CB"/>
    <w:rsid w:val="0015594D"/>
    <w:rsid w:val="001566D1"/>
    <w:rsid w:val="00157AF8"/>
    <w:rsid w:val="001600E2"/>
    <w:rsid w:val="001610CB"/>
    <w:rsid w:val="00162CE7"/>
    <w:rsid w:val="00163486"/>
    <w:rsid w:val="00164E08"/>
    <w:rsid w:val="0016700D"/>
    <w:rsid w:val="00170FB6"/>
    <w:rsid w:val="001735F8"/>
    <w:rsid w:val="00173D5A"/>
    <w:rsid w:val="00175A65"/>
    <w:rsid w:val="00176B81"/>
    <w:rsid w:val="00180911"/>
    <w:rsid w:val="00185734"/>
    <w:rsid w:val="00186D4E"/>
    <w:rsid w:val="001870BC"/>
    <w:rsid w:val="0018725C"/>
    <w:rsid w:val="00190067"/>
    <w:rsid w:val="00190C9D"/>
    <w:rsid w:val="00191FC0"/>
    <w:rsid w:val="0019329C"/>
    <w:rsid w:val="00195EB5"/>
    <w:rsid w:val="001A2096"/>
    <w:rsid w:val="001A30D5"/>
    <w:rsid w:val="001A3740"/>
    <w:rsid w:val="001A3AFA"/>
    <w:rsid w:val="001A441D"/>
    <w:rsid w:val="001A659F"/>
    <w:rsid w:val="001B36BB"/>
    <w:rsid w:val="001B4000"/>
    <w:rsid w:val="001B4C2D"/>
    <w:rsid w:val="001B578A"/>
    <w:rsid w:val="001B5C85"/>
    <w:rsid w:val="001B5E56"/>
    <w:rsid w:val="001B5F6D"/>
    <w:rsid w:val="001B78B9"/>
    <w:rsid w:val="001C0FFA"/>
    <w:rsid w:val="001C12ED"/>
    <w:rsid w:val="001D2ADE"/>
    <w:rsid w:val="001D323D"/>
    <w:rsid w:val="001D380B"/>
    <w:rsid w:val="001D4A58"/>
    <w:rsid w:val="001D6211"/>
    <w:rsid w:val="001D62DE"/>
    <w:rsid w:val="001D6F9C"/>
    <w:rsid w:val="001D7247"/>
    <w:rsid w:val="001E2E67"/>
    <w:rsid w:val="001E48B7"/>
    <w:rsid w:val="001E4FA4"/>
    <w:rsid w:val="001E5ED6"/>
    <w:rsid w:val="001E6C09"/>
    <w:rsid w:val="001F06EA"/>
    <w:rsid w:val="001F104F"/>
    <w:rsid w:val="001F24FA"/>
    <w:rsid w:val="001F43F9"/>
    <w:rsid w:val="001F45B9"/>
    <w:rsid w:val="001F535A"/>
    <w:rsid w:val="001F5BF1"/>
    <w:rsid w:val="00200032"/>
    <w:rsid w:val="00201564"/>
    <w:rsid w:val="002037A7"/>
    <w:rsid w:val="00204A62"/>
    <w:rsid w:val="00210E1E"/>
    <w:rsid w:val="00211ABD"/>
    <w:rsid w:val="002126D9"/>
    <w:rsid w:val="002155CC"/>
    <w:rsid w:val="002169B0"/>
    <w:rsid w:val="0021779F"/>
    <w:rsid w:val="0022342E"/>
    <w:rsid w:val="0022486F"/>
    <w:rsid w:val="00224871"/>
    <w:rsid w:val="0022507A"/>
    <w:rsid w:val="002269BB"/>
    <w:rsid w:val="00227157"/>
    <w:rsid w:val="00231190"/>
    <w:rsid w:val="00231F54"/>
    <w:rsid w:val="00232056"/>
    <w:rsid w:val="00236388"/>
    <w:rsid w:val="00236C92"/>
    <w:rsid w:val="002412DF"/>
    <w:rsid w:val="002433D3"/>
    <w:rsid w:val="002468D3"/>
    <w:rsid w:val="00246A84"/>
    <w:rsid w:val="00247426"/>
    <w:rsid w:val="00250FDA"/>
    <w:rsid w:val="00252FF3"/>
    <w:rsid w:val="00254A91"/>
    <w:rsid w:val="002556C9"/>
    <w:rsid w:val="00255B70"/>
    <w:rsid w:val="00256BAC"/>
    <w:rsid w:val="002572C7"/>
    <w:rsid w:val="00257557"/>
    <w:rsid w:val="00260352"/>
    <w:rsid w:val="002617D1"/>
    <w:rsid w:val="00261B78"/>
    <w:rsid w:val="00262392"/>
    <w:rsid w:val="00263715"/>
    <w:rsid w:val="00263E1C"/>
    <w:rsid w:val="00265344"/>
    <w:rsid w:val="0026646D"/>
    <w:rsid w:val="00271D41"/>
    <w:rsid w:val="002753F2"/>
    <w:rsid w:val="0027635F"/>
    <w:rsid w:val="00276C1F"/>
    <w:rsid w:val="00277775"/>
    <w:rsid w:val="00280FD4"/>
    <w:rsid w:val="002813E5"/>
    <w:rsid w:val="002818E8"/>
    <w:rsid w:val="00285F06"/>
    <w:rsid w:val="00285F48"/>
    <w:rsid w:val="002936D1"/>
    <w:rsid w:val="00294189"/>
    <w:rsid w:val="00294812"/>
    <w:rsid w:val="00297880"/>
    <w:rsid w:val="002A0220"/>
    <w:rsid w:val="002A0A81"/>
    <w:rsid w:val="002A24D9"/>
    <w:rsid w:val="002A29DE"/>
    <w:rsid w:val="002A3520"/>
    <w:rsid w:val="002A4597"/>
    <w:rsid w:val="002A5825"/>
    <w:rsid w:val="002A6ECF"/>
    <w:rsid w:val="002B0782"/>
    <w:rsid w:val="002B1956"/>
    <w:rsid w:val="002B21BD"/>
    <w:rsid w:val="002B3C18"/>
    <w:rsid w:val="002B418D"/>
    <w:rsid w:val="002B42BE"/>
    <w:rsid w:val="002B63BD"/>
    <w:rsid w:val="002B7478"/>
    <w:rsid w:val="002C0340"/>
    <w:rsid w:val="002C2340"/>
    <w:rsid w:val="002C3B15"/>
    <w:rsid w:val="002C3BE6"/>
    <w:rsid w:val="002C4B36"/>
    <w:rsid w:val="002C5F22"/>
    <w:rsid w:val="002D32E5"/>
    <w:rsid w:val="002D6AF3"/>
    <w:rsid w:val="002E18FB"/>
    <w:rsid w:val="002E199A"/>
    <w:rsid w:val="002E3354"/>
    <w:rsid w:val="002E39B9"/>
    <w:rsid w:val="002E51B9"/>
    <w:rsid w:val="002E6F06"/>
    <w:rsid w:val="002E73BB"/>
    <w:rsid w:val="002E75C7"/>
    <w:rsid w:val="002F1BB2"/>
    <w:rsid w:val="002F2F15"/>
    <w:rsid w:val="002F477E"/>
    <w:rsid w:val="002F4B0C"/>
    <w:rsid w:val="002F4F2C"/>
    <w:rsid w:val="002F5917"/>
    <w:rsid w:val="002F5CE6"/>
    <w:rsid w:val="002F6F42"/>
    <w:rsid w:val="002F7D3A"/>
    <w:rsid w:val="002F7E4D"/>
    <w:rsid w:val="003003A9"/>
    <w:rsid w:val="003008B9"/>
    <w:rsid w:val="0030352B"/>
    <w:rsid w:val="0030462D"/>
    <w:rsid w:val="00304C61"/>
    <w:rsid w:val="00306219"/>
    <w:rsid w:val="00307E0C"/>
    <w:rsid w:val="00312C0B"/>
    <w:rsid w:val="003157E2"/>
    <w:rsid w:val="003164FC"/>
    <w:rsid w:val="00322A52"/>
    <w:rsid w:val="00323F9E"/>
    <w:rsid w:val="003255A6"/>
    <w:rsid w:val="00327DB5"/>
    <w:rsid w:val="003320DC"/>
    <w:rsid w:val="00334666"/>
    <w:rsid w:val="00340184"/>
    <w:rsid w:val="0034069A"/>
    <w:rsid w:val="003408D6"/>
    <w:rsid w:val="00342001"/>
    <w:rsid w:val="003423D5"/>
    <w:rsid w:val="0034285A"/>
    <w:rsid w:val="00345F18"/>
    <w:rsid w:val="0034782F"/>
    <w:rsid w:val="00352172"/>
    <w:rsid w:val="00352A7B"/>
    <w:rsid w:val="003559ED"/>
    <w:rsid w:val="00355BA0"/>
    <w:rsid w:val="003602B4"/>
    <w:rsid w:val="00363274"/>
    <w:rsid w:val="00365BBA"/>
    <w:rsid w:val="00366FEA"/>
    <w:rsid w:val="0037010E"/>
    <w:rsid w:val="00370F7D"/>
    <w:rsid w:val="00373DEF"/>
    <w:rsid w:val="00374862"/>
    <w:rsid w:val="00375029"/>
    <w:rsid w:val="003750B8"/>
    <w:rsid w:val="003775F1"/>
    <w:rsid w:val="003810C0"/>
    <w:rsid w:val="0038350A"/>
    <w:rsid w:val="00385597"/>
    <w:rsid w:val="003876DF"/>
    <w:rsid w:val="00387741"/>
    <w:rsid w:val="00390EE8"/>
    <w:rsid w:val="00392A91"/>
    <w:rsid w:val="00393CDE"/>
    <w:rsid w:val="00394E72"/>
    <w:rsid w:val="00396081"/>
    <w:rsid w:val="003A0837"/>
    <w:rsid w:val="003A0FE0"/>
    <w:rsid w:val="003A2359"/>
    <w:rsid w:val="003A65D5"/>
    <w:rsid w:val="003A77AE"/>
    <w:rsid w:val="003A7B6F"/>
    <w:rsid w:val="003B00B9"/>
    <w:rsid w:val="003B2693"/>
    <w:rsid w:val="003B461A"/>
    <w:rsid w:val="003B530B"/>
    <w:rsid w:val="003C27A9"/>
    <w:rsid w:val="003C5480"/>
    <w:rsid w:val="003C656E"/>
    <w:rsid w:val="003D1D51"/>
    <w:rsid w:val="003D212B"/>
    <w:rsid w:val="003D28FD"/>
    <w:rsid w:val="003D4C82"/>
    <w:rsid w:val="003D5FB5"/>
    <w:rsid w:val="003E44A0"/>
    <w:rsid w:val="003E5097"/>
    <w:rsid w:val="003E5877"/>
    <w:rsid w:val="003E6F08"/>
    <w:rsid w:val="003F104F"/>
    <w:rsid w:val="003F2532"/>
    <w:rsid w:val="003F3C48"/>
    <w:rsid w:val="003F5191"/>
    <w:rsid w:val="003F592C"/>
    <w:rsid w:val="00403184"/>
    <w:rsid w:val="004041A3"/>
    <w:rsid w:val="00404502"/>
    <w:rsid w:val="00405067"/>
    <w:rsid w:val="0040545C"/>
    <w:rsid w:val="00406FAB"/>
    <w:rsid w:val="0041081D"/>
    <w:rsid w:val="0041238A"/>
    <w:rsid w:val="00412B4C"/>
    <w:rsid w:val="00414830"/>
    <w:rsid w:val="00416D50"/>
    <w:rsid w:val="00417D49"/>
    <w:rsid w:val="004203BA"/>
    <w:rsid w:val="0042047D"/>
    <w:rsid w:val="00421582"/>
    <w:rsid w:val="004222F4"/>
    <w:rsid w:val="004246FB"/>
    <w:rsid w:val="0042581C"/>
    <w:rsid w:val="00426285"/>
    <w:rsid w:val="00426299"/>
    <w:rsid w:val="0042713A"/>
    <w:rsid w:val="004275DB"/>
    <w:rsid w:val="00427D84"/>
    <w:rsid w:val="00427F2C"/>
    <w:rsid w:val="00430F81"/>
    <w:rsid w:val="0043212E"/>
    <w:rsid w:val="004331B4"/>
    <w:rsid w:val="00433BCF"/>
    <w:rsid w:val="00433F17"/>
    <w:rsid w:val="004341D6"/>
    <w:rsid w:val="004361E2"/>
    <w:rsid w:val="00436C3C"/>
    <w:rsid w:val="00441C32"/>
    <w:rsid w:val="00442DF8"/>
    <w:rsid w:val="00445C38"/>
    <w:rsid w:val="00446B01"/>
    <w:rsid w:val="00450BC0"/>
    <w:rsid w:val="00451EB3"/>
    <w:rsid w:val="00453971"/>
    <w:rsid w:val="00453F24"/>
    <w:rsid w:val="004551EA"/>
    <w:rsid w:val="00456B58"/>
    <w:rsid w:val="00457979"/>
    <w:rsid w:val="00463902"/>
    <w:rsid w:val="00465872"/>
    <w:rsid w:val="00465E0E"/>
    <w:rsid w:val="00465E14"/>
    <w:rsid w:val="004665B5"/>
    <w:rsid w:val="0046768C"/>
    <w:rsid w:val="00473645"/>
    <w:rsid w:val="00475A41"/>
    <w:rsid w:val="00476180"/>
    <w:rsid w:val="00476A0C"/>
    <w:rsid w:val="00477084"/>
    <w:rsid w:val="00483AD0"/>
    <w:rsid w:val="00483B7C"/>
    <w:rsid w:val="0048402D"/>
    <w:rsid w:val="004853DE"/>
    <w:rsid w:val="004856B3"/>
    <w:rsid w:val="00485BAD"/>
    <w:rsid w:val="00487984"/>
    <w:rsid w:val="00487BA4"/>
    <w:rsid w:val="00487F6A"/>
    <w:rsid w:val="004913A9"/>
    <w:rsid w:val="00491F4B"/>
    <w:rsid w:val="00493E05"/>
    <w:rsid w:val="004A07D2"/>
    <w:rsid w:val="004A4003"/>
    <w:rsid w:val="004A4A77"/>
    <w:rsid w:val="004B09BB"/>
    <w:rsid w:val="004B2704"/>
    <w:rsid w:val="004B334A"/>
    <w:rsid w:val="004B64E2"/>
    <w:rsid w:val="004B71DB"/>
    <w:rsid w:val="004B7608"/>
    <w:rsid w:val="004C4959"/>
    <w:rsid w:val="004C7E5B"/>
    <w:rsid w:val="004D0676"/>
    <w:rsid w:val="004D09BD"/>
    <w:rsid w:val="004D09E6"/>
    <w:rsid w:val="004D1C93"/>
    <w:rsid w:val="004D1CD2"/>
    <w:rsid w:val="004D28C2"/>
    <w:rsid w:val="004D2C51"/>
    <w:rsid w:val="004D4312"/>
    <w:rsid w:val="004D4C8E"/>
    <w:rsid w:val="004D5DC3"/>
    <w:rsid w:val="004D7375"/>
    <w:rsid w:val="004E00AA"/>
    <w:rsid w:val="004E11A5"/>
    <w:rsid w:val="004E3042"/>
    <w:rsid w:val="004E39E5"/>
    <w:rsid w:val="004E41C1"/>
    <w:rsid w:val="004E57B7"/>
    <w:rsid w:val="004E7E4B"/>
    <w:rsid w:val="004F3CDB"/>
    <w:rsid w:val="004F4F59"/>
    <w:rsid w:val="004F64E1"/>
    <w:rsid w:val="004F7076"/>
    <w:rsid w:val="00500367"/>
    <w:rsid w:val="00501900"/>
    <w:rsid w:val="00502009"/>
    <w:rsid w:val="00502893"/>
    <w:rsid w:val="0050590D"/>
    <w:rsid w:val="005078E1"/>
    <w:rsid w:val="00512E1C"/>
    <w:rsid w:val="005152E7"/>
    <w:rsid w:val="00515998"/>
    <w:rsid w:val="00515ED4"/>
    <w:rsid w:val="00520EB8"/>
    <w:rsid w:val="00523959"/>
    <w:rsid w:val="00523D76"/>
    <w:rsid w:val="00525538"/>
    <w:rsid w:val="00527C04"/>
    <w:rsid w:val="0053008E"/>
    <w:rsid w:val="0053036B"/>
    <w:rsid w:val="00530A77"/>
    <w:rsid w:val="005328CB"/>
    <w:rsid w:val="00532F02"/>
    <w:rsid w:val="00533B23"/>
    <w:rsid w:val="00535BEA"/>
    <w:rsid w:val="00536666"/>
    <w:rsid w:val="00537395"/>
    <w:rsid w:val="00541717"/>
    <w:rsid w:val="005422E3"/>
    <w:rsid w:val="005425FC"/>
    <w:rsid w:val="00543530"/>
    <w:rsid w:val="005443FD"/>
    <w:rsid w:val="00544FC9"/>
    <w:rsid w:val="00545126"/>
    <w:rsid w:val="00550616"/>
    <w:rsid w:val="0055110E"/>
    <w:rsid w:val="00553306"/>
    <w:rsid w:val="005537F9"/>
    <w:rsid w:val="00553C19"/>
    <w:rsid w:val="00555C92"/>
    <w:rsid w:val="00556AA5"/>
    <w:rsid w:val="00556C3C"/>
    <w:rsid w:val="00560B64"/>
    <w:rsid w:val="005613D8"/>
    <w:rsid w:val="00562581"/>
    <w:rsid w:val="005637FC"/>
    <w:rsid w:val="00564A6A"/>
    <w:rsid w:val="005657F7"/>
    <w:rsid w:val="0056580C"/>
    <w:rsid w:val="00567256"/>
    <w:rsid w:val="00567985"/>
    <w:rsid w:val="005711C9"/>
    <w:rsid w:val="00571571"/>
    <w:rsid w:val="00572306"/>
    <w:rsid w:val="005726B6"/>
    <w:rsid w:val="005728D8"/>
    <w:rsid w:val="00572D3E"/>
    <w:rsid w:val="00572DA5"/>
    <w:rsid w:val="00572EF8"/>
    <w:rsid w:val="0057498F"/>
    <w:rsid w:val="0057513F"/>
    <w:rsid w:val="00576CE3"/>
    <w:rsid w:val="00576F26"/>
    <w:rsid w:val="005776A1"/>
    <w:rsid w:val="005801D9"/>
    <w:rsid w:val="00581C48"/>
    <w:rsid w:val="00581D00"/>
    <w:rsid w:val="00582CA6"/>
    <w:rsid w:val="0058303F"/>
    <w:rsid w:val="0058363F"/>
    <w:rsid w:val="0058508A"/>
    <w:rsid w:val="00587A18"/>
    <w:rsid w:val="00587C0A"/>
    <w:rsid w:val="00590BB9"/>
    <w:rsid w:val="00590EBF"/>
    <w:rsid w:val="00590FDF"/>
    <w:rsid w:val="00593235"/>
    <w:rsid w:val="00593D52"/>
    <w:rsid w:val="00594990"/>
    <w:rsid w:val="00595BD8"/>
    <w:rsid w:val="00595E39"/>
    <w:rsid w:val="00596FCB"/>
    <w:rsid w:val="005A142A"/>
    <w:rsid w:val="005A1C38"/>
    <w:rsid w:val="005A1D10"/>
    <w:rsid w:val="005A47D6"/>
    <w:rsid w:val="005A5566"/>
    <w:rsid w:val="005A75C5"/>
    <w:rsid w:val="005B2BD5"/>
    <w:rsid w:val="005B2C31"/>
    <w:rsid w:val="005B353C"/>
    <w:rsid w:val="005B6C8B"/>
    <w:rsid w:val="005C0E99"/>
    <w:rsid w:val="005C192A"/>
    <w:rsid w:val="005C2776"/>
    <w:rsid w:val="005C41FB"/>
    <w:rsid w:val="005C50F9"/>
    <w:rsid w:val="005C6355"/>
    <w:rsid w:val="005D13E7"/>
    <w:rsid w:val="005D294A"/>
    <w:rsid w:val="005D7166"/>
    <w:rsid w:val="005E03AB"/>
    <w:rsid w:val="005E1D64"/>
    <w:rsid w:val="005E327D"/>
    <w:rsid w:val="005E3762"/>
    <w:rsid w:val="005E3EF1"/>
    <w:rsid w:val="005E4F78"/>
    <w:rsid w:val="005E5676"/>
    <w:rsid w:val="005E5B8F"/>
    <w:rsid w:val="005E7647"/>
    <w:rsid w:val="005F0279"/>
    <w:rsid w:val="005F158E"/>
    <w:rsid w:val="005F1F80"/>
    <w:rsid w:val="005F3F30"/>
    <w:rsid w:val="005F499F"/>
    <w:rsid w:val="005F534E"/>
    <w:rsid w:val="005F72F2"/>
    <w:rsid w:val="005F7D2D"/>
    <w:rsid w:val="0060207A"/>
    <w:rsid w:val="00603463"/>
    <w:rsid w:val="006036A8"/>
    <w:rsid w:val="00606B15"/>
    <w:rsid w:val="00607D69"/>
    <w:rsid w:val="00613112"/>
    <w:rsid w:val="00613DB0"/>
    <w:rsid w:val="00616ED2"/>
    <w:rsid w:val="006175DF"/>
    <w:rsid w:val="00620203"/>
    <w:rsid w:val="00625544"/>
    <w:rsid w:val="00626608"/>
    <w:rsid w:val="00626B85"/>
    <w:rsid w:val="00627EBC"/>
    <w:rsid w:val="00627F74"/>
    <w:rsid w:val="00630266"/>
    <w:rsid w:val="00630893"/>
    <w:rsid w:val="0063182C"/>
    <w:rsid w:val="006353C8"/>
    <w:rsid w:val="00635AFA"/>
    <w:rsid w:val="00636A70"/>
    <w:rsid w:val="00637148"/>
    <w:rsid w:val="006404D3"/>
    <w:rsid w:val="00641F9B"/>
    <w:rsid w:val="006425A0"/>
    <w:rsid w:val="00644E6F"/>
    <w:rsid w:val="00645EA2"/>
    <w:rsid w:val="00646BFC"/>
    <w:rsid w:val="006500D8"/>
    <w:rsid w:val="00650632"/>
    <w:rsid w:val="00650A79"/>
    <w:rsid w:val="00650E86"/>
    <w:rsid w:val="00650FE6"/>
    <w:rsid w:val="00657085"/>
    <w:rsid w:val="0065778C"/>
    <w:rsid w:val="00657B10"/>
    <w:rsid w:val="00657CD3"/>
    <w:rsid w:val="00660040"/>
    <w:rsid w:val="00661F69"/>
    <w:rsid w:val="00665244"/>
    <w:rsid w:val="006656FC"/>
    <w:rsid w:val="0066575A"/>
    <w:rsid w:val="00670750"/>
    <w:rsid w:val="006710C7"/>
    <w:rsid w:val="00677EEC"/>
    <w:rsid w:val="006805F4"/>
    <w:rsid w:val="006808D7"/>
    <w:rsid w:val="00681ADD"/>
    <w:rsid w:val="00681FF2"/>
    <w:rsid w:val="00682DE6"/>
    <w:rsid w:val="0068338F"/>
    <w:rsid w:val="0068459D"/>
    <w:rsid w:val="00684D8F"/>
    <w:rsid w:val="00687404"/>
    <w:rsid w:val="00687A46"/>
    <w:rsid w:val="006959C2"/>
    <w:rsid w:val="00696EB4"/>
    <w:rsid w:val="006979A8"/>
    <w:rsid w:val="00697FD2"/>
    <w:rsid w:val="006A0907"/>
    <w:rsid w:val="006A1D6C"/>
    <w:rsid w:val="006A23DE"/>
    <w:rsid w:val="006A27DF"/>
    <w:rsid w:val="006A3710"/>
    <w:rsid w:val="006A579D"/>
    <w:rsid w:val="006A5DA5"/>
    <w:rsid w:val="006B0055"/>
    <w:rsid w:val="006B01F4"/>
    <w:rsid w:val="006B29E2"/>
    <w:rsid w:val="006B2BF0"/>
    <w:rsid w:val="006B3E0B"/>
    <w:rsid w:val="006B588F"/>
    <w:rsid w:val="006B5A35"/>
    <w:rsid w:val="006B7948"/>
    <w:rsid w:val="006C33E2"/>
    <w:rsid w:val="006C3B7A"/>
    <w:rsid w:val="006C59E6"/>
    <w:rsid w:val="006C623A"/>
    <w:rsid w:val="006D01C0"/>
    <w:rsid w:val="006D027B"/>
    <w:rsid w:val="006D2348"/>
    <w:rsid w:val="006D4E27"/>
    <w:rsid w:val="006D5092"/>
    <w:rsid w:val="006D535A"/>
    <w:rsid w:val="006E02D9"/>
    <w:rsid w:val="006E09C6"/>
    <w:rsid w:val="006E0A09"/>
    <w:rsid w:val="006E1130"/>
    <w:rsid w:val="006E23DF"/>
    <w:rsid w:val="006E3FD1"/>
    <w:rsid w:val="006F00B4"/>
    <w:rsid w:val="006F0E88"/>
    <w:rsid w:val="006F4A56"/>
    <w:rsid w:val="006F4CF1"/>
    <w:rsid w:val="006F55B4"/>
    <w:rsid w:val="006F58A2"/>
    <w:rsid w:val="006F5FEF"/>
    <w:rsid w:val="006F66D5"/>
    <w:rsid w:val="006F6D4D"/>
    <w:rsid w:val="006F6DB2"/>
    <w:rsid w:val="006F78F6"/>
    <w:rsid w:val="006F794F"/>
    <w:rsid w:val="007008A6"/>
    <w:rsid w:val="0070127D"/>
    <w:rsid w:val="00703D87"/>
    <w:rsid w:val="00703D8A"/>
    <w:rsid w:val="00704FDD"/>
    <w:rsid w:val="00705CC6"/>
    <w:rsid w:val="007065FB"/>
    <w:rsid w:val="00707A10"/>
    <w:rsid w:val="00710FB4"/>
    <w:rsid w:val="00711A40"/>
    <w:rsid w:val="00712C54"/>
    <w:rsid w:val="00713433"/>
    <w:rsid w:val="00717D10"/>
    <w:rsid w:val="0072269D"/>
    <w:rsid w:val="007246BA"/>
    <w:rsid w:val="00727A16"/>
    <w:rsid w:val="00727A1C"/>
    <w:rsid w:val="00730516"/>
    <w:rsid w:val="00731FF5"/>
    <w:rsid w:val="00734414"/>
    <w:rsid w:val="007354DB"/>
    <w:rsid w:val="00744274"/>
    <w:rsid w:val="007458D8"/>
    <w:rsid w:val="00746729"/>
    <w:rsid w:val="007470D7"/>
    <w:rsid w:val="0074734B"/>
    <w:rsid w:val="007477F8"/>
    <w:rsid w:val="007506F9"/>
    <w:rsid w:val="00750C8E"/>
    <w:rsid w:val="00752E1C"/>
    <w:rsid w:val="0075378F"/>
    <w:rsid w:val="007537BA"/>
    <w:rsid w:val="00753D5C"/>
    <w:rsid w:val="00756590"/>
    <w:rsid w:val="00757803"/>
    <w:rsid w:val="00761EFC"/>
    <w:rsid w:val="007637D2"/>
    <w:rsid w:val="0076540D"/>
    <w:rsid w:val="00765BF7"/>
    <w:rsid w:val="00767EC5"/>
    <w:rsid w:val="007716A1"/>
    <w:rsid w:val="007717BF"/>
    <w:rsid w:val="00772E35"/>
    <w:rsid w:val="0077300F"/>
    <w:rsid w:val="007737D5"/>
    <w:rsid w:val="0077476C"/>
    <w:rsid w:val="00776B46"/>
    <w:rsid w:val="00777B6B"/>
    <w:rsid w:val="00777F70"/>
    <w:rsid w:val="00781229"/>
    <w:rsid w:val="00782814"/>
    <w:rsid w:val="00782E17"/>
    <w:rsid w:val="007836E8"/>
    <w:rsid w:val="00783ED0"/>
    <w:rsid w:val="00784D48"/>
    <w:rsid w:val="00785373"/>
    <w:rsid w:val="007856E5"/>
    <w:rsid w:val="00785D19"/>
    <w:rsid w:val="00790D17"/>
    <w:rsid w:val="00792198"/>
    <w:rsid w:val="007957D8"/>
    <w:rsid w:val="00795A3D"/>
    <w:rsid w:val="0079793E"/>
    <w:rsid w:val="007A1A5A"/>
    <w:rsid w:val="007A2FD9"/>
    <w:rsid w:val="007A553C"/>
    <w:rsid w:val="007A5B2D"/>
    <w:rsid w:val="007A5E24"/>
    <w:rsid w:val="007A6871"/>
    <w:rsid w:val="007B462B"/>
    <w:rsid w:val="007B4D30"/>
    <w:rsid w:val="007B7B66"/>
    <w:rsid w:val="007C48E1"/>
    <w:rsid w:val="007D1DDC"/>
    <w:rsid w:val="007D25A2"/>
    <w:rsid w:val="007D28B4"/>
    <w:rsid w:val="007D380C"/>
    <w:rsid w:val="007D51B0"/>
    <w:rsid w:val="007E2439"/>
    <w:rsid w:val="007E357D"/>
    <w:rsid w:val="007E5615"/>
    <w:rsid w:val="007E5843"/>
    <w:rsid w:val="007E6859"/>
    <w:rsid w:val="007E7F17"/>
    <w:rsid w:val="007F264D"/>
    <w:rsid w:val="007F30DA"/>
    <w:rsid w:val="007F487D"/>
    <w:rsid w:val="007F6CFE"/>
    <w:rsid w:val="00801C67"/>
    <w:rsid w:val="00802047"/>
    <w:rsid w:val="00802F36"/>
    <w:rsid w:val="00803CB0"/>
    <w:rsid w:val="00807319"/>
    <w:rsid w:val="00807738"/>
    <w:rsid w:val="008100FD"/>
    <w:rsid w:val="00810C39"/>
    <w:rsid w:val="00813EDA"/>
    <w:rsid w:val="008144A6"/>
    <w:rsid w:val="008144E7"/>
    <w:rsid w:val="00815428"/>
    <w:rsid w:val="008214EF"/>
    <w:rsid w:val="00824BA8"/>
    <w:rsid w:val="0082533E"/>
    <w:rsid w:val="008256A7"/>
    <w:rsid w:val="00831D8F"/>
    <w:rsid w:val="008376E4"/>
    <w:rsid w:val="00840045"/>
    <w:rsid w:val="00840788"/>
    <w:rsid w:val="008418B6"/>
    <w:rsid w:val="008422DB"/>
    <w:rsid w:val="00842CF3"/>
    <w:rsid w:val="00843131"/>
    <w:rsid w:val="00843910"/>
    <w:rsid w:val="0084542C"/>
    <w:rsid w:val="00845E5E"/>
    <w:rsid w:val="008460E6"/>
    <w:rsid w:val="008466C2"/>
    <w:rsid w:val="00846B3B"/>
    <w:rsid w:val="00851D15"/>
    <w:rsid w:val="008524CC"/>
    <w:rsid w:val="008557BF"/>
    <w:rsid w:val="00855FC8"/>
    <w:rsid w:val="00857EA9"/>
    <w:rsid w:val="008616AE"/>
    <w:rsid w:val="00861819"/>
    <w:rsid w:val="00862780"/>
    <w:rsid w:val="00863343"/>
    <w:rsid w:val="008634FB"/>
    <w:rsid w:val="008674C7"/>
    <w:rsid w:val="0087032F"/>
    <w:rsid w:val="00871EB7"/>
    <w:rsid w:val="00872CFE"/>
    <w:rsid w:val="00873717"/>
    <w:rsid w:val="008742F0"/>
    <w:rsid w:val="008750CB"/>
    <w:rsid w:val="00881B83"/>
    <w:rsid w:val="008824AB"/>
    <w:rsid w:val="00882BDD"/>
    <w:rsid w:val="00883A6E"/>
    <w:rsid w:val="008848F8"/>
    <w:rsid w:val="00885746"/>
    <w:rsid w:val="00886FA3"/>
    <w:rsid w:val="00890130"/>
    <w:rsid w:val="00892C1F"/>
    <w:rsid w:val="00892F97"/>
    <w:rsid w:val="00893F14"/>
    <w:rsid w:val="00896C8F"/>
    <w:rsid w:val="008A0085"/>
    <w:rsid w:val="008A0824"/>
    <w:rsid w:val="008A18C4"/>
    <w:rsid w:val="008A1E28"/>
    <w:rsid w:val="008A5343"/>
    <w:rsid w:val="008A6868"/>
    <w:rsid w:val="008B1316"/>
    <w:rsid w:val="008B1428"/>
    <w:rsid w:val="008B1CD5"/>
    <w:rsid w:val="008B35E2"/>
    <w:rsid w:val="008B5377"/>
    <w:rsid w:val="008B55B7"/>
    <w:rsid w:val="008B6344"/>
    <w:rsid w:val="008B6CF6"/>
    <w:rsid w:val="008B7C48"/>
    <w:rsid w:val="008C0DD3"/>
    <w:rsid w:val="008C384F"/>
    <w:rsid w:val="008C3F80"/>
    <w:rsid w:val="008C4CFF"/>
    <w:rsid w:val="008C5E59"/>
    <w:rsid w:val="008D0A66"/>
    <w:rsid w:val="008D1E45"/>
    <w:rsid w:val="008D2D29"/>
    <w:rsid w:val="008D3551"/>
    <w:rsid w:val="008D4E1E"/>
    <w:rsid w:val="008E0D9C"/>
    <w:rsid w:val="008E5769"/>
    <w:rsid w:val="008E61E2"/>
    <w:rsid w:val="008E78A7"/>
    <w:rsid w:val="008F4559"/>
    <w:rsid w:val="008F5AE9"/>
    <w:rsid w:val="008F7AC0"/>
    <w:rsid w:val="00901205"/>
    <w:rsid w:val="00901C5F"/>
    <w:rsid w:val="009046DE"/>
    <w:rsid w:val="00904FDF"/>
    <w:rsid w:val="0090532B"/>
    <w:rsid w:val="009071CD"/>
    <w:rsid w:val="00910CB4"/>
    <w:rsid w:val="00911A8E"/>
    <w:rsid w:val="009131E3"/>
    <w:rsid w:val="00913E35"/>
    <w:rsid w:val="00916A8B"/>
    <w:rsid w:val="00917036"/>
    <w:rsid w:val="00917F82"/>
    <w:rsid w:val="009202F4"/>
    <w:rsid w:val="00920D87"/>
    <w:rsid w:val="0092224A"/>
    <w:rsid w:val="00922E0E"/>
    <w:rsid w:val="009236B8"/>
    <w:rsid w:val="00923A24"/>
    <w:rsid w:val="00923CC0"/>
    <w:rsid w:val="0092463E"/>
    <w:rsid w:val="00924675"/>
    <w:rsid w:val="00924B0F"/>
    <w:rsid w:val="009327CE"/>
    <w:rsid w:val="00932E8B"/>
    <w:rsid w:val="009338EB"/>
    <w:rsid w:val="00934DC3"/>
    <w:rsid w:val="0093625B"/>
    <w:rsid w:val="00937763"/>
    <w:rsid w:val="00941339"/>
    <w:rsid w:val="00941974"/>
    <w:rsid w:val="0094217A"/>
    <w:rsid w:val="009424D3"/>
    <w:rsid w:val="009426ED"/>
    <w:rsid w:val="00942D1F"/>
    <w:rsid w:val="009433FE"/>
    <w:rsid w:val="00945C6D"/>
    <w:rsid w:val="00946170"/>
    <w:rsid w:val="009461A6"/>
    <w:rsid w:val="00946607"/>
    <w:rsid w:val="00950923"/>
    <w:rsid w:val="00951EC9"/>
    <w:rsid w:val="0095294D"/>
    <w:rsid w:val="00954AC9"/>
    <w:rsid w:val="0095520D"/>
    <w:rsid w:val="0095582A"/>
    <w:rsid w:val="009616CE"/>
    <w:rsid w:val="00961A1C"/>
    <w:rsid w:val="00961B3B"/>
    <w:rsid w:val="00963841"/>
    <w:rsid w:val="009646E8"/>
    <w:rsid w:val="00966912"/>
    <w:rsid w:val="009674BE"/>
    <w:rsid w:val="00971888"/>
    <w:rsid w:val="00971899"/>
    <w:rsid w:val="009719B9"/>
    <w:rsid w:val="0097271E"/>
    <w:rsid w:val="00972E61"/>
    <w:rsid w:val="00975658"/>
    <w:rsid w:val="00976B05"/>
    <w:rsid w:val="00977D11"/>
    <w:rsid w:val="00980520"/>
    <w:rsid w:val="00980822"/>
    <w:rsid w:val="00981446"/>
    <w:rsid w:val="009835FF"/>
    <w:rsid w:val="00984D18"/>
    <w:rsid w:val="00985CBE"/>
    <w:rsid w:val="00986A2F"/>
    <w:rsid w:val="00986CD1"/>
    <w:rsid w:val="00987491"/>
    <w:rsid w:val="00987BE4"/>
    <w:rsid w:val="00987D78"/>
    <w:rsid w:val="00990FA3"/>
    <w:rsid w:val="009926BD"/>
    <w:rsid w:val="009945F8"/>
    <w:rsid w:val="00995EBD"/>
    <w:rsid w:val="009A2D69"/>
    <w:rsid w:val="009A43D5"/>
    <w:rsid w:val="009A4CFB"/>
    <w:rsid w:val="009A531C"/>
    <w:rsid w:val="009B0D12"/>
    <w:rsid w:val="009B273B"/>
    <w:rsid w:val="009B2856"/>
    <w:rsid w:val="009B6038"/>
    <w:rsid w:val="009B60BE"/>
    <w:rsid w:val="009B6286"/>
    <w:rsid w:val="009B7081"/>
    <w:rsid w:val="009C0346"/>
    <w:rsid w:val="009C1556"/>
    <w:rsid w:val="009C379A"/>
    <w:rsid w:val="009C4AF7"/>
    <w:rsid w:val="009C678D"/>
    <w:rsid w:val="009C6901"/>
    <w:rsid w:val="009C70E5"/>
    <w:rsid w:val="009C7755"/>
    <w:rsid w:val="009C7793"/>
    <w:rsid w:val="009C7FED"/>
    <w:rsid w:val="009D06CC"/>
    <w:rsid w:val="009D0AED"/>
    <w:rsid w:val="009D0C3D"/>
    <w:rsid w:val="009D20EE"/>
    <w:rsid w:val="009D4036"/>
    <w:rsid w:val="009D46CE"/>
    <w:rsid w:val="009D4A09"/>
    <w:rsid w:val="009D6192"/>
    <w:rsid w:val="009D776C"/>
    <w:rsid w:val="009E03B2"/>
    <w:rsid w:val="009E2404"/>
    <w:rsid w:val="009E28BC"/>
    <w:rsid w:val="009E3399"/>
    <w:rsid w:val="009E3B8A"/>
    <w:rsid w:val="009E477F"/>
    <w:rsid w:val="009E4BD9"/>
    <w:rsid w:val="009E4CEE"/>
    <w:rsid w:val="009E7BCA"/>
    <w:rsid w:val="009E7CA3"/>
    <w:rsid w:val="009F3E8D"/>
    <w:rsid w:val="009F467F"/>
    <w:rsid w:val="009F5894"/>
    <w:rsid w:val="009F68F4"/>
    <w:rsid w:val="009F7394"/>
    <w:rsid w:val="009F7491"/>
    <w:rsid w:val="00A00B61"/>
    <w:rsid w:val="00A02A93"/>
    <w:rsid w:val="00A03365"/>
    <w:rsid w:val="00A04DA8"/>
    <w:rsid w:val="00A06CA8"/>
    <w:rsid w:val="00A11EC7"/>
    <w:rsid w:val="00A12DD0"/>
    <w:rsid w:val="00A130E6"/>
    <w:rsid w:val="00A14161"/>
    <w:rsid w:val="00A15D1B"/>
    <w:rsid w:val="00A164C1"/>
    <w:rsid w:val="00A16E12"/>
    <w:rsid w:val="00A176D2"/>
    <w:rsid w:val="00A21914"/>
    <w:rsid w:val="00A2201E"/>
    <w:rsid w:val="00A241B1"/>
    <w:rsid w:val="00A24A91"/>
    <w:rsid w:val="00A24D67"/>
    <w:rsid w:val="00A25A28"/>
    <w:rsid w:val="00A266D1"/>
    <w:rsid w:val="00A31E7A"/>
    <w:rsid w:val="00A33C39"/>
    <w:rsid w:val="00A34337"/>
    <w:rsid w:val="00A3451B"/>
    <w:rsid w:val="00A34E3D"/>
    <w:rsid w:val="00A37F81"/>
    <w:rsid w:val="00A40A84"/>
    <w:rsid w:val="00A41ED1"/>
    <w:rsid w:val="00A43550"/>
    <w:rsid w:val="00A44E19"/>
    <w:rsid w:val="00A46090"/>
    <w:rsid w:val="00A471CE"/>
    <w:rsid w:val="00A512B5"/>
    <w:rsid w:val="00A51575"/>
    <w:rsid w:val="00A52658"/>
    <w:rsid w:val="00A545C9"/>
    <w:rsid w:val="00A65BD9"/>
    <w:rsid w:val="00A65E15"/>
    <w:rsid w:val="00A66B03"/>
    <w:rsid w:val="00A7237A"/>
    <w:rsid w:val="00A73556"/>
    <w:rsid w:val="00A82170"/>
    <w:rsid w:val="00A83D10"/>
    <w:rsid w:val="00A84365"/>
    <w:rsid w:val="00A8672A"/>
    <w:rsid w:val="00A874B6"/>
    <w:rsid w:val="00A908C2"/>
    <w:rsid w:val="00A915A1"/>
    <w:rsid w:val="00A92CC4"/>
    <w:rsid w:val="00A9662A"/>
    <w:rsid w:val="00A96F37"/>
    <w:rsid w:val="00AA6BA9"/>
    <w:rsid w:val="00AA7E44"/>
    <w:rsid w:val="00AB0970"/>
    <w:rsid w:val="00AB386E"/>
    <w:rsid w:val="00AB500F"/>
    <w:rsid w:val="00AB50AF"/>
    <w:rsid w:val="00AB75D4"/>
    <w:rsid w:val="00AC0E3C"/>
    <w:rsid w:val="00AC40EA"/>
    <w:rsid w:val="00AC4E47"/>
    <w:rsid w:val="00AC5577"/>
    <w:rsid w:val="00AC625F"/>
    <w:rsid w:val="00AC655F"/>
    <w:rsid w:val="00AC7EE4"/>
    <w:rsid w:val="00AD0327"/>
    <w:rsid w:val="00AD15BD"/>
    <w:rsid w:val="00AD1790"/>
    <w:rsid w:val="00AD29E1"/>
    <w:rsid w:val="00AD31F9"/>
    <w:rsid w:val="00AD400E"/>
    <w:rsid w:val="00AD40E6"/>
    <w:rsid w:val="00AD5FB8"/>
    <w:rsid w:val="00AD700C"/>
    <w:rsid w:val="00AE2B79"/>
    <w:rsid w:val="00AE4233"/>
    <w:rsid w:val="00AE5760"/>
    <w:rsid w:val="00AE5CB3"/>
    <w:rsid w:val="00AE5DA8"/>
    <w:rsid w:val="00AE61ED"/>
    <w:rsid w:val="00AE63C2"/>
    <w:rsid w:val="00AE7507"/>
    <w:rsid w:val="00AE7D74"/>
    <w:rsid w:val="00AE7FA6"/>
    <w:rsid w:val="00AF1359"/>
    <w:rsid w:val="00AF2D77"/>
    <w:rsid w:val="00AF4731"/>
    <w:rsid w:val="00AF4B61"/>
    <w:rsid w:val="00AF4ED4"/>
    <w:rsid w:val="00AF4EEA"/>
    <w:rsid w:val="00AF58BF"/>
    <w:rsid w:val="00B00948"/>
    <w:rsid w:val="00B03E5F"/>
    <w:rsid w:val="00B0513A"/>
    <w:rsid w:val="00B10245"/>
    <w:rsid w:val="00B1033D"/>
    <w:rsid w:val="00B1076C"/>
    <w:rsid w:val="00B11C69"/>
    <w:rsid w:val="00B13FBD"/>
    <w:rsid w:val="00B14BC3"/>
    <w:rsid w:val="00B1548B"/>
    <w:rsid w:val="00B16706"/>
    <w:rsid w:val="00B205B8"/>
    <w:rsid w:val="00B209C8"/>
    <w:rsid w:val="00B21217"/>
    <w:rsid w:val="00B216F7"/>
    <w:rsid w:val="00B2269B"/>
    <w:rsid w:val="00B237CB"/>
    <w:rsid w:val="00B27209"/>
    <w:rsid w:val="00B305FF"/>
    <w:rsid w:val="00B331F2"/>
    <w:rsid w:val="00B360AC"/>
    <w:rsid w:val="00B37A6E"/>
    <w:rsid w:val="00B4095E"/>
    <w:rsid w:val="00B40C2A"/>
    <w:rsid w:val="00B434BA"/>
    <w:rsid w:val="00B43A5E"/>
    <w:rsid w:val="00B445A0"/>
    <w:rsid w:val="00B4532E"/>
    <w:rsid w:val="00B453E4"/>
    <w:rsid w:val="00B45D8E"/>
    <w:rsid w:val="00B45E6E"/>
    <w:rsid w:val="00B5628B"/>
    <w:rsid w:val="00B5634E"/>
    <w:rsid w:val="00B575C3"/>
    <w:rsid w:val="00B605DF"/>
    <w:rsid w:val="00B60FDD"/>
    <w:rsid w:val="00B624EB"/>
    <w:rsid w:val="00B630E8"/>
    <w:rsid w:val="00B64E48"/>
    <w:rsid w:val="00B651B7"/>
    <w:rsid w:val="00B71144"/>
    <w:rsid w:val="00B71952"/>
    <w:rsid w:val="00B75F5E"/>
    <w:rsid w:val="00B76849"/>
    <w:rsid w:val="00B80B1B"/>
    <w:rsid w:val="00B826F5"/>
    <w:rsid w:val="00B844BE"/>
    <w:rsid w:val="00B849A4"/>
    <w:rsid w:val="00B84EDA"/>
    <w:rsid w:val="00B84EEE"/>
    <w:rsid w:val="00B85426"/>
    <w:rsid w:val="00B87510"/>
    <w:rsid w:val="00B877AC"/>
    <w:rsid w:val="00B91657"/>
    <w:rsid w:val="00B9167D"/>
    <w:rsid w:val="00B93F80"/>
    <w:rsid w:val="00BA006F"/>
    <w:rsid w:val="00BA1467"/>
    <w:rsid w:val="00BA2087"/>
    <w:rsid w:val="00BA6FF8"/>
    <w:rsid w:val="00BA769C"/>
    <w:rsid w:val="00BB2BBA"/>
    <w:rsid w:val="00BB2FDD"/>
    <w:rsid w:val="00BB3D4C"/>
    <w:rsid w:val="00BB3ED9"/>
    <w:rsid w:val="00BB4CBA"/>
    <w:rsid w:val="00BC0AFD"/>
    <w:rsid w:val="00BC1999"/>
    <w:rsid w:val="00BC1DE0"/>
    <w:rsid w:val="00BC40D3"/>
    <w:rsid w:val="00BC4E1C"/>
    <w:rsid w:val="00BC52C7"/>
    <w:rsid w:val="00BC702F"/>
    <w:rsid w:val="00BD02A7"/>
    <w:rsid w:val="00BD4518"/>
    <w:rsid w:val="00BD5179"/>
    <w:rsid w:val="00BD700A"/>
    <w:rsid w:val="00BE42EF"/>
    <w:rsid w:val="00BE4553"/>
    <w:rsid w:val="00BE5073"/>
    <w:rsid w:val="00BF0870"/>
    <w:rsid w:val="00BF0F63"/>
    <w:rsid w:val="00BF1ED3"/>
    <w:rsid w:val="00BF26CA"/>
    <w:rsid w:val="00BF27A7"/>
    <w:rsid w:val="00BF5709"/>
    <w:rsid w:val="00BF5A99"/>
    <w:rsid w:val="00C05C7A"/>
    <w:rsid w:val="00C07282"/>
    <w:rsid w:val="00C07359"/>
    <w:rsid w:val="00C07CAA"/>
    <w:rsid w:val="00C114C0"/>
    <w:rsid w:val="00C12215"/>
    <w:rsid w:val="00C13623"/>
    <w:rsid w:val="00C13BAE"/>
    <w:rsid w:val="00C15B0E"/>
    <w:rsid w:val="00C16653"/>
    <w:rsid w:val="00C1788D"/>
    <w:rsid w:val="00C21FA0"/>
    <w:rsid w:val="00C251FE"/>
    <w:rsid w:val="00C27A6C"/>
    <w:rsid w:val="00C33E95"/>
    <w:rsid w:val="00C37EF7"/>
    <w:rsid w:val="00C41078"/>
    <w:rsid w:val="00C4287B"/>
    <w:rsid w:val="00C43145"/>
    <w:rsid w:val="00C44DB2"/>
    <w:rsid w:val="00C44E78"/>
    <w:rsid w:val="00C46139"/>
    <w:rsid w:val="00C473F0"/>
    <w:rsid w:val="00C52BFB"/>
    <w:rsid w:val="00C52E5B"/>
    <w:rsid w:val="00C537E6"/>
    <w:rsid w:val="00C53ECD"/>
    <w:rsid w:val="00C57B63"/>
    <w:rsid w:val="00C62A20"/>
    <w:rsid w:val="00C63A4C"/>
    <w:rsid w:val="00C653F4"/>
    <w:rsid w:val="00C65B00"/>
    <w:rsid w:val="00C673E1"/>
    <w:rsid w:val="00C704BC"/>
    <w:rsid w:val="00C709EE"/>
    <w:rsid w:val="00C70DF7"/>
    <w:rsid w:val="00C717F6"/>
    <w:rsid w:val="00C7340C"/>
    <w:rsid w:val="00C7574F"/>
    <w:rsid w:val="00C7655B"/>
    <w:rsid w:val="00C8010B"/>
    <w:rsid w:val="00C801AE"/>
    <w:rsid w:val="00C807C5"/>
    <w:rsid w:val="00C813D4"/>
    <w:rsid w:val="00C8162B"/>
    <w:rsid w:val="00C8245D"/>
    <w:rsid w:val="00C825B5"/>
    <w:rsid w:val="00C8298A"/>
    <w:rsid w:val="00C8577A"/>
    <w:rsid w:val="00C8767B"/>
    <w:rsid w:val="00C8792C"/>
    <w:rsid w:val="00C87C56"/>
    <w:rsid w:val="00C90F39"/>
    <w:rsid w:val="00C94E81"/>
    <w:rsid w:val="00C951EB"/>
    <w:rsid w:val="00C9711E"/>
    <w:rsid w:val="00C97697"/>
    <w:rsid w:val="00C978C6"/>
    <w:rsid w:val="00C97FF8"/>
    <w:rsid w:val="00CA02C3"/>
    <w:rsid w:val="00CA13F1"/>
    <w:rsid w:val="00CA2C16"/>
    <w:rsid w:val="00CA4520"/>
    <w:rsid w:val="00CA59E9"/>
    <w:rsid w:val="00CA64BE"/>
    <w:rsid w:val="00CB20B7"/>
    <w:rsid w:val="00CC261A"/>
    <w:rsid w:val="00CC2993"/>
    <w:rsid w:val="00CC2F20"/>
    <w:rsid w:val="00CC42E6"/>
    <w:rsid w:val="00CC5895"/>
    <w:rsid w:val="00CD04DB"/>
    <w:rsid w:val="00CD2466"/>
    <w:rsid w:val="00CD4FAF"/>
    <w:rsid w:val="00CD56AB"/>
    <w:rsid w:val="00CD572B"/>
    <w:rsid w:val="00CD60C2"/>
    <w:rsid w:val="00CE12AD"/>
    <w:rsid w:val="00CE1A70"/>
    <w:rsid w:val="00CE2B03"/>
    <w:rsid w:val="00CE2FFE"/>
    <w:rsid w:val="00CE3A62"/>
    <w:rsid w:val="00CE46D2"/>
    <w:rsid w:val="00CE5B9E"/>
    <w:rsid w:val="00CF0E48"/>
    <w:rsid w:val="00CF1B28"/>
    <w:rsid w:val="00CF37AE"/>
    <w:rsid w:val="00CF4F22"/>
    <w:rsid w:val="00CF55B2"/>
    <w:rsid w:val="00CF5B5D"/>
    <w:rsid w:val="00CF600B"/>
    <w:rsid w:val="00D00541"/>
    <w:rsid w:val="00D02768"/>
    <w:rsid w:val="00D02EB8"/>
    <w:rsid w:val="00D030CC"/>
    <w:rsid w:val="00D04007"/>
    <w:rsid w:val="00D05D3F"/>
    <w:rsid w:val="00D07746"/>
    <w:rsid w:val="00D11320"/>
    <w:rsid w:val="00D131C3"/>
    <w:rsid w:val="00D1497E"/>
    <w:rsid w:val="00D14F89"/>
    <w:rsid w:val="00D15B3B"/>
    <w:rsid w:val="00D17953"/>
    <w:rsid w:val="00D17E73"/>
    <w:rsid w:val="00D21E18"/>
    <w:rsid w:val="00D23B7A"/>
    <w:rsid w:val="00D245BE"/>
    <w:rsid w:val="00D302BA"/>
    <w:rsid w:val="00D31DC3"/>
    <w:rsid w:val="00D322D3"/>
    <w:rsid w:val="00D33030"/>
    <w:rsid w:val="00D3477F"/>
    <w:rsid w:val="00D350CF"/>
    <w:rsid w:val="00D36BEC"/>
    <w:rsid w:val="00D37B16"/>
    <w:rsid w:val="00D40991"/>
    <w:rsid w:val="00D42F77"/>
    <w:rsid w:val="00D43047"/>
    <w:rsid w:val="00D43174"/>
    <w:rsid w:val="00D434A9"/>
    <w:rsid w:val="00D43AA8"/>
    <w:rsid w:val="00D43C4D"/>
    <w:rsid w:val="00D44026"/>
    <w:rsid w:val="00D47B44"/>
    <w:rsid w:val="00D47D8B"/>
    <w:rsid w:val="00D513CB"/>
    <w:rsid w:val="00D52202"/>
    <w:rsid w:val="00D55321"/>
    <w:rsid w:val="00D55F17"/>
    <w:rsid w:val="00D55F6A"/>
    <w:rsid w:val="00D5619C"/>
    <w:rsid w:val="00D666AE"/>
    <w:rsid w:val="00D67D04"/>
    <w:rsid w:val="00D70C18"/>
    <w:rsid w:val="00D73A01"/>
    <w:rsid w:val="00D75405"/>
    <w:rsid w:val="00D759C8"/>
    <w:rsid w:val="00D77D40"/>
    <w:rsid w:val="00D835CA"/>
    <w:rsid w:val="00D84B16"/>
    <w:rsid w:val="00D869F4"/>
    <w:rsid w:val="00D86E45"/>
    <w:rsid w:val="00D90A2C"/>
    <w:rsid w:val="00D90CE5"/>
    <w:rsid w:val="00D91E0B"/>
    <w:rsid w:val="00D9274A"/>
    <w:rsid w:val="00D92B7D"/>
    <w:rsid w:val="00D930B9"/>
    <w:rsid w:val="00D93CB1"/>
    <w:rsid w:val="00D96641"/>
    <w:rsid w:val="00D9691E"/>
    <w:rsid w:val="00DA0625"/>
    <w:rsid w:val="00DA11C1"/>
    <w:rsid w:val="00DA2698"/>
    <w:rsid w:val="00DA27AE"/>
    <w:rsid w:val="00DA377F"/>
    <w:rsid w:val="00DA474C"/>
    <w:rsid w:val="00DA49B2"/>
    <w:rsid w:val="00DA5A8C"/>
    <w:rsid w:val="00DA5BFB"/>
    <w:rsid w:val="00DB084A"/>
    <w:rsid w:val="00DB0918"/>
    <w:rsid w:val="00DB0FE6"/>
    <w:rsid w:val="00DB7883"/>
    <w:rsid w:val="00DC1715"/>
    <w:rsid w:val="00DC1AE3"/>
    <w:rsid w:val="00DC1E95"/>
    <w:rsid w:val="00DC2EE6"/>
    <w:rsid w:val="00DC3D70"/>
    <w:rsid w:val="00DC77BE"/>
    <w:rsid w:val="00DD0060"/>
    <w:rsid w:val="00DD0836"/>
    <w:rsid w:val="00DD0D58"/>
    <w:rsid w:val="00DD11D9"/>
    <w:rsid w:val="00DD307C"/>
    <w:rsid w:val="00DD61AD"/>
    <w:rsid w:val="00DD6FB6"/>
    <w:rsid w:val="00DE3C2F"/>
    <w:rsid w:val="00DE4D64"/>
    <w:rsid w:val="00DE5580"/>
    <w:rsid w:val="00DE64B6"/>
    <w:rsid w:val="00DE66A0"/>
    <w:rsid w:val="00DE74CF"/>
    <w:rsid w:val="00DF3DB7"/>
    <w:rsid w:val="00DF52CA"/>
    <w:rsid w:val="00DF6797"/>
    <w:rsid w:val="00DF7CD3"/>
    <w:rsid w:val="00DF7E68"/>
    <w:rsid w:val="00E00100"/>
    <w:rsid w:val="00E00AA3"/>
    <w:rsid w:val="00E00DA1"/>
    <w:rsid w:val="00E02FA6"/>
    <w:rsid w:val="00E06737"/>
    <w:rsid w:val="00E1115A"/>
    <w:rsid w:val="00E13D33"/>
    <w:rsid w:val="00E17A61"/>
    <w:rsid w:val="00E203A9"/>
    <w:rsid w:val="00E2409C"/>
    <w:rsid w:val="00E248B9"/>
    <w:rsid w:val="00E252A3"/>
    <w:rsid w:val="00E27975"/>
    <w:rsid w:val="00E27CDF"/>
    <w:rsid w:val="00E27EB4"/>
    <w:rsid w:val="00E3027F"/>
    <w:rsid w:val="00E30CE6"/>
    <w:rsid w:val="00E30FE1"/>
    <w:rsid w:val="00E3131B"/>
    <w:rsid w:val="00E313CA"/>
    <w:rsid w:val="00E340E1"/>
    <w:rsid w:val="00E35CF4"/>
    <w:rsid w:val="00E40B22"/>
    <w:rsid w:val="00E40D7B"/>
    <w:rsid w:val="00E426AE"/>
    <w:rsid w:val="00E42AC3"/>
    <w:rsid w:val="00E42D77"/>
    <w:rsid w:val="00E441F3"/>
    <w:rsid w:val="00E45C3A"/>
    <w:rsid w:val="00E45EB8"/>
    <w:rsid w:val="00E4636C"/>
    <w:rsid w:val="00E47B2B"/>
    <w:rsid w:val="00E50CE2"/>
    <w:rsid w:val="00E52B81"/>
    <w:rsid w:val="00E536AE"/>
    <w:rsid w:val="00E54283"/>
    <w:rsid w:val="00E542FB"/>
    <w:rsid w:val="00E553F3"/>
    <w:rsid w:val="00E555B2"/>
    <w:rsid w:val="00E606E0"/>
    <w:rsid w:val="00E65F42"/>
    <w:rsid w:val="00E66088"/>
    <w:rsid w:val="00E70DFE"/>
    <w:rsid w:val="00E71173"/>
    <w:rsid w:val="00E71ED8"/>
    <w:rsid w:val="00E71FA9"/>
    <w:rsid w:val="00E7267F"/>
    <w:rsid w:val="00E7384A"/>
    <w:rsid w:val="00E73D37"/>
    <w:rsid w:val="00E73F32"/>
    <w:rsid w:val="00E74954"/>
    <w:rsid w:val="00E74AC6"/>
    <w:rsid w:val="00E7532B"/>
    <w:rsid w:val="00E76EBB"/>
    <w:rsid w:val="00E77596"/>
    <w:rsid w:val="00E831B5"/>
    <w:rsid w:val="00E857CE"/>
    <w:rsid w:val="00E859A8"/>
    <w:rsid w:val="00E85A4D"/>
    <w:rsid w:val="00E86882"/>
    <w:rsid w:val="00E86E7D"/>
    <w:rsid w:val="00E87ED2"/>
    <w:rsid w:val="00E9063E"/>
    <w:rsid w:val="00E95A34"/>
    <w:rsid w:val="00E96384"/>
    <w:rsid w:val="00EA0AEF"/>
    <w:rsid w:val="00EA11B6"/>
    <w:rsid w:val="00EA1913"/>
    <w:rsid w:val="00EA1FAA"/>
    <w:rsid w:val="00EA36B9"/>
    <w:rsid w:val="00EA65B9"/>
    <w:rsid w:val="00EA7EEB"/>
    <w:rsid w:val="00EB0ED1"/>
    <w:rsid w:val="00EB1D00"/>
    <w:rsid w:val="00EB41C4"/>
    <w:rsid w:val="00EB5C83"/>
    <w:rsid w:val="00EB7EA9"/>
    <w:rsid w:val="00EC1F89"/>
    <w:rsid w:val="00EC28A0"/>
    <w:rsid w:val="00EC57A6"/>
    <w:rsid w:val="00EC5F39"/>
    <w:rsid w:val="00EC6CA2"/>
    <w:rsid w:val="00ED0687"/>
    <w:rsid w:val="00ED0A50"/>
    <w:rsid w:val="00ED0D67"/>
    <w:rsid w:val="00ED11BD"/>
    <w:rsid w:val="00ED16F7"/>
    <w:rsid w:val="00ED1BFB"/>
    <w:rsid w:val="00ED2990"/>
    <w:rsid w:val="00ED3361"/>
    <w:rsid w:val="00ED382D"/>
    <w:rsid w:val="00ED3A45"/>
    <w:rsid w:val="00ED3E57"/>
    <w:rsid w:val="00ED3EC9"/>
    <w:rsid w:val="00ED6A45"/>
    <w:rsid w:val="00ED6B62"/>
    <w:rsid w:val="00ED73B6"/>
    <w:rsid w:val="00EE0BC9"/>
    <w:rsid w:val="00EE2B0F"/>
    <w:rsid w:val="00EE3AE0"/>
    <w:rsid w:val="00EE4044"/>
    <w:rsid w:val="00EE539C"/>
    <w:rsid w:val="00EF123D"/>
    <w:rsid w:val="00EF3F28"/>
    <w:rsid w:val="00EF79C2"/>
    <w:rsid w:val="00F005CD"/>
    <w:rsid w:val="00F02C77"/>
    <w:rsid w:val="00F03E08"/>
    <w:rsid w:val="00F03E8A"/>
    <w:rsid w:val="00F06C10"/>
    <w:rsid w:val="00F12913"/>
    <w:rsid w:val="00F130B8"/>
    <w:rsid w:val="00F141CF"/>
    <w:rsid w:val="00F148ED"/>
    <w:rsid w:val="00F1681D"/>
    <w:rsid w:val="00F16AE5"/>
    <w:rsid w:val="00F17B52"/>
    <w:rsid w:val="00F23179"/>
    <w:rsid w:val="00F23B1A"/>
    <w:rsid w:val="00F24FC1"/>
    <w:rsid w:val="00F27026"/>
    <w:rsid w:val="00F27D62"/>
    <w:rsid w:val="00F27E6D"/>
    <w:rsid w:val="00F30635"/>
    <w:rsid w:val="00F31D19"/>
    <w:rsid w:val="00F31F35"/>
    <w:rsid w:val="00F350F3"/>
    <w:rsid w:val="00F360E0"/>
    <w:rsid w:val="00F37251"/>
    <w:rsid w:val="00F37FBD"/>
    <w:rsid w:val="00F40A79"/>
    <w:rsid w:val="00F421C2"/>
    <w:rsid w:val="00F42A8C"/>
    <w:rsid w:val="00F43976"/>
    <w:rsid w:val="00F448A5"/>
    <w:rsid w:val="00F5071C"/>
    <w:rsid w:val="00F5085E"/>
    <w:rsid w:val="00F52F47"/>
    <w:rsid w:val="00F53147"/>
    <w:rsid w:val="00F545E1"/>
    <w:rsid w:val="00F5479E"/>
    <w:rsid w:val="00F56CF5"/>
    <w:rsid w:val="00F573C6"/>
    <w:rsid w:val="00F57C79"/>
    <w:rsid w:val="00F603D9"/>
    <w:rsid w:val="00F606AB"/>
    <w:rsid w:val="00F62D0A"/>
    <w:rsid w:val="00F63C89"/>
    <w:rsid w:val="00F64739"/>
    <w:rsid w:val="00F66101"/>
    <w:rsid w:val="00F67D78"/>
    <w:rsid w:val="00F726D7"/>
    <w:rsid w:val="00F72FCC"/>
    <w:rsid w:val="00F76B79"/>
    <w:rsid w:val="00F771DF"/>
    <w:rsid w:val="00F779C7"/>
    <w:rsid w:val="00F80F95"/>
    <w:rsid w:val="00F81DEF"/>
    <w:rsid w:val="00F83005"/>
    <w:rsid w:val="00F83809"/>
    <w:rsid w:val="00F84313"/>
    <w:rsid w:val="00F86E42"/>
    <w:rsid w:val="00F90197"/>
    <w:rsid w:val="00F90252"/>
    <w:rsid w:val="00F90C94"/>
    <w:rsid w:val="00F932BA"/>
    <w:rsid w:val="00F9378E"/>
    <w:rsid w:val="00F94932"/>
    <w:rsid w:val="00F95F16"/>
    <w:rsid w:val="00FA1117"/>
    <w:rsid w:val="00FA14E2"/>
    <w:rsid w:val="00FA1EBD"/>
    <w:rsid w:val="00FA3233"/>
    <w:rsid w:val="00FA4CD8"/>
    <w:rsid w:val="00FA4EE2"/>
    <w:rsid w:val="00FA7547"/>
    <w:rsid w:val="00FB1C49"/>
    <w:rsid w:val="00FC0604"/>
    <w:rsid w:val="00FC1A0C"/>
    <w:rsid w:val="00FC2CDA"/>
    <w:rsid w:val="00FC306D"/>
    <w:rsid w:val="00FC6A91"/>
    <w:rsid w:val="00FD0E79"/>
    <w:rsid w:val="00FD190B"/>
    <w:rsid w:val="00FD310C"/>
    <w:rsid w:val="00FD411C"/>
    <w:rsid w:val="00FD51B9"/>
    <w:rsid w:val="00FD6206"/>
    <w:rsid w:val="00FD6840"/>
    <w:rsid w:val="00FD6E8E"/>
    <w:rsid w:val="00FE1C8D"/>
    <w:rsid w:val="00FE5A48"/>
    <w:rsid w:val="00FE6FAE"/>
    <w:rsid w:val="00FE77BB"/>
    <w:rsid w:val="00FF0BC6"/>
    <w:rsid w:val="00FF105D"/>
    <w:rsid w:val="00FF151A"/>
    <w:rsid w:val="00FF204C"/>
    <w:rsid w:val="00FF2B5B"/>
    <w:rsid w:val="00FF2DD2"/>
    <w:rsid w:val="00FF30C1"/>
    <w:rsid w:val="00FF319F"/>
    <w:rsid w:val="00FF4CCE"/>
    <w:rsid w:val="00FF6C04"/>
    <w:rsid w:val="00FF706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4457AB"/>
  <w15:chartTrackingRefBased/>
  <w15:docId w15:val="{AAA13328-333F-44E0-90EA-C9C37AA1E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A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634F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634F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634F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634F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634F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634F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634F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634F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634F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34F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634F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8634F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634F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634F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634F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634F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634F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634FB"/>
    <w:rPr>
      <w:rFonts w:eastAsiaTheme="majorEastAsia" w:cstheme="majorBidi"/>
      <w:color w:val="272727" w:themeColor="text1" w:themeTint="D8"/>
    </w:rPr>
  </w:style>
  <w:style w:type="paragraph" w:styleId="Title">
    <w:name w:val="Title"/>
    <w:basedOn w:val="Normal"/>
    <w:next w:val="Normal"/>
    <w:link w:val="TitleChar"/>
    <w:uiPriority w:val="10"/>
    <w:qFormat/>
    <w:rsid w:val="008634F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634F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634F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634F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634FB"/>
    <w:pPr>
      <w:spacing w:before="160"/>
      <w:jc w:val="center"/>
    </w:pPr>
    <w:rPr>
      <w:i/>
      <w:iCs/>
      <w:color w:val="404040" w:themeColor="text1" w:themeTint="BF"/>
    </w:rPr>
  </w:style>
  <w:style w:type="character" w:customStyle="1" w:styleId="QuoteChar">
    <w:name w:val="Quote Char"/>
    <w:basedOn w:val="DefaultParagraphFont"/>
    <w:link w:val="Quote"/>
    <w:uiPriority w:val="29"/>
    <w:rsid w:val="008634FB"/>
    <w:rPr>
      <w:i/>
      <w:iCs/>
      <w:color w:val="404040" w:themeColor="text1" w:themeTint="BF"/>
    </w:rPr>
  </w:style>
  <w:style w:type="paragraph" w:styleId="ListParagraph">
    <w:name w:val="List Paragraph"/>
    <w:basedOn w:val="Normal"/>
    <w:uiPriority w:val="34"/>
    <w:qFormat/>
    <w:rsid w:val="008634FB"/>
    <w:pPr>
      <w:ind w:left="720"/>
      <w:contextualSpacing/>
    </w:pPr>
  </w:style>
  <w:style w:type="character" w:styleId="IntenseEmphasis">
    <w:name w:val="Intense Emphasis"/>
    <w:basedOn w:val="DefaultParagraphFont"/>
    <w:uiPriority w:val="21"/>
    <w:qFormat/>
    <w:rsid w:val="008634FB"/>
    <w:rPr>
      <w:i/>
      <w:iCs/>
      <w:color w:val="0F4761" w:themeColor="accent1" w:themeShade="BF"/>
    </w:rPr>
  </w:style>
  <w:style w:type="paragraph" w:styleId="IntenseQuote">
    <w:name w:val="Intense Quote"/>
    <w:basedOn w:val="Normal"/>
    <w:next w:val="Normal"/>
    <w:link w:val="IntenseQuoteChar"/>
    <w:uiPriority w:val="30"/>
    <w:qFormat/>
    <w:rsid w:val="008634F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634FB"/>
    <w:rPr>
      <w:i/>
      <w:iCs/>
      <w:color w:val="0F4761" w:themeColor="accent1" w:themeShade="BF"/>
    </w:rPr>
  </w:style>
  <w:style w:type="character" w:styleId="IntenseReference">
    <w:name w:val="Intense Reference"/>
    <w:basedOn w:val="DefaultParagraphFont"/>
    <w:uiPriority w:val="32"/>
    <w:qFormat/>
    <w:rsid w:val="008634FB"/>
    <w:rPr>
      <w:b/>
      <w:bCs/>
      <w:smallCaps/>
      <w:color w:val="0F4761" w:themeColor="accent1" w:themeShade="BF"/>
      <w:spacing w:val="5"/>
    </w:rPr>
  </w:style>
  <w:style w:type="character" w:styleId="Hyperlink">
    <w:name w:val="Hyperlink"/>
    <w:basedOn w:val="DefaultParagraphFont"/>
    <w:uiPriority w:val="99"/>
    <w:unhideWhenUsed/>
    <w:rsid w:val="008634FB"/>
    <w:rPr>
      <w:color w:val="467886" w:themeColor="hyperlink"/>
      <w:u w:val="single"/>
    </w:rPr>
  </w:style>
  <w:style w:type="character" w:styleId="UnresolvedMention">
    <w:name w:val="Unresolved Mention"/>
    <w:basedOn w:val="DefaultParagraphFont"/>
    <w:uiPriority w:val="99"/>
    <w:semiHidden/>
    <w:unhideWhenUsed/>
    <w:rsid w:val="008634FB"/>
    <w:rPr>
      <w:color w:val="605E5C"/>
      <w:shd w:val="clear" w:color="auto" w:fill="E1DFDD"/>
    </w:rPr>
  </w:style>
  <w:style w:type="paragraph" w:customStyle="1" w:styleId="EndNoteBibliographyTitle">
    <w:name w:val="EndNote Bibliography Title"/>
    <w:basedOn w:val="Normal"/>
    <w:link w:val="EndNoteBibliographyTitleChar"/>
    <w:rsid w:val="000F7080"/>
    <w:pPr>
      <w:spacing w:after="0"/>
      <w:jc w:val="center"/>
    </w:pPr>
    <w:rPr>
      <w:rFonts w:ascii="Academy Engraved LET" w:hAnsi="Academy Engraved LET"/>
      <w:noProof/>
      <w:lang w:val="en-US"/>
    </w:rPr>
  </w:style>
  <w:style w:type="character" w:customStyle="1" w:styleId="EndNoteBibliographyTitleChar">
    <w:name w:val="EndNote Bibliography Title Char"/>
    <w:basedOn w:val="DefaultParagraphFont"/>
    <w:link w:val="EndNoteBibliographyTitle"/>
    <w:rsid w:val="000F7080"/>
    <w:rPr>
      <w:rFonts w:ascii="Academy Engraved LET" w:hAnsi="Academy Engraved LET"/>
      <w:noProof/>
      <w:lang w:val="en-US"/>
    </w:rPr>
  </w:style>
  <w:style w:type="paragraph" w:customStyle="1" w:styleId="EndNoteBibliography">
    <w:name w:val="EndNote Bibliography"/>
    <w:basedOn w:val="Normal"/>
    <w:link w:val="EndNoteBibliographyChar"/>
    <w:rsid w:val="000F7080"/>
    <w:pPr>
      <w:spacing w:line="240" w:lineRule="auto"/>
    </w:pPr>
    <w:rPr>
      <w:rFonts w:ascii="Academy Engraved LET" w:hAnsi="Academy Engraved LET"/>
      <w:noProof/>
      <w:lang w:val="en-US"/>
    </w:rPr>
  </w:style>
  <w:style w:type="character" w:customStyle="1" w:styleId="EndNoteBibliographyChar">
    <w:name w:val="EndNote Bibliography Char"/>
    <w:basedOn w:val="DefaultParagraphFont"/>
    <w:link w:val="EndNoteBibliography"/>
    <w:rsid w:val="000F7080"/>
    <w:rPr>
      <w:rFonts w:ascii="Academy Engraved LET" w:hAnsi="Academy Engraved LET"/>
      <w:noProof/>
      <w:lang w:val="en-US"/>
    </w:rPr>
  </w:style>
  <w:style w:type="character" w:styleId="Strong">
    <w:name w:val="Strong"/>
    <w:basedOn w:val="DefaultParagraphFont"/>
    <w:uiPriority w:val="22"/>
    <w:qFormat/>
    <w:rsid w:val="00E73F32"/>
    <w:rPr>
      <w:b/>
      <w:bCs/>
    </w:rPr>
  </w:style>
  <w:style w:type="paragraph" w:styleId="NormalWeb">
    <w:name w:val="Normal (Web)"/>
    <w:basedOn w:val="Normal"/>
    <w:uiPriority w:val="99"/>
    <w:unhideWhenUsed/>
    <w:rsid w:val="002412DF"/>
    <w:pPr>
      <w:spacing w:before="100" w:beforeAutospacing="1" w:after="100" w:afterAutospacing="1" w:line="240" w:lineRule="auto"/>
    </w:pPr>
    <w:rPr>
      <w:rFonts w:ascii="Times New Roman" w:eastAsia="Times New Roman" w:hAnsi="Times New Roman" w:cs="Times New Roman"/>
      <w:kern w:val="0"/>
      <w:lang w:val="en-US"/>
    </w:rPr>
  </w:style>
  <w:style w:type="table" w:styleId="PlainTable2">
    <w:name w:val="Plain Table 2"/>
    <w:basedOn w:val="TableNormal"/>
    <w:uiPriority w:val="42"/>
    <w:rsid w:val="009E7CA3"/>
    <w:pPr>
      <w:spacing w:after="0" w:line="240" w:lineRule="auto"/>
    </w:pPr>
    <w:rPr>
      <w:rFonts w:eastAsiaTheme="minorEastAsia"/>
      <w:kern w:val="0"/>
      <w:sz w:val="22"/>
      <w:szCs w:val="22"/>
      <w:lang w:val="en-US"/>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katex-mathml">
    <w:name w:val="katex-mathml"/>
    <w:basedOn w:val="DefaultParagraphFont"/>
    <w:rsid w:val="00487F6A"/>
  </w:style>
  <w:style w:type="character" w:customStyle="1" w:styleId="mord">
    <w:name w:val="mord"/>
    <w:basedOn w:val="DefaultParagraphFont"/>
    <w:rsid w:val="00487F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6057240">
      <w:bodyDiv w:val="1"/>
      <w:marLeft w:val="0"/>
      <w:marRight w:val="0"/>
      <w:marTop w:val="0"/>
      <w:marBottom w:val="0"/>
      <w:divBdr>
        <w:top w:val="none" w:sz="0" w:space="0" w:color="auto"/>
        <w:left w:val="none" w:sz="0" w:space="0" w:color="auto"/>
        <w:bottom w:val="none" w:sz="0" w:space="0" w:color="auto"/>
        <w:right w:val="none" w:sz="0" w:space="0" w:color="auto"/>
      </w:divBdr>
      <w:divsChild>
        <w:div w:id="1210843540">
          <w:marLeft w:val="0"/>
          <w:marRight w:val="0"/>
          <w:marTop w:val="0"/>
          <w:marBottom w:val="0"/>
          <w:divBdr>
            <w:top w:val="none" w:sz="0" w:space="0" w:color="auto"/>
            <w:left w:val="none" w:sz="0" w:space="0" w:color="auto"/>
            <w:bottom w:val="none" w:sz="0" w:space="0" w:color="auto"/>
            <w:right w:val="none" w:sz="0" w:space="0" w:color="auto"/>
          </w:divBdr>
          <w:divsChild>
            <w:div w:id="548762587">
              <w:marLeft w:val="0"/>
              <w:marRight w:val="0"/>
              <w:marTop w:val="0"/>
              <w:marBottom w:val="0"/>
              <w:divBdr>
                <w:top w:val="none" w:sz="0" w:space="0" w:color="auto"/>
                <w:left w:val="none" w:sz="0" w:space="0" w:color="auto"/>
                <w:bottom w:val="none" w:sz="0" w:space="0" w:color="auto"/>
                <w:right w:val="none" w:sz="0" w:space="0" w:color="auto"/>
              </w:divBdr>
              <w:divsChild>
                <w:div w:id="1196844400">
                  <w:marLeft w:val="0"/>
                  <w:marRight w:val="0"/>
                  <w:marTop w:val="0"/>
                  <w:marBottom w:val="0"/>
                  <w:divBdr>
                    <w:top w:val="none" w:sz="0" w:space="0" w:color="auto"/>
                    <w:left w:val="none" w:sz="0" w:space="0" w:color="auto"/>
                    <w:bottom w:val="none" w:sz="0" w:space="0" w:color="auto"/>
                    <w:right w:val="none" w:sz="0" w:space="0" w:color="auto"/>
                  </w:divBdr>
                  <w:divsChild>
                    <w:div w:id="191431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5959802">
      <w:bodyDiv w:val="1"/>
      <w:marLeft w:val="0"/>
      <w:marRight w:val="0"/>
      <w:marTop w:val="0"/>
      <w:marBottom w:val="0"/>
      <w:divBdr>
        <w:top w:val="none" w:sz="0" w:space="0" w:color="auto"/>
        <w:left w:val="none" w:sz="0" w:space="0" w:color="auto"/>
        <w:bottom w:val="none" w:sz="0" w:space="0" w:color="auto"/>
        <w:right w:val="none" w:sz="0" w:space="0" w:color="auto"/>
      </w:divBdr>
    </w:div>
    <w:div w:id="491332939">
      <w:bodyDiv w:val="1"/>
      <w:marLeft w:val="0"/>
      <w:marRight w:val="0"/>
      <w:marTop w:val="0"/>
      <w:marBottom w:val="0"/>
      <w:divBdr>
        <w:top w:val="none" w:sz="0" w:space="0" w:color="auto"/>
        <w:left w:val="none" w:sz="0" w:space="0" w:color="auto"/>
        <w:bottom w:val="none" w:sz="0" w:space="0" w:color="auto"/>
        <w:right w:val="none" w:sz="0" w:space="0" w:color="auto"/>
      </w:divBdr>
    </w:div>
    <w:div w:id="511912998">
      <w:bodyDiv w:val="1"/>
      <w:marLeft w:val="0"/>
      <w:marRight w:val="0"/>
      <w:marTop w:val="0"/>
      <w:marBottom w:val="0"/>
      <w:divBdr>
        <w:top w:val="none" w:sz="0" w:space="0" w:color="auto"/>
        <w:left w:val="none" w:sz="0" w:space="0" w:color="auto"/>
        <w:bottom w:val="none" w:sz="0" w:space="0" w:color="auto"/>
        <w:right w:val="none" w:sz="0" w:space="0" w:color="auto"/>
      </w:divBdr>
    </w:div>
    <w:div w:id="690185619">
      <w:bodyDiv w:val="1"/>
      <w:marLeft w:val="0"/>
      <w:marRight w:val="0"/>
      <w:marTop w:val="0"/>
      <w:marBottom w:val="0"/>
      <w:divBdr>
        <w:top w:val="none" w:sz="0" w:space="0" w:color="auto"/>
        <w:left w:val="none" w:sz="0" w:space="0" w:color="auto"/>
        <w:bottom w:val="none" w:sz="0" w:space="0" w:color="auto"/>
        <w:right w:val="none" w:sz="0" w:space="0" w:color="auto"/>
      </w:divBdr>
    </w:div>
    <w:div w:id="765883386">
      <w:bodyDiv w:val="1"/>
      <w:marLeft w:val="0"/>
      <w:marRight w:val="0"/>
      <w:marTop w:val="0"/>
      <w:marBottom w:val="0"/>
      <w:divBdr>
        <w:top w:val="none" w:sz="0" w:space="0" w:color="auto"/>
        <w:left w:val="none" w:sz="0" w:space="0" w:color="auto"/>
        <w:bottom w:val="none" w:sz="0" w:space="0" w:color="auto"/>
        <w:right w:val="none" w:sz="0" w:space="0" w:color="auto"/>
      </w:divBdr>
    </w:div>
    <w:div w:id="893346171">
      <w:bodyDiv w:val="1"/>
      <w:marLeft w:val="0"/>
      <w:marRight w:val="0"/>
      <w:marTop w:val="0"/>
      <w:marBottom w:val="0"/>
      <w:divBdr>
        <w:top w:val="none" w:sz="0" w:space="0" w:color="auto"/>
        <w:left w:val="none" w:sz="0" w:space="0" w:color="auto"/>
        <w:bottom w:val="none" w:sz="0" w:space="0" w:color="auto"/>
        <w:right w:val="none" w:sz="0" w:space="0" w:color="auto"/>
      </w:divBdr>
    </w:div>
    <w:div w:id="1112091926">
      <w:bodyDiv w:val="1"/>
      <w:marLeft w:val="0"/>
      <w:marRight w:val="0"/>
      <w:marTop w:val="0"/>
      <w:marBottom w:val="0"/>
      <w:divBdr>
        <w:top w:val="none" w:sz="0" w:space="0" w:color="auto"/>
        <w:left w:val="none" w:sz="0" w:space="0" w:color="auto"/>
        <w:bottom w:val="none" w:sz="0" w:space="0" w:color="auto"/>
        <w:right w:val="none" w:sz="0" w:space="0" w:color="auto"/>
      </w:divBdr>
    </w:div>
    <w:div w:id="1510753655">
      <w:bodyDiv w:val="1"/>
      <w:marLeft w:val="0"/>
      <w:marRight w:val="0"/>
      <w:marTop w:val="0"/>
      <w:marBottom w:val="0"/>
      <w:divBdr>
        <w:top w:val="none" w:sz="0" w:space="0" w:color="auto"/>
        <w:left w:val="none" w:sz="0" w:space="0" w:color="auto"/>
        <w:bottom w:val="none" w:sz="0" w:space="0" w:color="auto"/>
        <w:right w:val="none" w:sz="0" w:space="0" w:color="auto"/>
      </w:divBdr>
    </w:div>
    <w:div w:id="1671055745">
      <w:bodyDiv w:val="1"/>
      <w:marLeft w:val="0"/>
      <w:marRight w:val="0"/>
      <w:marTop w:val="0"/>
      <w:marBottom w:val="0"/>
      <w:divBdr>
        <w:top w:val="none" w:sz="0" w:space="0" w:color="auto"/>
        <w:left w:val="none" w:sz="0" w:space="0" w:color="auto"/>
        <w:bottom w:val="none" w:sz="0" w:space="0" w:color="auto"/>
        <w:right w:val="none" w:sz="0" w:space="0" w:color="auto"/>
      </w:divBdr>
    </w:div>
    <w:div w:id="1931084504">
      <w:bodyDiv w:val="1"/>
      <w:marLeft w:val="0"/>
      <w:marRight w:val="0"/>
      <w:marTop w:val="0"/>
      <w:marBottom w:val="0"/>
      <w:divBdr>
        <w:top w:val="none" w:sz="0" w:space="0" w:color="auto"/>
        <w:left w:val="none" w:sz="0" w:space="0" w:color="auto"/>
        <w:bottom w:val="none" w:sz="0" w:space="0" w:color="auto"/>
        <w:right w:val="none" w:sz="0" w:space="0" w:color="auto"/>
      </w:divBdr>
    </w:div>
    <w:div w:id="1956788564">
      <w:bodyDiv w:val="1"/>
      <w:marLeft w:val="0"/>
      <w:marRight w:val="0"/>
      <w:marTop w:val="0"/>
      <w:marBottom w:val="0"/>
      <w:divBdr>
        <w:top w:val="none" w:sz="0" w:space="0" w:color="auto"/>
        <w:left w:val="none" w:sz="0" w:space="0" w:color="auto"/>
        <w:bottom w:val="none" w:sz="0" w:space="0" w:color="auto"/>
        <w:right w:val="none" w:sz="0" w:space="0" w:color="auto"/>
      </w:divBdr>
    </w:div>
    <w:div w:id="2046639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5.emf"/><Relationship Id="rId7" Type="http://schemas.openxmlformats.org/officeDocument/2006/relationships/image" Target="media/image1.tif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tiff"/><Relationship Id="rId24" Type="http://schemas.openxmlformats.org/officeDocument/2006/relationships/image" Target="media/image18.tif"/><Relationship Id="rId5" Type="http://schemas.openxmlformats.org/officeDocument/2006/relationships/settings" Target="settings.xml"/><Relationship Id="rId15" Type="http://schemas.openxmlformats.org/officeDocument/2006/relationships/image" Target="media/image9.emf"/><Relationship Id="rId23" Type="http://schemas.openxmlformats.org/officeDocument/2006/relationships/image" Target="media/image17.tiff"/><Relationship Id="rId10" Type="http://schemas.openxmlformats.org/officeDocument/2006/relationships/image" Target="media/image4.tiff"/><Relationship Id="rId19" Type="http://schemas.openxmlformats.org/officeDocument/2006/relationships/image" Target="media/image13.emf"/><Relationship Id="rId4" Type="http://schemas.openxmlformats.org/officeDocument/2006/relationships/styles" Target="styles.xml"/><Relationship Id="rId9" Type="http://schemas.openxmlformats.org/officeDocument/2006/relationships/image" Target="media/image3.tiff"/><Relationship Id="rId14" Type="http://schemas.openxmlformats.org/officeDocument/2006/relationships/image" Target="media/image8.emf"/><Relationship Id="rId22"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D89792051876448E09F02B6999B471" ma:contentTypeVersion="9" ma:contentTypeDescription="Create a new document." ma:contentTypeScope="" ma:versionID="9df75210ea825a0979e14876a73aeac8">
  <xsd:schema xmlns:xsd="http://www.w3.org/2001/XMLSchema" xmlns:xs="http://www.w3.org/2001/XMLSchema" xmlns:p="http://schemas.microsoft.com/office/2006/metadata/properties" xmlns:ns3="411500ac-fdea-4d77-b670-f2b6e0651e7b" xmlns:ns4="1c160598-bf98-4427-a2a4-2959bd17a33f" targetNamespace="http://schemas.microsoft.com/office/2006/metadata/properties" ma:root="true" ma:fieldsID="1e153e8f523d94a5655cb1cef2edfe44" ns3:_="" ns4:_="">
    <xsd:import namespace="411500ac-fdea-4d77-b670-f2b6e0651e7b"/>
    <xsd:import namespace="1c160598-bf98-4427-a2a4-2959bd17a33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_activity" minOccurs="0"/>
                <xsd:element ref="ns3:MediaServiceObjectDetectorVersions"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1500ac-fdea-4d77-b670-f2b6e0651e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160598-bf98-4427-a2a4-2959bd17a33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411500ac-fdea-4d77-b670-f2b6e0651e7b" xsi:nil="true"/>
  </documentManagement>
</p:properties>
</file>

<file path=customXml/itemProps1.xml><?xml version="1.0" encoding="utf-8"?>
<ds:datastoreItem xmlns:ds="http://schemas.openxmlformats.org/officeDocument/2006/customXml" ds:itemID="{1AE75704-9A34-4B9A-A299-77810EA6CD3A}">
  <ds:schemaRefs>
    <ds:schemaRef ds:uri="http://schemas.microsoft.com/sharepoint/v3/contenttype/forms"/>
  </ds:schemaRefs>
</ds:datastoreItem>
</file>

<file path=customXml/itemProps2.xml><?xml version="1.0" encoding="utf-8"?>
<ds:datastoreItem xmlns:ds="http://schemas.openxmlformats.org/officeDocument/2006/customXml" ds:itemID="{9E2F330E-6AEC-4DEA-AE30-D98A418A30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1500ac-fdea-4d77-b670-f2b6e0651e7b"/>
    <ds:schemaRef ds:uri="1c160598-bf98-4427-a2a4-2959bd17a3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B4F0449-88DB-4BC5-B857-FA1DB9088DB2}">
  <ds:schemaRefs>
    <ds:schemaRef ds:uri="http://schemas.microsoft.com/office/2006/metadata/properties"/>
    <ds:schemaRef ds:uri="http://schemas.microsoft.com/office/infopath/2007/PartnerControls"/>
    <ds:schemaRef ds:uri="411500ac-fdea-4d77-b670-f2b6e0651e7b"/>
  </ds:schemaRefs>
</ds:datastoreItem>
</file>

<file path=docMetadata/LabelInfo.xml><?xml version="1.0" encoding="utf-8"?>
<clbl:labelList xmlns:clbl="http://schemas.microsoft.com/office/2020/mipLabelMetadata">
  <clbl:label id="{14b77578-9773-42d5-8507-251ca2dc2b06}" enabled="0" method="" siteId="{14b77578-9773-42d5-8507-251ca2dc2b06}" removed="1"/>
</clbl:labelList>
</file>

<file path=docProps/app.xml><?xml version="1.0" encoding="utf-8"?>
<Properties xmlns="http://schemas.openxmlformats.org/officeDocument/2006/extended-properties" xmlns:vt="http://schemas.openxmlformats.org/officeDocument/2006/docPropsVTypes">
  <Template>Normal.dotm</Template>
  <TotalTime>17</TotalTime>
  <Pages>18</Pages>
  <Words>1805</Words>
  <Characters>10290</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12071</CharactersWithSpaces>
  <SharedDoc>false</SharedDoc>
  <HLinks>
    <vt:vector size="12" baseType="variant">
      <vt:variant>
        <vt:i4>786525</vt:i4>
      </vt:variant>
      <vt:variant>
        <vt:i4>92</vt:i4>
      </vt:variant>
      <vt:variant>
        <vt:i4>0</vt:i4>
      </vt:variant>
      <vt:variant>
        <vt:i4>5</vt:i4>
      </vt:variant>
      <vt:variant>
        <vt:lpwstr>https://www.humanconnectome.org/software/get-connectome-workbench</vt:lpwstr>
      </vt:variant>
      <vt:variant>
        <vt:lpwstr/>
      </vt:variant>
      <vt:variant>
        <vt:i4>8126577</vt:i4>
      </vt:variant>
      <vt:variant>
        <vt:i4>68</vt:i4>
      </vt:variant>
      <vt:variant>
        <vt:i4>0</vt:i4>
      </vt:variant>
      <vt:variant>
        <vt:i4>5</vt:i4>
      </vt:variant>
      <vt:variant>
        <vt:lpwstr>https://github.com/sensein/mapalign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Tomasi, Dardo (NIH/NIAAA) [E]</dc:creator>
  <cp:keywords/>
  <dc:description/>
  <cp:lastModifiedBy>Tomasi, Dardo (NIH/NIAAA) [E]</cp:lastModifiedBy>
  <cp:revision>10</cp:revision>
  <dcterms:created xsi:type="dcterms:W3CDTF">2025-04-21T15:50:00Z</dcterms:created>
  <dcterms:modified xsi:type="dcterms:W3CDTF">2025-05-20T15:33:00Z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0x0101004BD89792051876448E09F02B6999B471</vt:lpwstr>
  </property>
</Properties>
</file>