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02" w:firstLineChars="200"/>
        <w:jc w:val="center"/>
        <w:rPr>
          <w:rFonts w:hint="default" w:ascii="Arial" w:hAnsi="Arial" w:cs="Arial" w:eastAsiaTheme="majorEastAsia"/>
          <w:sz w:val="20"/>
          <w:szCs w:val="20"/>
        </w:rPr>
      </w:pPr>
      <w:r>
        <w:rPr>
          <w:rFonts w:hint="default" w:ascii="Arial" w:hAnsi="Arial" w:cs="Arial" w:eastAsiaTheme="majorEastAsia"/>
          <w:b/>
          <w:bCs/>
          <w:sz w:val="20"/>
          <w:szCs w:val="20"/>
          <w:lang w:eastAsia="zh-CN"/>
        </w:rPr>
        <w:t>Table</w:t>
      </w:r>
      <w:r>
        <w:rPr>
          <w:rFonts w:hint="default" w:ascii="Arial" w:hAnsi="Arial" w:cs="Arial" w:eastAsiaTheme="majorEastAsia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0"/>
          <w:lang w:val="en-US" w:eastAsia="zh-CN"/>
        </w:rPr>
        <w:t>S</w:t>
      </w:r>
      <w:r>
        <w:rPr>
          <w:rFonts w:hint="default" w:ascii="Arial" w:hAnsi="Arial" w:cs="Arial" w:eastAsiaTheme="majorEastAsia"/>
          <w:b/>
          <w:bCs/>
          <w:sz w:val="20"/>
          <w:szCs w:val="20"/>
        </w:rPr>
        <w:t>1</w:t>
      </w:r>
      <w:r>
        <w:rPr>
          <w:rFonts w:hint="default" w:ascii="Arial" w:hAnsi="Arial" w:cs="Arial" w:eastAsiaTheme="majorEastAsia"/>
          <w:sz w:val="20"/>
          <w:szCs w:val="20"/>
        </w:rPr>
        <w:t xml:space="preserve"> Correspondence between ∆E value and color change</w:t>
      </w:r>
    </w:p>
    <w:tbl>
      <w:tblPr>
        <w:tblStyle w:val="6"/>
        <w:tblW w:w="3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679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1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NO.</w:t>
            </w:r>
          </w:p>
        </w:tc>
        <w:tc>
          <w:tcPr>
            <w:tcW w:w="202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olour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hange</w:t>
            </w:r>
          </w:p>
        </w:tc>
        <w:tc>
          <w:tcPr>
            <w:tcW w:w="175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∆E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18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2024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trace</w:t>
            </w:r>
          </w:p>
        </w:tc>
        <w:tc>
          <w:tcPr>
            <w:tcW w:w="1757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0-0.5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minimal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0.5-1.5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detect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1.5-3.0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visible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3.0-6.0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great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6.0-12.0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1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</w:t>
            </w:r>
          </w:p>
        </w:tc>
        <w:tc>
          <w:tcPr>
            <w:tcW w:w="202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completely different</w:t>
            </w:r>
          </w:p>
        </w:tc>
        <w:tc>
          <w:tcPr>
            <w:tcW w:w="1757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&gt;12.0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pStyle w:val="2"/>
        <w:spacing w:line="360" w:lineRule="auto"/>
        <w:ind w:firstLine="402" w:firstLineChars="200"/>
        <w:rPr>
          <w:rFonts w:hint="default" w:ascii="Arial" w:hAnsi="Arial" w:cs="Arial" w:eastAsiaTheme="majorEastAsia"/>
          <w:sz w:val="20"/>
          <w:szCs w:val="20"/>
        </w:rPr>
      </w:pPr>
      <w:r>
        <w:rPr>
          <w:rFonts w:hint="default" w:ascii="Arial" w:hAnsi="Arial" w:cs="Arial" w:eastAsiaTheme="majorEastAsia"/>
          <w:b/>
          <w:bCs/>
          <w:sz w:val="20"/>
          <w:szCs w:val="20"/>
          <w:lang w:eastAsia="zh-CN"/>
        </w:rPr>
        <w:t>Table</w:t>
      </w:r>
      <w:r>
        <w:rPr>
          <w:rFonts w:hint="default" w:ascii="Arial" w:hAnsi="Arial" w:cs="Arial" w:eastAsiaTheme="majorEastAsia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0"/>
          <w:lang w:val="en-US" w:eastAsia="zh-CN"/>
        </w:rPr>
        <w:t>S</w:t>
      </w:r>
      <w:r>
        <w:rPr>
          <w:rFonts w:hint="default" w:ascii="Arial" w:hAnsi="Arial" w:cs="Arial" w:eastAsiaTheme="majorEastAsia"/>
          <w:b/>
          <w:bCs/>
          <w:sz w:val="20"/>
          <w:szCs w:val="20"/>
        </w:rPr>
        <w:t>2</w:t>
      </w:r>
      <w:r>
        <w:rPr>
          <w:rFonts w:hint="default" w:ascii="Arial" w:hAnsi="Arial" w:cs="Arial" w:eastAsiaTheme="majorEastAsia"/>
          <w:sz w:val="20"/>
          <w:szCs w:val="20"/>
        </w:rPr>
        <w:t xml:space="preserve"> Solubility and acid-base screening results</w:t>
      </w:r>
    </w:p>
    <w:tbl>
      <w:tblPr>
        <w:tblStyle w:val="6"/>
        <w:tblW w:w="4592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80"/>
        <w:gridCol w:w="987"/>
        <w:gridCol w:w="885"/>
        <w:gridCol w:w="602"/>
        <w:gridCol w:w="908"/>
        <w:gridCol w:w="755"/>
        <w:gridCol w:w="133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NO.</w:t>
            </w:r>
          </w:p>
        </w:tc>
        <w:tc>
          <w:tcPr>
            <w:tcW w:w="1137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Name</w:t>
            </w:r>
          </w:p>
        </w:tc>
        <w:tc>
          <w:tcPr>
            <w:tcW w:w="630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S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tickiness</w:t>
            </w:r>
          </w:p>
        </w:tc>
        <w:tc>
          <w:tcPr>
            <w:tcW w:w="565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G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rain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S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ize</w:t>
            </w:r>
          </w:p>
        </w:tc>
        <w:tc>
          <w:tcPr>
            <w:tcW w:w="96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S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olubility</w:t>
            </w:r>
          </w:p>
        </w:tc>
        <w:tc>
          <w:tcPr>
            <w:tcW w:w="482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pH</w:t>
            </w:r>
          </w:p>
        </w:tc>
        <w:tc>
          <w:tcPr>
            <w:tcW w:w="851" w:type="pct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emark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vMerge w:val="continue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1137" w:type="pct"/>
            <w:vMerge w:val="continue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630" w:type="pct"/>
            <w:vMerge w:val="continue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</w:t>
            </w:r>
            <w:r>
              <w:rPr>
                <w:rFonts w:hint="default" w:ascii="Arial" w:hAnsi="Arial" w:cs="Arial" w:eastAsiaTheme="majorEastAsia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O</w:t>
            </w:r>
          </w:p>
        </w:tc>
        <w:tc>
          <w:tcPr>
            <w:tcW w:w="580" w:type="pct"/>
            <w:tcBorders>
              <w:top w:val="single" w:color="auto" w:sz="4" w:space="0"/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</w:t>
            </w:r>
            <w:r>
              <w:rPr>
                <w:rFonts w:hint="default" w:ascii="Arial" w:hAnsi="Arial" w:cs="Arial" w:eastAsiaTheme="majorEastAsia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</w:t>
            </w:r>
            <w:r>
              <w:rPr>
                <w:rFonts w:hint="default" w:ascii="Arial" w:hAnsi="Arial" w:cs="Arial" w:eastAsiaTheme="majorEastAsia"/>
                <w:sz w:val="20"/>
                <w:szCs w:val="20"/>
                <w:vertAlign w:val="subscript"/>
              </w:rPr>
              <w:t>5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OH</w:t>
            </w:r>
          </w:p>
        </w:tc>
        <w:tc>
          <w:tcPr>
            <w:tcW w:w="482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851" w:type="pct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Cellulose </w:t>
            </w:r>
          </w:p>
        </w:tc>
        <w:tc>
          <w:tcPr>
            <w:tcW w:w="630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180～220 mPa.s</w:t>
            </w:r>
          </w:p>
        </w:tc>
        <w:tc>
          <w:tcPr>
            <w:tcW w:w="565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25 μm</w:t>
            </w:r>
          </w:p>
        </w:tc>
        <w:tc>
          <w:tcPr>
            <w:tcW w:w="384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580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Cyanoethyl cellulose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microcrystalline cellulose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40-60 μm</w:t>
            </w: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Methyl cellulose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400 mPa.s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neutral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Hydroxyethyl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cellulose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250～450 mPa.s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neutral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The aqueous solution is greyish white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Cellulose acetate butyrate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Butyryl content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：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50～54%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7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Highly substituted hydroxypropyl cellulose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neutral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8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Polyanionic cellulose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neutral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9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carboxymethylcellulose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neutral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10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Ethyl cellulose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180～220 mPa.s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neutral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5%Toluene/isopropanol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80:20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11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Carboxycellulose nanofibres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neutral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calibre：4～10nm，length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：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200 nm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12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Carboxycellulose nanofibres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neutral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calibre：50 nm，length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：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1～3μm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13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Carboxymethyl chitosan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√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8～9</w:t>
            </w: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68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14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Cellulose acetate</w:t>
            </w:r>
          </w:p>
        </w:tc>
        <w:tc>
          <w:tcPr>
            <w:tcW w:w="63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384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×</w:t>
            </w:r>
          </w:p>
        </w:tc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851" w:type="pc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60" w:lineRule="auto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pStyle w:val="2"/>
        <w:spacing w:line="360" w:lineRule="auto"/>
        <w:ind w:firstLine="402" w:firstLineChars="200"/>
        <w:rPr>
          <w:rFonts w:hint="default" w:ascii="Arial" w:hAnsi="Arial" w:cs="Arial" w:eastAsiaTheme="majorEastAsia"/>
          <w:sz w:val="20"/>
          <w:szCs w:val="20"/>
        </w:rPr>
      </w:pPr>
      <w:r>
        <w:rPr>
          <w:rFonts w:hint="default" w:ascii="Arial" w:hAnsi="Arial" w:cs="Arial" w:eastAsiaTheme="majorEastAsia"/>
          <w:b/>
          <w:bCs/>
          <w:sz w:val="20"/>
          <w:szCs w:val="20"/>
          <w:lang w:eastAsia="zh-CN"/>
        </w:rPr>
        <w:t>Table</w:t>
      </w:r>
      <w:r>
        <w:rPr>
          <w:rFonts w:hint="default" w:ascii="Arial" w:hAnsi="Arial" w:cs="Arial" w:eastAsiaTheme="majorEastAsia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 w:eastAsiaTheme="majorEastAsia"/>
          <w:b/>
          <w:bCs/>
          <w:sz w:val="20"/>
          <w:szCs w:val="20"/>
          <w:lang w:val="en-US" w:eastAsia="zh-CN"/>
        </w:rPr>
        <w:t>S</w:t>
      </w:r>
      <w:r>
        <w:rPr>
          <w:rFonts w:hint="default" w:ascii="Arial" w:hAnsi="Arial" w:cs="Arial" w:eastAsiaTheme="majorEastAsia"/>
          <w:b/>
          <w:bCs/>
          <w:sz w:val="20"/>
          <w:szCs w:val="20"/>
        </w:rPr>
        <w:t>3</w:t>
      </w:r>
      <w:r>
        <w:rPr>
          <w:rFonts w:hint="default" w:ascii="Arial" w:hAnsi="Arial" w:cs="Arial" w:eastAsiaTheme="majorEastAsia"/>
          <w:sz w:val="20"/>
          <w:szCs w:val="20"/>
        </w:rPr>
        <w:t xml:space="preserve"> Mechanical properties of single components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307"/>
        <w:gridCol w:w="1220"/>
        <w:gridCol w:w="1398"/>
        <w:gridCol w:w="302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NO.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M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aximum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F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orce（N）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T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ensile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S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trength（N/mm</w:t>
            </w:r>
            <w:r>
              <w:rPr>
                <w:rFonts w:hint="default" w:ascii="Arial" w:hAnsi="Arial" w:cs="Arial" w:eastAsiaTheme="majorEastAsia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emark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Polyanionic cellulose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13.562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9.0413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reserve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Carboxycellulose nanofibres（calibre：4～10nm，length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：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200 nm）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10.872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8.0533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reserve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Carboxymethyl chitosan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26.565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11.55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reserve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Methyl cellulose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54.9560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62.8068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High viscosity, brittle film, high hardness, high measurement error.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Highly substituted hydroxypropyl cellulose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High viscosity, air bubbles in the solution can not be discharged, resulting in slow film formation, the film surface is not smooth, can not be accurately measured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Carboxymethyl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cellulose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High viscosity, slow drying, uneven film formation, non-smooth film surface, unable to measure accurately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Carboxycellulose nanofibres（calibre：50 nm，length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：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1～3μm）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High viscosity, uneven film formation, not measurable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pStyle w:val="2"/>
        <w:spacing w:line="360" w:lineRule="auto"/>
        <w:ind w:firstLine="402" w:firstLineChars="200"/>
        <w:rPr>
          <w:rFonts w:hint="default" w:ascii="Arial" w:hAnsi="Arial" w:cs="Arial" w:eastAsiaTheme="majorEastAsia"/>
          <w:sz w:val="20"/>
          <w:szCs w:val="20"/>
        </w:rPr>
      </w:pP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Table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S</w:t>
      </w:r>
      <w:r>
        <w:rPr>
          <w:rFonts w:hint="default" w:ascii="Arial" w:hAnsi="Arial" w:cs="Arial" w:eastAsiaTheme="majorEastAsia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Arial" w:hAnsi="Arial" w:cs="Arial" w:eastAsiaTheme="majorEastAsia"/>
          <w:sz w:val="20"/>
          <w:szCs w:val="20"/>
        </w:rPr>
        <w:t xml:space="preserve"> Relationship between different concentrations of carboxylated cellulose nanofibres (diameter: 4-10 nm, length 200 nm), polyanionic cellulose and carboxymethyl chitosan and maximum force, tensile strength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215"/>
        <w:gridCol w:w="1647"/>
        <w:gridCol w:w="1418"/>
        <w:gridCol w:w="16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NO.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Name of material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Concentration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（%）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M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aximum force（N）</w:t>
            </w:r>
          </w:p>
        </w:tc>
        <w:tc>
          <w:tcPr>
            <w:tcW w:w="0" w:type="auto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T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ensile strength（N/mm</w:t>
            </w:r>
            <w:r>
              <w:rPr>
                <w:rFonts w:hint="default" w:ascii="Arial" w:hAnsi="Arial" w:cs="Arial" w:eastAsiaTheme="majorEastAsia"/>
                <w:sz w:val="20"/>
                <w:szCs w:val="20"/>
                <w:vertAlign w:val="superscript"/>
              </w:rPr>
              <w:t>2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Carboxycellulose nanofibres（calibre：4～10nm，length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：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200 nm）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9.114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8.68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9.994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9.7048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10.872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8.0533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17.306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12.1566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21.7645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17.854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16.2897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18.7426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Polyanionic cellulose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7.966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8.8511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7.38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13.562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9.0413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26.244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17.496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47.82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23.91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41.686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26.8942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Carboxymethyl chitosan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2.224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3.8678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2.276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7.92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26.565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11.55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23.85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27.2511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21.722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23.4832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9.456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color w:val="000000"/>
                <w:kern w:val="0"/>
                <w:sz w:val="20"/>
                <w:szCs w:val="20"/>
                <w:lang w:bidi="ar"/>
              </w:rPr>
              <w:t>8.5964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pStyle w:val="2"/>
        <w:spacing w:line="360" w:lineRule="auto"/>
        <w:ind w:firstLine="402" w:firstLineChars="200"/>
        <w:rPr>
          <w:rFonts w:hint="default" w:ascii="Arial" w:hAnsi="Arial" w:cs="Arial" w:eastAsiaTheme="majorEastAsia"/>
          <w:sz w:val="20"/>
          <w:szCs w:val="20"/>
        </w:rPr>
      </w:pPr>
      <w:r>
        <w:rPr>
          <w:rFonts w:hint="default" w:ascii="Arial" w:hAnsi="Arial" w:cs="Arial" w:eastAsiaTheme="majorEastAsia"/>
          <w:b/>
          <w:bCs/>
          <w:sz w:val="20"/>
          <w:szCs w:val="20"/>
          <w:lang w:eastAsia="zh-CN"/>
        </w:rPr>
        <w:t>Table</w:t>
      </w:r>
      <w:r>
        <w:rPr>
          <w:rFonts w:hint="default" w:ascii="Arial" w:hAnsi="Arial" w:cs="Arial" w:eastAsiaTheme="majorEastAsia"/>
          <w:b/>
          <w:bCs/>
          <w:sz w:val="20"/>
          <w:szCs w:val="20"/>
          <w:lang w:val="en-US" w:eastAsia="zh-CN"/>
        </w:rPr>
        <w:t xml:space="preserve"> S</w:t>
      </w:r>
      <w:r>
        <w:rPr>
          <w:rFonts w:hint="default" w:ascii="Arial" w:hAnsi="Arial" w:cs="Arial" w:eastAsiaTheme="majorEastAsia"/>
          <w:b/>
          <w:bCs/>
          <w:sz w:val="20"/>
          <w:szCs w:val="20"/>
        </w:rPr>
        <w:t>5</w:t>
      </w:r>
      <w:r>
        <w:rPr>
          <w:rFonts w:hint="default" w:ascii="Arial" w:hAnsi="Arial" w:cs="Arial" w:eastAsiaTheme="majorEastAsia"/>
          <w:sz w:val="20"/>
          <w:szCs w:val="20"/>
        </w:rPr>
        <w:t xml:space="preserve"> Screening results of alternative osmotic enhancers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961"/>
        <w:gridCol w:w="1960"/>
        <w:gridCol w:w="398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NO.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lternative material</w:t>
            </w:r>
          </w:p>
        </w:tc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dditive quantity</w:t>
            </w:r>
          </w:p>
        </w:tc>
        <w:tc>
          <w:tcPr>
            <w:tcW w:w="398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Experimental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esult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1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Twain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85</w:t>
            </w:r>
          </w:p>
        </w:tc>
        <w:tc>
          <w:tcPr>
            <w:tcW w:w="19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Prepare a 10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%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aqueous solution and mix in equal volume with the reinforcing agent.</w:t>
            </w:r>
          </w:p>
        </w:tc>
        <w:tc>
          <w:tcPr>
            <w:tcW w:w="398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Reinforcement changes from clear to milky white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polyethylene glycol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200、400、600、2000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Prepare a 10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%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aqueous solution and mix in equal volume with the reinforcing agent.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Darkening of wood samples after reinforcement with polyethylene glycol 200, 400, 600 and white residual traces after polyethylene glycol-2000.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Solvent mixture of 50% ethanol, 45% water and 5% ethyl acetate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Mixed with reinforcement in equal volume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go deeper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n-propanol, isopropanol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Prepare a 10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%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 aqueous solution and mix in equal volume with the reinforcing agent.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works well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Propylene glycol block polyether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Prepare a 10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%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 aqueous solution and mix in equal volume with the reinforcing agent.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go deeper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</w:t>
            </w:r>
          </w:p>
        </w:tc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diethylene glycol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Prepare a 10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%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 aqueous solution and mix in equal volume with the reinforcing agent.</w:t>
            </w:r>
          </w:p>
        </w:tc>
        <w:tc>
          <w:tcPr>
            <w:tcW w:w="398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go deeper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pStyle w:val="2"/>
        <w:spacing w:line="360" w:lineRule="auto"/>
        <w:ind w:firstLine="402" w:firstLineChars="200"/>
        <w:rPr>
          <w:rFonts w:hint="default" w:ascii="Arial" w:hAnsi="Arial" w:cs="Arial" w:eastAsiaTheme="majorEastAsia"/>
          <w:sz w:val="20"/>
          <w:szCs w:val="20"/>
        </w:rPr>
      </w:pPr>
      <w:r>
        <w:rPr>
          <w:rFonts w:hint="default" w:ascii="Arial" w:hAnsi="Arial" w:cs="Arial" w:eastAsiaTheme="majorEastAsia"/>
          <w:b/>
          <w:bCs/>
          <w:sz w:val="20"/>
          <w:szCs w:val="20"/>
          <w:lang w:eastAsia="zh-CN"/>
        </w:rPr>
        <w:t>Table</w:t>
      </w:r>
      <w:r>
        <w:rPr>
          <w:rFonts w:hint="default" w:ascii="Arial" w:hAnsi="Arial" w:cs="Arial" w:eastAsiaTheme="majorEastAsia"/>
          <w:b/>
          <w:bCs/>
          <w:sz w:val="20"/>
          <w:szCs w:val="20"/>
          <w:lang w:val="en-US" w:eastAsia="zh-CN"/>
        </w:rPr>
        <w:t xml:space="preserve"> S</w:t>
      </w:r>
      <w:r>
        <w:rPr>
          <w:rFonts w:hint="default" w:ascii="Arial" w:hAnsi="Arial" w:cs="Arial" w:eastAsiaTheme="majorEastAsia"/>
          <w:b/>
          <w:bCs/>
          <w:sz w:val="20"/>
          <w:szCs w:val="20"/>
        </w:rPr>
        <w:t>6</w:t>
      </w:r>
      <w:r>
        <w:rPr>
          <w:rFonts w:hint="default" w:ascii="Arial" w:hAnsi="Arial" w:cs="Arial" w:eastAsiaTheme="majorEastAsia"/>
          <w:sz w:val="20"/>
          <w:szCs w:val="20"/>
        </w:rPr>
        <w:t xml:space="preserve"> Colour difference test of reinforcement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607"/>
        <w:gridCol w:w="1095"/>
        <w:gridCol w:w="1095"/>
        <w:gridCol w:w="1706"/>
        <w:gridCol w:w="75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NO.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L（D65）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a（D65）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b（D65）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nalogue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olour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∆E</w:t>
            </w:r>
            <w:r>
              <w:rPr>
                <w:rFonts w:hint="default" w:ascii="Arial" w:hAnsi="Arial" w:cs="Arial" w:eastAsiaTheme="majorEastAsia"/>
                <w:sz w:val="20"/>
                <w:szCs w:val="20"/>
                <w:vertAlign w:val="subscript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pre-reinforcement：41.65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7.61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16.30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drawing>
                <wp:inline distT="0" distB="0" distL="114300" distR="114300">
                  <wp:extent cx="720090" cy="179705"/>
                  <wp:effectExtent l="0" t="0" r="3810" b="10795"/>
                  <wp:docPr id="10" name="图片 10" descr="1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-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fter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-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reinforcement：39.64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8.25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17.03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drawing>
                <wp:inline distT="0" distB="0" distL="114300" distR="114300">
                  <wp:extent cx="720090" cy="179705"/>
                  <wp:effectExtent l="0" t="0" r="3810" b="10795"/>
                  <wp:docPr id="11" name="图片 11" descr="1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-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pre-reinforcement：33.91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6.52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13.32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drawing>
                <wp:inline distT="0" distB="0" distL="114300" distR="114300">
                  <wp:extent cx="720090" cy="179705"/>
                  <wp:effectExtent l="0" t="0" r="3810" b="10795"/>
                  <wp:docPr id="12" name="图片 12" descr="2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-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fter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-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reinforcement：36.06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6.64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13.54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drawing>
                <wp:inline distT="0" distB="0" distL="114300" distR="114300">
                  <wp:extent cx="720090" cy="179705"/>
                  <wp:effectExtent l="0" t="0" r="3810" b="10795"/>
                  <wp:docPr id="13" name="图片 13" descr="2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-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pre-reinforcement：38.02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12.27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22.52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drawing>
                <wp:inline distT="0" distB="0" distL="114300" distR="114300">
                  <wp:extent cx="720090" cy="179705"/>
                  <wp:effectExtent l="0" t="0" r="3810" b="10795"/>
                  <wp:docPr id="14" name="图片 14" descr="3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-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fter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-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reinforcement：38.77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11.27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20.53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drawing>
                <wp:inline distT="0" distB="0" distL="114300" distR="114300">
                  <wp:extent cx="720090" cy="179705"/>
                  <wp:effectExtent l="0" t="0" r="3810" b="10795"/>
                  <wp:docPr id="15" name="图片 15" descr="3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-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pre-reinforcement：42.07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6.54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15.29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drawing>
                <wp:inline distT="0" distB="0" distL="114300" distR="114300">
                  <wp:extent cx="720090" cy="179705"/>
                  <wp:effectExtent l="0" t="0" r="3810" b="10795"/>
                  <wp:docPr id="16" name="图片 16" descr="4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4-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a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fter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-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reinforcement：39.65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7.67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17.07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drawing>
                <wp:inline distT="0" distB="0" distL="114300" distR="114300">
                  <wp:extent cx="720090" cy="179705"/>
                  <wp:effectExtent l="0" t="0" r="3810" b="10795"/>
                  <wp:docPr id="17" name="图片 17" descr="4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4-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p>
      <w:pPr>
        <w:pStyle w:val="2"/>
        <w:spacing w:line="360" w:lineRule="auto"/>
        <w:ind w:firstLine="402" w:firstLineChars="200"/>
        <w:rPr>
          <w:rFonts w:hint="default" w:ascii="Arial" w:hAnsi="Arial" w:cs="Arial" w:eastAsiaTheme="majorEastAsia"/>
          <w:sz w:val="20"/>
          <w:szCs w:val="20"/>
        </w:rPr>
      </w:pPr>
      <w:r>
        <w:rPr>
          <w:rFonts w:hint="default" w:ascii="Arial" w:hAnsi="Arial" w:cs="Arial" w:eastAsiaTheme="majorEastAsia"/>
          <w:b/>
          <w:bCs/>
          <w:sz w:val="20"/>
          <w:szCs w:val="20"/>
          <w:lang w:eastAsia="zh-CN"/>
        </w:rPr>
        <w:t>Table</w:t>
      </w:r>
      <w:r>
        <w:rPr>
          <w:rFonts w:hint="default" w:ascii="Arial" w:hAnsi="Arial" w:cs="Arial" w:eastAsiaTheme="majorEastAsia"/>
          <w:b/>
          <w:bCs/>
          <w:sz w:val="20"/>
          <w:szCs w:val="20"/>
          <w:lang w:val="en-US" w:eastAsia="zh-CN"/>
        </w:rPr>
        <w:t xml:space="preserve"> S</w:t>
      </w:r>
      <w:r>
        <w:rPr>
          <w:rFonts w:hint="default" w:ascii="Arial" w:hAnsi="Arial" w:cs="Arial" w:eastAsiaTheme="majorEastAsia"/>
          <w:b/>
          <w:bCs/>
          <w:sz w:val="20"/>
          <w:szCs w:val="20"/>
        </w:rPr>
        <w:t>7</w:t>
      </w:r>
      <w:r>
        <w:rPr>
          <w:rFonts w:hint="default" w:ascii="Arial" w:hAnsi="Arial" w:cs="Arial" w:eastAsiaTheme="majorEastAsia"/>
          <w:sz w:val="20"/>
          <w:szCs w:val="20"/>
        </w:rPr>
        <w:t xml:space="preserve"> Test data on retention of reinforcement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728"/>
        <w:gridCol w:w="2623"/>
        <w:gridCol w:w="25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NO.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Mass before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einforcement（g）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Quality after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C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onsolidation（g）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 xml:space="preserve">Reinforcement 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R</w:t>
            </w:r>
            <w:r>
              <w:rPr>
                <w:rFonts w:hint="default" w:ascii="Arial" w:hAnsi="Arial" w:cs="Arial" w:eastAsiaTheme="majorEastAsia"/>
                <w:sz w:val="20"/>
                <w:szCs w:val="20"/>
              </w:rPr>
              <w:t>etention（%）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0.387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0.394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0.409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0.439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0.450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0.339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0.349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0.541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0.557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cs="Arial" w:eastAsiaTheme="majorEastAsia"/>
                <w:sz w:val="20"/>
                <w:szCs w:val="20"/>
              </w:rPr>
            </w:pPr>
            <w:r>
              <w:rPr>
                <w:rFonts w:hint="default" w:ascii="Arial" w:hAnsi="Arial" w:cs="Arial" w:eastAsiaTheme="majorEastAsia"/>
                <w:sz w:val="20"/>
                <w:szCs w:val="20"/>
              </w:rPr>
              <w:t>2.9</w:t>
            </w:r>
          </w:p>
        </w:tc>
      </w:tr>
    </w:tbl>
    <w:p>
      <w:pPr>
        <w:rPr>
          <w:rFonts w:hint="default" w:ascii="Arial" w:hAnsi="Arial" w:cs="Arial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NWI4ZjAxODZhZjMzY2RmZTIxMjY0YjNiMjIyYjUifQ=="/>
  </w:docVars>
  <w:rsids>
    <w:rsidRoot w:val="0206769A"/>
    <w:rsid w:val="0206769A"/>
    <w:rsid w:val="1B4471E3"/>
    <w:rsid w:val="358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99"/>
    <w:pPr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2025-05-08T01:40:00Z</dcterms:created>
  <dc:creator>½゜　 　　　　</dc:creator>
  <cp:lastModifiedBy>½゜　 　　　　</cp:lastModifiedBy>
  <dcterms:modified xsi:type="dcterms:W3CDTF">2025-05-22T09:48:40Z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30F1D827CF844CB7938169237AB8FEAE_11</vt:lpwstr>
  </property>
</Properties>
</file>