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5A75">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14:paraId="0B8B5563">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08"/>
        <w:gridCol w:w="6414"/>
        <w:gridCol w:w="712"/>
        <w:gridCol w:w="4969"/>
      </w:tblGrid>
      <w:tr w14:paraId="53D9CE31">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5317D35B">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08" w:type="dxa"/>
            <w:tcBorders>
              <w:top w:val="single" w:color="auto" w:sz="4" w:space="0"/>
              <w:bottom w:val="single" w:color="7F7F7F" w:sz="6" w:space="0"/>
            </w:tcBorders>
            <w:shd w:val="clear" w:color="auto" w:fill="auto"/>
          </w:tcPr>
          <w:p w14:paraId="0CC03F8F">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6414" w:type="dxa"/>
            <w:tcBorders>
              <w:top w:val="single" w:color="auto" w:sz="4" w:space="0"/>
              <w:bottom w:val="single" w:color="7F7F7F" w:sz="6" w:space="0"/>
            </w:tcBorders>
            <w:shd w:val="clear" w:color="auto" w:fill="auto"/>
          </w:tcPr>
          <w:p w14:paraId="6549048A">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12" w:type="dxa"/>
            <w:tcBorders>
              <w:top w:val="single" w:color="auto" w:sz="4" w:space="0"/>
              <w:bottom w:val="single" w:color="7F7F7F" w:sz="6" w:space="0"/>
            </w:tcBorders>
          </w:tcPr>
          <w:p w14:paraId="007302E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969" w:type="dxa"/>
            <w:tcBorders>
              <w:top w:val="single" w:color="auto" w:sz="4" w:space="0"/>
              <w:bottom w:val="single" w:color="7F7F7F" w:sz="6" w:space="0"/>
            </w:tcBorders>
          </w:tcPr>
          <w:p w14:paraId="3D20CC8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14:paraId="7BFE9F2F">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14:paraId="4BC2810D">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08" w:type="dxa"/>
            <w:tcBorders>
              <w:top w:val="single" w:color="7F7F7F" w:sz="6" w:space="0"/>
              <w:bottom w:val="single" w:color="7F7F7F" w:sz="6" w:space="0"/>
            </w:tcBorders>
            <w:shd w:val="clear" w:color="auto" w:fill="EEEEEE"/>
          </w:tcPr>
          <w:p w14:paraId="48AF55D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6414" w:type="dxa"/>
            <w:tcBorders>
              <w:top w:val="single" w:color="7F7F7F" w:sz="6" w:space="0"/>
              <w:bottom w:val="single" w:color="7F7F7F" w:sz="6" w:space="0"/>
            </w:tcBorders>
            <w:shd w:val="clear" w:color="auto" w:fill="EEEEEE"/>
          </w:tcPr>
          <w:p w14:paraId="40E590C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12" w:type="dxa"/>
            <w:tcBorders>
              <w:top w:val="single" w:color="7F7F7F" w:sz="6" w:space="0"/>
              <w:bottom w:val="single" w:color="7F7F7F" w:sz="6" w:space="0"/>
            </w:tcBorders>
            <w:shd w:val="clear" w:color="auto" w:fill="EEEEEE"/>
          </w:tcPr>
          <w:p w14:paraId="0212111B">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969" w:type="dxa"/>
            <w:tcBorders>
              <w:top w:val="single" w:color="7F7F7F" w:sz="6" w:space="0"/>
              <w:bottom w:val="single" w:color="7F7F7F" w:sz="6" w:space="0"/>
            </w:tcBorders>
            <w:shd w:val="clear" w:color="auto" w:fill="EEEEEE"/>
          </w:tcPr>
          <w:p w14:paraId="19D2FC32">
            <w:pPr>
              <w:spacing w:before="96" w:beforeLines="40" w:after="96" w:afterLines="40" w:line="24" w:lineRule="atLeast"/>
              <w:rPr>
                <w:rFonts w:eastAsia="Times New Roman"/>
                <w:sz w:val="18"/>
                <w:szCs w:val="18"/>
                <w:lang w:val="en-GB" w:eastAsia="en-GB"/>
              </w:rPr>
            </w:pPr>
            <w:r>
              <w:rPr>
                <w:rFonts w:hint="eastAsia"/>
                <w:b w:val="0"/>
                <w:bCs w:val="0"/>
                <w:sz w:val="18"/>
                <w:szCs w:val="18"/>
              </w:rPr>
              <w:t>The relationship between genetically predicted HLA DR on monocytes and the mediation of the effect of gut microbiota on Inflammatory Bowel Disease</w:t>
            </w:r>
          </w:p>
        </w:tc>
      </w:tr>
      <w:tr w14:paraId="33861D86">
        <w:tblPrEx>
          <w:tblCellMar>
            <w:top w:w="0" w:type="dxa"/>
            <w:left w:w="108" w:type="dxa"/>
            <w:bottom w:w="0" w:type="dxa"/>
            <w:right w:w="108" w:type="dxa"/>
          </w:tblCellMar>
        </w:tblPrEx>
        <w:tc>
          <w:tcPr>
            <w:tcW w:w="587" w:type="dxa"/>
            <w:tcBorders>
              <w:top w:val="single" w:color="7F7F7F" w:sz="6" w:space="0"/>
            </w:tcBorders>
            <w:shd w:val="clear" w:color="auto" w:fill="auto"/>
          </w:tcPr>
          <w:p w14:paraId="71E14395">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60D984A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6414" w:type="dxa"/>
            <w:tcBorders>
              <w:top w:val="single" w:color="7F7F7F" w:sz="6" w:space="0"/>
            </w:tcBorders>
            <w:shd w:val="clear" w:color="auto" w:fill="auto"/>
          </w:tcPr>
          <w:p w14:paraId="37C4C8E4">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5C95DEF8">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2E988F9">
            <w:pPr>
              <w:spacing w:before="96" w:beforeLines="40" w:after="96" w:afterLines="40" w:line="24" w:lineRule="atLeast"/>
              <w:rPr>
                <w:rFonts w:eastAsia="Cambria"/>
                <w:sz w:val="18"/>
                <w:szCs w:val="18"/>
                <w:lang w:val="en-GB" w:eastAsia="en-US"/>
              </w:rPr>
            </w:pPr>
          </w:p>
        </w:tc>
      </w:tr>
      <w:tr w14:paraId="4F4D9AAC">
        <w:tblPrEx>
          <w:tblCellMar>
            <w:top w:w="0" w:type="dxa"/>
            <w:left w:w="108" w:type="dxa"/>
            <w:bottom w:w="0" w:type="dxa"/>
            <w:right w:w="108" w:type="dxa"/>
          </w:tblCellMar>
        </w:tblPrEx>
        <w:tc>
          <w:tcPr>
            <w:tcW w:w="587" w:type="dxa"/>
            <w:shd w:val="clear" w:color="auto" w:fill="EEEEEE"/>
          </w:tcPr>
          <w:p w14:paraId="60B2C78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08" w:type="dxa"/>
            <w:shd w:val="clear" w:color="auto" w:fill="EEEEEE"/>
          </w:tcPr>
          <w:p w14:paraId="66A1ECE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6414" w:type="dxa"/>
            <w:shd w:val="clear" w:color="auto" w:fill="EEEEEE"/>
          </w:tcPr>
          <w:p w14:paraId="72CB897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p w14:paraId="614EEDB4">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53EFDDEA">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969" w:type="dxa"/>
            <w:shd w:val="clear" w:color="auto" w:fill="EEEEEE"/>
          </w:tcPr>
          <w:p w14:paraId="4FC6E7BC">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1. The study investigates the causal relationship between gut microbiota and Inflammatory Bowel Disease (IBD) using Mendelian Randomization (MR) to explore potential mediating effects of immune cell HLA DR on monocytes. Previous research highlights the role of gut microbiota in IBD pathogenesis, with microbial imbalances contributing to immune dysfunction and intestinal inflammation. However, many studies have been observational, leaving results susceptible to confounding factors and reverse causality. The study aims to address these limitations using MR, a method that leverages genetic variation as instrumental variables (IVs), offering a more robust analysis of causal relationships between exposures and outcomes.</w:t>
            </w:r>
          </w:p>
          <w:p w14:paraId="5845DAC0">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2. The exposure in this study is genetically predicted gut microbiota, particularly Alistipes shahii, whose levels are evaluated for their association with IBD risk.</w:t>
            </w:r>
          </w:p>
          <w:p w14:paraId="7C16798C">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3. Mendelian Randomization (MR) is a powerful method for this study because it reduces biases inherent in observational studies, such as confounding and reverse causality. By using genetic variants as IVs, MR provides a more reliable inference of causality. In this case, it allows the researchers to explore whether genetically predicted levels of specific gut microbiota species are causally related to IBD outcomes, offering higher reliability and validity in the results</w:t>
            </w:r>
          </w:p>
        </w:tc>
      </w:tr>
      <w:tr w14:paraId="77B86FFC">
        <w:tblPrEx>
          <w:tblCellMar>
            <w:top w:w="0" w:type="dxa"/>
            <w:left w:w="108" w:type="dxa"/>
            <w:bottom w:w="0" w:type="dxa"/>
            <w:right w:w="108" w:type="dxa"/>
          </w:tblCellMar>
        </w:tblPrEx>
        <w:tc>
          <w:tcPr>
            <w:tcW w:w="587" w:type="dxa"/>
            <w:tcBorders>
              <w:bottom w:val="single" w:color="7F7F7F" w:sz="6" w:space="0"/>
            </w:tcBorders>
            <w:shd w:val="clear" w:color="auto" w:fill="auto"/>
          </w:tcPr>
          <w:p w14:paraId="68AB543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08" w:type="dxa"/>
            <w:tcBorders>
              <w:bottom w:val="single" w:color="7F7F7F" w:sz="6" w:space="0"/>
            </w:tcBorders>
            <w:shd w:val="clear" w:color="auto" w:fill="auto"/>
          </w:tcPr>
          <w:p w14:paraId="34A4526E">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6414" w:type="dxa"/>
            <w:tcBorders>
              <w:bottom w:val="single" w:color="7F7F7F" w:sz="6" w:space="0"/>
            </w:tcBorders>
            <w:shd w:val="clear" w:color="auto" w:fill="auto"/>
          </w:tcPr>
          <w:p w14:paraId="32D2C3F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p w14:paraId="6174FB03">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tcPr>
          <w:p w14:paraId="182183B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969" w:type="dxa"/>
            <w:tcBorders>
              <w:bottom w:val="single" w:color="7F7F7F" w:sz="6" w:space="0"/>
            </w:tcBorders>
          </w:tcPr>
          <w:p w14:paraId="16F51EBB">
            <w:pPr>
              <w:numPr>
                <w:ilvl w:val="0"/>
                <w:numId w:val="1"/>
              </w:num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The study hypothesizes that:Higher genetically predicted levels of certain gut microbiota species, particularly Alistipes shahii, will have a protective effect against IBD.HLA DR on monocytes will act as a mediator, modulating the relationship between gut microbiota (Alistipes shahii) and IBD</w:t>
            </w:r>
          </w:p>
          <w:p w14:paraId="159AF382">
            <w:pPr>
              <w:numPr>
                <w:ilvl w:val="0"/>
                <w:numId w:val="1"/>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Mendelian Randomization (MR) is employed as a method to estimate causal effects under specific assumptions. By using genetic variants as instrumental variables, MR helps reduce confounding and reverse causality, offering a robust estimate of the causal effect of gut microbiota on IBD outcomes. The method relies on the assumptions that the genetic variants are associated with the exposure (gut microbiota), are not related to confounders, and only influence the outcome (IBD) through the exposure</w:t>
            </w:r>
            <w:r>
              <w:rPr>
                <w:rFonts w:hint="eastAsia" w:eastAsia="宋体"/>
                <w:sz w:val="18"/>
                <w:szCs w:val="18"/>
                <w:lang w:val="en-US" w:eastAsia="zh-CN"/>
              </w:rPr>
              <w:t>.</w:t>
            </w:r>
          </w:p>
        </w:tc>
      </w:tr>
      <w:tr w14:paraId="128C586D">
        <w:tblPrEx>
          <w:tblCellMar>
            <w:top w:w="0" w:type="dxa"/>
            <w:left w:w="108" w:type="dxa"/>
            <w:bottom w:w="0" w:type="dxa"/>
            <w:right w:w="108" w:type="dxa"/>
          </w:tblCellMar>
        </w:tblPrEx>
        <w:tc>
          <w:tcPr>
            <w:tcW w:w="587" w:type="dxa"/>
            <w:tcBorders>
              <w:top w:val="single" w:color="7F7F7F" w:sz="6" w:space="0"/>
            </w:tcBorders>
            <w:shd w:val="clear" w:color="auto" w:fill="EEEEEE"/>
          </w:tcPr>
          <w:p w14:paraId="478B6DE0">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EEEEEE"/>
          </w:tcPr>
          <w:p w14:paraId="0395278D">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6414" w:type="dxa"/>
            <w:tcBorders>
              <w:top w:val="single" w:color="7F7F7F" w:sz="6" w:space="0"/>
            </w:tcBorders>
            <w:shd w:val="clear" w:color="auto" w:fill="EEEEEE"/>
          </w:tcPr>
          <w:p w14:paraId="7E095A26">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shd w:val="clear" w:color="auto" w:fill="EEEEEE"/>
          </w:tcPr>
          <w:p w14:paraId="682708AE">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shd w:val="clear" w:color="auto" w:fill="EEEEEE"/>
          </w:tcPr>
          <w:p w14:paraId="383AE086">
            <w:pPr>
              <w:spacing w:before="96" w:beforeLines="40" w:after="96" w:afterLines="40" w:line="24" w:lineRule="atLeast"/>
              <w:rPr>
                <w:rFonts w:eastAsia="Cambria"/>
                <w:sz w:val="18"/>
                <w:szCs w:val="18"/>
                <w:lang w:val="en-GB" w:eastAsia="en-US"/>
              </w:rPr>
            </w:pPr>
          </w:p>
        </w:tc>
      </w:tr>
      <w:tr w14:paraId="6170DB97">
        <w:tblPrEx>
          <w:tblCellMar>
            <w:top w:w="0" w:type="dxa"/>
            <w:left w:w="108" w:type="dxa"/>
            <w:bottom w:w="0" w:type="dxa"/>
            <w:right w:w="108" w:type="dxa"/>
          </w:tblCellMar>
        </w:tblPrEx>
        <w:tc>
          <w:tcPr>
            <w:tcW w:w="587" w:type="dxa"/>
            <w:shd w:val="clear" w:color="auto" w:fill="auto"/>
          </w:tcPr>
          <w:p w14:paraId="5EEBBAA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08" w:type="dxa"/>
            <w:shd w:val="clear" w:color="auto" w:fill="auto"/>
          </w:tcPr>
          <w:p w14:paraId="47A029D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6414" w:type="dxa"/>
            <w:shd w:val="clear" w:color="auto" w:fill="auto"/>
          </w:tcPr>
          <w:p w14:paraId="70A0715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p w14:paraId="348BBDDF">
            <w:pPr>
              <w:spacing w:before="96" w:beforeLines="40" w:after="96" w:afterLines="40" w:line="24" w:lineRule="atLeast"/>
              <w:rPr>
                <w:rFonts w:eastAsia="Times New Roman"/>
                <w:sz w:val="18"/>
                <w:szCs w:val="18"/>
                <w:lang w:val="en-GB" w:eastAsia="en-US"/>
              </w:rPr>
            </w:pPr>
          </w:p>
        </w:tc>
        <w:tc>
          <w:tcPr>
            <w:tcW w:w="712" w:type="dxa"/>
          </w:tcPr>
          <w:p w14:paraId="0BC8FBC0">
            <w:pPr>
              <w:spacing w:before="96" w:beforeLines="40" w:after="96" w:afterLines="40" w:line="24" w:lineRule="atLeast"/>
              <w:rPr>
                <w:rFonts w:hint="eastAsia" w:eastAsia="宋体"/>
                <w:sz w:val="18"/>
                <w:szCs w:val="18"/>
                <w:lang w:val="en-US" w:eastAsia="zh-CN"/>
              </w:rPr>
            </w:pPr>
          </w:p>
        </w:tc>
        <w:tc>
          <w:tcPr>
            <w:tcW w:w="4969" w:type="dxa"/>
          </w:tcPr>
          <w:p w14:paraId="3BB080E5">
            <w:pPr>
              <w:spacing w:before="96" w:beforeLines="40" w:after="96" w:afterLines="40" w:line="24" w:lineRule="atLeast"/>
              <w:rPr>
                <w:rFonts w:hint="default" w:eastAsia="宋体"/>
                <w:sz w:val="18"/>
                <w:szCs w:val="18"/>
                <w:lang w:val="en-US" w:eastAsia="zh-CN"/>
              </w:rPr>
            </w:pPr>
          </w:p>
        </w:tc>
      </w:tr>
      <w:tr w14:paraId="1C8A14DB">
        <w:tblPrEx>
          <w:tblCellMar>
            <w:top w:w="0" w:type="dxa"/>
            <w:left w:w="108" w:type="dxa"/>
            <w:bottom w:w="0" w:type="dxa"/>
            <w:right w:w="108" w:type="dxa"/>
          </w:tblCellMar>
        </w:tblPrEx>
        <w:tc>
          <w:tcPr>
            <w:tcW w:w="587" w:type="dxa"/>
            <w:shd w:val="clear" w:color="auto" w:fill="EEEEEE"/>
          </w:tcPr>
          <w:p w14:paraId="747FD349">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3CCE9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74E6BF29">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12" w:type="dxa"/>
            <w:shd w:val="clear" w:color="auto" w:fill="EEEEEE"/>
          </w:tcPr>
          <w:p w14:paraId="3C4B7500">
            <w:pPr>
              <w:spacing w:before="96" w:beforeLines="40" w:after="96" w:afterLines="40" w:line="24" w:lineRule="atLeast"/>
              <w:rPr>
                <w:rFonts w:eastAsia="Times New Roman"/>
                <w:sz w:val="18"/>
                <w:szCs w:val="18"/>
                <w:shd w:val="clear" w:color="auto" w:fill="FFFFFF"/>
                <w:lang w:val="en-GB" w:eastAsia="en-GB"/>
              </w:rPr>
            </w:pPr>
          </w:p>
        </w:tc>
        <w:tc>
          <w:tcPr>
            <w:tcW w:w="4969" w:type="dxa"/>
            <w:shd w:val="clear" w:color="auto" w:fill="EEEEEE"/>
          </w:tcPr>
          <w:p w14:paraId="47AE30A2">
            <w:pPr>
              <w:spacing w:before="96" w:beforeLines="40" w:after="96" w:afterLines="40" w:line="24" w:lineRule="atLeast"/>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4BCD68B0">
        <w:tblPrEx>
          <w:tblCellMar>
            <w:top w:w="0" w:type="dxa"/>
            <w:left w:w="108" w:type="dxa"/>
            <w:bottom w:w="0" w:type="dxa"/>
            <w:right w:w="108" w:type="dxa"/>
          </w:tblCellMar>
        </w:tblPrEx>
        <w:tc>
          <w:tcPr>
            <w:tcW w:w="587" w:type="dxa"/>
            <w:shd w:val="clear" w:color="auto" w:fill="auto"/>
          </w:tcPr>
          <w:p w14:paraId="7E79175E">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962BEE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FEB1E75">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12" w:type="dxa"/>
          </w:tcPr>
          <w:p w14:paraId="695E3220">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6</w:t>
            </w:r>
          </w:p>
        </w:tc>
        <w:tc>
          <w:tcPr>
            <w:tcW w:w="4969" w:type="dxa"/>
          </w:tcPr>
          <w:p w14:paraId="10E70746">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lang w:val="en-US" w:eastAsia="zh-CN"/>
              </w:rPr>
              <w:t>In Table 1</w:t>
            </w:r>
          </w:p>
        </w:tc>
      </w:tr>
      <w:tr w14:paraId="221B0DD1">
        <w:tblPrEx>
          <w:tblCellMar>
            <w:top w:w="0" w:type="dxa"/>
            <w:left w:w="108" w:type="dxa"/>
            <w:bottom w:w="0" w:type="dxa"/>
            <w:right w:w="108" w:type="dxa"/>
          </w:tblCellMar>
        </w:tblPrEx>
        <w:tc>
          <w:tcPr>
            <w:tcW w:w="587" w:type="dxa"/>
            <w:shd w:val="clear" w:color="auto" w:fill="EEEEEE"/>
          </w:tcPr>
          <w:p w14:paraId="0D0953C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9A44D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2BF154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12" w:type="dxa"/>
            <w:shd w:val="clear" w:color="auto" w:fill="EEEEEE"/>
          </w:tcPr>
          <w:p w14:paraId="3241060E">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6</w:t>
            </w:r>
          </w:p>
        </w:tc>
        <w:tc>
          <w:tcPr>
            <w:tcW w:w="4969" w:type="dxa"/>
            <w:shd w:val="clear" w:color="auto" w:fill="EEEEEE"/>
          </w:tcPr>
          <w:p w14:paraId="46FA2CA3">
            <w:pPr>
              <w:spacing w:before="96" w:beforeLines="40" w:after="96" w:afterLines="40" w:line="24" w:lineRule="atLeast"/>
              <w:rPr>
                <w:rFonts w:eastAsia="Times New Roman"/>
                <w:sz w:val="18"/>
                <w:szCs w:val="18"/>
                <w:lang w:val="en-GB" w:eastAsia="en-GB"/>
              </w:rPr>
            </w:pPr>
          </w:p>
        </w:tc>
      </w:tr>
      <w:tr w14:paraId="0396C451">
        <w:tblPrEx>
          <w:tblCellMar>
            <w:top w:w="0" w:type="dxa"/>
            <w:left w:w="108" w:type="dxa"/>
            <w:bottom w:w="0" w:type="dxa"/>
            <w:right w:w="108" w:type="dxa"/>
          </w:tblCellMar>
        </w:tblPrEx>
        <w:tc>
          <w:tcPr>
            <w:tcW w:w="587" w:type="dxa"/>
            <w:shd w:val="clear" w:color="auto" w:fill="auto"/>
          </w:tcPr>
          <w:p w14:paraId="3A6F9FE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0F6B3A8">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3710F17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12" w:type="dxa"/>
          </w:tcPr>
          <w:p w14:paraId="7A6E147E">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tcPr>
          <w:p w14:paraId="6FD22CB2">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0F90A8C2">
        <w:tblPrEx>
          <w:tblCellMar>
            <w:top w:w="0" w:type="dxa"/>
            <w:left w:w="108" w:type="dxa"/>
            <w:bottom w:w="0" w:type="dxa"/>
            <w:right w:w="108" w:type="dxa"/>
          </w:tblCellMar>
        </w:tblPrEx>
        <w:tc>
          <w:tcPr>
            <w:tcW w:w="587" w:type="dxa"/>
            <w:shd w:val="clear" w:color="auto" w:fill="EEEEEE"/>
          </w:tcPr>
          <w:p w14:paraId="32C32FE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242D48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EEEEEE"/>
          </w:tcPr>
          <w:p w14:paraId="2645E60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12" w:type="dxa"/>
            <w:shd w:val="clear" w:color="auto" w:fill="EEEEEE"/>
          </w:tcPr>
          <w:p w14:paraId="300738B0">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shd w:val="clear" w:color="auto" w:fill="EEEEEE"/>
          </w:tcPr>
          <w:p w14:paraId="6DBE1F8B">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6F7C4258">
        <w:tblPrEx>
          <w:tblCellMar>
            <w:top w:w="0" w:type="dxa"/>
            <w:left w:w="108" w:type="dxa"/>
            <w:bottom w:w="0" w:type="dxa"/>
            <w:right w:w="108" w:type="dxa"/>
          </w:tblCellMar>
        </w:tblPrEx>
        <w:tc>
          <w:tcPr>
            <w:tcW w:w="587" w:type="dxa"/>
            <w:shd w:val="clear" w:color="auto" w:fill="auto"/>
          </w:tcPr>
          <w:p w14:paraId="52BA5A3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08" w:type="dxa"/>
            <w:shd w:val="clear" w:color="auto" w:fill="auto"/>
          </w:tcPr>
          <w:p w14:paraId="38EC7C4C">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14:paraId="2106C025">
            <w:pPr>
              <w:spacing w:before="96" w:beforeLines="40" w:after="96" w:afterLines="40" w:line="24" w:lineRule="atLeast"/>
              <w:jc w:val="center"/>
              <w:rPr>
                <w:rFonts w:eastAsia="Cambria"/>
                <w:sz w:val="18"/>
                <w:szCs w:val="18"/>
                <w:lang w:val="en-GB" w:eastAsia="en-US"/>
              </w:rPr>
            </w:pPr>
          </w:p>
        </w:tc>
        <w:tc>
          <w:tcPr>
            <w:tcW w:w="6414" w:type="dxa"/>
            <w:shd w:val="clear" w:color="auto" w:fill="auto"/>
          </w:tcPr>
          <w:p w14:paraId="120FE65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p w14:paraId="66AC1D60">
            <w:pPr>
              <w:spacing w:before="96" w:beforeLines="40" w:after="96" w:afterLines="40" w:line="24" w:lineRule="atLeast"/>
              <w:rPr>
                <w:rFonts w:eastAsia="Times New Roman"/>
                <w:sz w:val="18"/>
                <w:szCs w:val="18"/>
                <w:lang w:val="en-GB" w:eastAsia="en-GB"/>
              </w:rPr>
            </w:pPr>
          </w:p>
        </w:tc>
        <w:tc>
          <w:tcPr>
            <w:tcW w:w="712" w:type="dxa"/>
          </w:tcPr>
          <w:p w14:paraId="57775D3C">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969" w:type="dxa"/>
          </w:tcPr>
          <w:p w14:paraId="09182C5B">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Relevance Assumption: The genetic variants (SNPs) used as instrumental variables (IVs) are strongly associated with the exposure. This ensures that the IVs are relevant for predicting variations in gut microbiota.</w:t>
            </w:r>
          </w:p>
          <w:p w14:paraId="366D8BC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Independence Assumption: The genetic variants used as IVs are independent of confounders that may influence both the exposure  and the outcome. This assumption ensures that the IVs are not correlated with any external factors that could bias the causal estimate.</w:t>
            </w:r>
          </w:p>
          <w:p w14:paraId="745B6FE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Exclusion Restriction Assumption: The genetic variants affect the outcome  only through the exposure  and not through any other pathway. This means that the IVs influence IBD solely by altering gut microbiota levels and do not have a direct effect on IBD through other biological mechanisms.</w:t>
            </w:r>
          </w:p>
          <w:p w14:paraId="5A6BC32A">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absence of pleiotropy was ensured by MR-EGGER REGRESSION and MR-PRESSO, in addition to the sensitivity analyses: heterogeneity (by Cochran's Q statistic and funnel plot) and Leave-One-Out analysis.</w:t>
            </w:r>
          </w:p>
        </w:tc>
      </w:tr>
      <w:tr w14:paraId="0ADD3B66">
        <w:tblPrEx>
          <w:tblCellMar>
            <w:top w:w="0" w:type="dxa"/>
            <w:left w:w="108" w:type="dxa"/>
            <w:bottom w:w="0" w:type="dxa"/>
            <w:right w:w="108" w:type="dxa"/>
          </w:tblCellMar>
        </w:tblPrEx>
        <w:tc>
          <w:tcPr>
            <w:tcW w:w="587" w:type="dxa"/>
            <w:shd w:val="clear" w:color="auto" w:fill="EEEEEE"/>
          </w:tcPr>
          <w:p w14:paraId="31523DA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08" w:type="dxa"/>
            <w:shd w:val="clear" w:color="auto" w:fill="EEEEEE"/>
          </w:tcPr>
          <w:p w14:paraId="4FFEA0B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6414" w:type="dxa"/>
            <w:shd w:val="clear" w:color="auto" w:fill="EEEEEE"/>
          </w:tcPr>
          <w:p w14:paraId="2E09217A">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12" w:type="dxa"/>
            <w:shd w:val="clear" w:color="auto" w:fill="EEEEEE"/>
          </w:tcPr>
          <w:p w14:paraId="70DA895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B0CC803">
            <w:pPr>
              <w:spacing w:before="96" w:beforeLines="40" w:after="96" w:afterLines="40" w:line="24" w:lineRule="atLeast"/>
              <w:rPr>
                <w:rFonts w:eastAsia="Times New Roman"/>
                <w:sz w:val="18"/>
                <w:szCs w:val="18"/>
                <w:lang w:val="en-GB" w:eastAsia="en-GB"/>
              </w:rPr>
            </w:pPr>
          </w:p>
        </w:tc>
      </w:tr>
      <w:tr w14:paraId="50E33C26">
        <w:tblPrEx>
          <w:tblCellMar>
            <w:top w:w="0" w:type="dxa"/>
            <w:left w:w="108" w:type="dxa"/>
            <w:bottom w:w="0" w:type="dxa"/>
            <w:right w:w="108" w:type="dxa"/>
          </w:tblCellMar>
        </w:tblPrEx>
        <w:tc>
          <w:tcPr>
            <w:tcW w:w="587" w:type="dxa"/>
            <w:shd w:val="clear" w:color="auto" w:fill="auto"/>
          </w:tcPr>
          <w:p w14:paraId="7A91D70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5FC82F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4378A68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12" w:type="dxa"/>
          </w:tcPr>
          <w:p w14:paraId="00EBBB50">
            <w:pPr>
              <w:spacing w:before="96" w:beforeLines="40" w:after="96" w:afterLines="40" w:line="24" w:lineRule="atLeast"/>
              <w:rPr>
                <w:rFonts w:eastAsia="Times New Roman"/>
                <w:sz w:val="18"/>
                <w:szCs w:val="18"/>
                <w:lang w:val="en-GB" w:eastAsia="en-GB"/>
              </w:rPr>
            </w:pPr>
          </w:p>
        </w:tc>
        <w:tc>
          <w:tcPr>
            <w:tcW w:w="4969" w:type="dxa"/>
          </w:tcPr>
          <w:p w14:paraId="7386E212">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Quantitative variables, such as the genetically predicted levels of gut microbiota, were analyzed on a continuous scale. These variables were expressed in terms of standard deviations (SD). The exposure (gut microbiota) and outcome (IBD) were standardized across the analysis to ensure comparability of results. The causal effects are reported as odds ratios (ORs) per 1 SD increase in the genetically predicted levels of gut microbiota. In the mediation analysis, the indirect effect (through HLA DR on monocytes) and total effect were also expressed in the same units to calculate the percentage of mediation.</w:t>
            </w:r>
          </w:p>
        </w:tc>
      </w:tr>
      <w:tr w14:paraId="18E7323B">
        <w:tblPrEx>
          <w:tblCellMar>
            <w:top w:w="0" w:type="dxa"/>
            <w:left w:w="108" w:type="dxa"/>
            <w:bottom w:w="0" w:type="dxa"/>
            <w:right w:w="108" w:type="dxa"/>
          </w:tblCellMar>
        </w:tblPrEx>
        <w:tc>
          <w:tcPr>
            <w:tcW w:w="587" w:type="dxa"/>
            <w:shd w:val="clear" w:color="auto" w:fill="EEEEEE"/>
          </w:tcPr>
          <w:p w14:paraId="5B080091">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8A16A1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16CFCEF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12" w:type="dxa"/>
            <w:shd w:val="clear" w:color="auto" w:fill="EEEEEE"/>
          </w:tcPr>
          <w:p w14:paraId="0040F0F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12EE6E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Genetic variants (SNPs) were selected as instrumental variables (IVs) based on their association with the exposure (gut microbiota) at genome-wide significance levels (P &lt; 5 × 10^-8) where possible. If this threshold was not met, SNPs with P &lt; 1 × 10^-5 were used as candidate IVs. These SNPs were further pruned for linkage disequilibrium (LD) to ensure independence (using a threshold of r² &lt; 0.001 and a window size of 10,000 kb). Weights for the SNPs were derived from GWAS summary statistics, reflecting their association with gut microbiota. Only SNPs with F-statistic &gt; 10 were retained to avoid weak instrument bias.</w:t>
            </w:r>
          </w:p>
        </w:tc>
      </w:tr>
      <w:tr w14:paraId="2B2987E9">
        <w:tblPrEx>
          <w:tblCellMar>
            <w:top w:w="0" w:type="dxa"/>
            <w:left w:w="108" w:type="dxa"/>
            <w:bottom w:w="0" w:type="dxa"/>
            <w:right w:w="108" w:type="dxa"/>
          </w:tblCellMar>
        </w:tblPrEx>
        <w:tc>
          <w:tcPr>
            <w:tcW w:w="587" w:type="dxa"/>
            <w:shd w:val="clear" w:color="auto" w:fill="auto"/>
          </w:tcPr>
          <w:p w14:paraId="1748E72A">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DBFF87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7840134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12" w:type="dxa"/>
          </w:tcPr>
          <w:p w14:paraId="2542A590">
            <w:pPr>
              <w:spacing w:before="96" w:beforeLines="40" w:after="96" w:afterLines="40" w:line="24" w:lineRule="atLeast"/>
              <w:rPr>
                <w:rFonts w:eastAsia="Times New Roman"/>
                <w:sz w:val="18"/>
                <w:szCs w:val="18"/>
                <w:lang w:val="en-GB" w:eastAsia="en-GB"/>
              </w:rPr>
            </w:pPr>
          </w:p>
        </w:tc>
        <w:tc>
          <w:tcPr>
            <w:tcW w:w="4969" w:type="dxa"/>
          </w:tcPr>
          <w:p w14:paraId="6F312EB7">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The primary Mendelian Randomization (MR) estimator used was the Inverse Variance Weighted (IVW) method, which provides a consistent estimate of the causal effect when there is no heterogeneity. Additional methods such as MR-Egger, Weighted Median, and Simple Mode were applied as sensitivity analyses to check for robustness. The direction of causality was confirmed through the IVW method, and a significant P-value (P &lt; 0.05) was taken as evidence of a causal relationship. In the case of mediation analysis, a two-step MR approach was used to estimate the indirect effect of HLA DR on monocytes</w:t>
            </w:r>
          </w:p>
          <w:p w14:paraId="7DED980E">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In two-sample MR, the same set of genetic covariates (SNPs) was used for adjustment in both the exposure (gut microbiota) and the outcome (IBD). The genetic instruments were harmonized across datasets to ensure consistency in the alleles used for estimation, reducing the risk of bias from misalignment.</w:t>
            </w:r>
          </w:p>
        </w:tc>
      </w:tr>
      <w:tr w14:paraId="56E47B76">
        <w:tblPrEx>
          <w:tblCellMar>
            <w:top w:w="0" w:type="dxa"/>
            <w:left w:w="108" w:type="dxa"/>
            <w:bottom w:w="0" w:type="dxa"/>
            <w:right w:w="108" w:type="dxa"/>
          </w:tblCellMar>
        </w:tblPrEx>
        <w:tc>
          <w:tcPr>
            <w:tcW w:w="587" w:type="dxa"/>
            <w:shd w:val="clear" w:color="auto" w:fill="EEEEEE"/>
          </w:tcPr>
          <w:p w14:paraId="793CABD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6FC9A61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118EEA9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12" w:type="dxa"/>
            <w:shd w:val="clear" w:color="auto" w:fill="EEEEEE"/>
          </w:tcPr>
          <w:p w14:paraId="0F238FBF">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1CC0C80">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Missing data were addressed by excluding palindromic and ambiguous SNPs during the data harmonization process. SNPs that could not be aligned consistently between the exposure and outcome datasets were removed from the analysis. If additional SNPs were missing from one of the samples, they were excluded to maintain consistency in the analyses.</w:t>
            </w:r>
          </w:p>
        </w:tc>
      </w:tr>
      <w:tr w14:paraId="1832D4B5">
        <w:tblPrEx>
          <w:tblCellMar>
            <w:top w:w="0" w:type="dxa"/>
            <w:left w:w="108" w:type="dxa"/>
            <w:bottom w:w="0" w:type="dxa"/>
            <w:right w:w="108" w:type="dxa"/>
          </w:tblCellMar>
        </w:tblPrEx>
        <w:tc>
          <w:tcPr>
            <w:tcW w:w="587" w:type="dxa"/>
            <w:shd w:val="clear" w:color="auto" w:fill="auto"/>
          </w:tcPr>
          <w:p w14:paraId="1D693A04">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8505C4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auto"/>
          </w:tcPr>
          <w:p w14:paraId="630922A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12" w:type="dxa"/>
          </w:tcPr>
          <w:p w14:paraId="6B4412E3">
            <w:pPr>
              <w:spacing w:before="96" w:beforeLines="40" w:after="96" w:afterLines="40" w:line="24" w:lineRule="atLeast"/>
              <w:rPr>
                <w:rFonts w:eastAsia="Times New Roman"/>
                <w:sz w:val="18"/>
                <w:szCs w:val="18"/>
                <w:lang w:val="en-GB" w:eastAsia="en-GB"/>
              </w:rPr>
            </w:pPr>
          </w:p>
        </w:tc>
        <w:tc>
          <w:tcPr>
            <w:tcW w:w="4969" w:type="dxa"/>
          </w:tcPr>
          <w:p w14:paraId="338A12B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Multiple testing was addressed by controlling the false discovery rate. In this study, genome-wide significance thresholds (P &lt; 5 × 10^-8 or P &lt; 1 × 10^-5) were used to minimize the chance of false positives when identifying SNPs associated with gut microbiota. Further corrections were applied to the sensitivity analyses to account for multiple comparisons across the various gut microbiota species and immune cell types.</w:t>
            </w:r>
          </w:p>
        </w:tc>
      </w:tr>
      <w:tr w14:paraId="5D57A880">
        <w:tblPrEx>
          <w:tblCellMar>
            <w:top w:w="0" w:type="dxa"/>
            <w:left w:w="108" w:type="dxa"/>
            <w:bottom w:w="0" w:type="dxa"/>
            <w:right w:w="108" w:type="dxa"/>
          </w:tblCellMar>
        </w:tblPrEx>
        <w:tc>
          <w:tcPr>
            <w:tcW w:w="587" w:type="dxa"/>
            <w:shd w:val="clear" w:color="auto" w:fill="EEEEEE"/>
          </w:tcPr>
          <w:p w14:paraId="331C3B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08" w:type="dxa"/>
            <w:shd w:val="clear" w:color="auto" w:fill="EEEEEE"/>
          </w:tcPr>
          <w:p w14:paraId="6EB481AA">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4C3DA9B">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p w14:paraId="1BF38D1E">
            <w:pPr>
              <w:tabs>
                <w:tab w:val="left" w:pos="1620"/>
              </w:tabs>
              <w:spacing w:before="96" w:beforeLines="40" w:after="96" w:afterLines="40" w:line="24" w:lineRule="atLeast"/>
              <w:rPr>
                <w:rFonts w:hint="eastAsia" w:eastAsia="Cambria"/>
                <w:sz w:val="18"/>
                <w:szCs w:val="18"/>
                <w:lang w:val="en-GB" w:eastAsia="en-US"/>
              </w:rPr>
            </w:pPr>
          </w:p>
        </w:tc>
        <w:tc>
          <w:tcPr>
            <w:tcW w:w="712" w:type="dxa"/>
            <w:shd w:val="clear" w:color="auto" w:fill="EEEEEE"/>
          </w:tcPr>
          <w:p w14:paraId="747DA7C3">
            <w:pPr>
              <w:tabs>
                <w:tab w:val="left" w:pos="1620"/>
              </w:tabs>
              <w:spacing w:before="96" w:beforeLines="40" w:after="96" w:afterLines="40" w:line="24" w:lineRule="atLeast"/>
              <w:rPr>
                <w:rFonts w:eastAsia="Times New Roman"/>
                <w:sz w:val="18"/>
                <w:szCs w:val="18"/>
                <w:lang w:val="en-GB" w:eastAsia="en-GB"/>
              </w:rPr>
            </w:pPr>
          </w:p>
        </w:tc>
        <w:tc>
          <w:tcPr>
            <w:tcW w:w="4969" w:type="dxa"/>
            <w:shd w:val="clear" w:color="auto" w:fill="EEEEEE"/>
          </w:tcPr>
          <w:p w14:paraId="3238E68C">
            <w:pPr>
              <w:tabs>
                <w:tab w:val="left" w:pos="1620"/>
              </w:tabs>
              <w:spacing w:before="96" w:beforeLines="40" w:after="96" w:afterLines="40" w:line="24" w:lineRule="atLeast"/>
              <w:rPr>
                <w:rFonts w:eastAsia="Times New Roman"/>
                <w:sz w:val="18"/>
                <w:szCs w:val="18"/>
                <w:lang w:val="en-GB" w:eastAsia="en-GB"/>
              </w:rPr>
            </w:pPr>
            <w:r>
              <w:rPr>
                <w:rFonts w:hint="eastAsia" w:eastAsia="Cambria"/>
                <w:sz w:val="18"/>
                <w:szCs w:val="18"/>
                <w:lang w:val="en-GB" w:eastAsia="en-US"/>
              </w:rPr>
              <w:t>To assess the validity of the hypotheses, we adopted measures including rigorous instrumental variable selection criteria, sensitivity analyses (e.g., MR-Egger regression and MR-PRESSO tests), heterogeneity and pleiotropy tests (e.g., Cochran's Q statistic and funnel plots), and validation of the hypotheses through literature and biological mechanisms.</w:t>
            </w:r>
          </w:p>
        </w:tc>
      </w:tr>
      <w:tr w14:paraId="69F7918F">
        <w:tblPrEx>
          <w:tblCellMar>
            <w:top w:w="0" w:type="dxa"/>
            <w:left w:w="108" w:type="dxa"/>
            <w:bottom w:w="0" w:type="dxa"/>
            <w:right w:w="108" w:type="dxa"/>
          </w:tblCellMar>
        </w:tblPrEx>
        <w:tc>
          <w:tcPr>
            <w:tcW w:w="587" w:type="dxa"/>
            <w:shd w:val="clear" w:color="auto" w:fill="auto"/>
          </w:tcPr>
          <w:p w14:paraId="3699B6F7">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08" w:type="dxa"/>
            <w:shd w:val="clear" w:color="auto" w:fill="auto"/>
          </w:tcPr>
          <w:p w14:paraId="5F53ADF7">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6414" w:type="dxa"/>
            <w:shd w:val="clear" w:color="auto" w:fill="auto"/>
          </w:tcPr>
          <w:p w14:paraId="231EE0E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p w14:paraId="5F0E9854">
            <w:pPr>
              <w:spacing w:before="96" w:beforeLines="40" w:after="96" w:afterLines="40" w:line="24" w:lineRule="atLeast"/>
              <w:rPr>
                <w:rFonts w:eastAsia="Times New Roman"/>
                <w:sz w:val="18"/>
                <w:szCs w:val="18"/>
                <w:lang w:val="en-GB" w:eastAsia="en-US"/>
              </w:rPr>
            </w:pPr>
          </w:p>
        </w:tc>
        <w:tc>
          <w:tcPr>
            <w:tcW w:w="712" w:type="dxa"/>
          </w:tcPr>
          <w:p w14:paraId="619CA106">
            <w:pPr>
              <w:spacing w:before="96" w:beforeLines="40" w:after="96" w:afterLines="40" w:line="24" w:lineRule="atLeast"/>
              <w:rPr>
                <w:rFonts w:eastAsia="Times New Roman"/>
                <w:sz w:val="18"/>
                <w:szCs w:val="18"/>
                <w:lang w:val="en-GB" w:eastAsia="en-GB"/>
              </w:rPr>
            </w:pPr>
          </w:p>
        </w:tc>
        <w:tc>
          <w:tcPr>
            <w:tcW w:w="4969" w:type="dxa"/>
          </w:tcPr>
          <w:p w14:paraId="55A17ECC">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Sensitivity analyses: MR-Egger Regression Analysis, if P-value &gt; 0.05, it indicates that the multiplicity is not significant and the results are more reliable.MR-PRESSO GLOBAL TEST P-VALUE, if P-value &gt; 0.05, it indicates that the multiplicity is not significant.Leave-One-Out Analysis exclude each SNP one by one and rerun the MR analysis , observing the changes in the results. Heterogeneity was detected using Cochran's Q statistic and funnel plot. If the P value of Q statistic &gt; 0.05, it indicated that the heterogeneity was not significant.</w:t>
            </w:r>
          </w:p>
        </w:tc>
      </w:tr>
      <w:tr w14:paraId="158EE190">
        <w:tblPrEx>
          <w:tblCellMar>
            <w:top w:w="0" w:type="dxa"/>
            <w:left w:w="108" w:type="dxa"/>
            <w:bottom w:w="0" w:type="dxa"/>
            <w:right w:w="108" w:type="dxa"/>
          </w:tblCellMar>
        </w:tblPrEx>
        <w:tc>
          <w:tcPr>
            <w:tcW w:w="587" w:type="dxa"/>
            <w:shd w:val="clear" w:color="auto" w:fill="EEEEEE"/>
          </w:tcPr>
          <w:p w14:paraId="75DAB2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08" w:type="dxa"/>
            <w:shd w:val="clear" w:color="auto" w:fill="EEEEEE"/>
          </w:tcPr>
          <w:p w14:paraId="3FB4D2A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6414" w:type="dxa"/>
            <w:shd w:val="clear" w:color="auto" w:fill="EEEEEE"/>
          </w:tcPr>
          <w:p w14:paraId="1740CAEF">
            <w:pPr>
              <w:spacing w:before="96" w:beforeLines="40" w:after="96" w:afterLines="40" w:line="24" w:lineRule="atLeast"/>
              <w:rPr>
                <w:rFonts w:eastAsia="Cambria"/>
                <w:sz w:val="18"/>
                <w:szCs w:val="18"/>
                <w:lang w:val="en-GB" w:eastAsia="en-US"/>
              </w:rPr>
            </w:pPr>
          </w:p>
        </w:tc>
        <w:tc>
          <w:tcPr>
            <w:tcW w:w="712" w:type="dxa"/>
            <w:shd w:val="clear" w:color="auto" w:fill="EEEEEE"/>
          </w:tcPr>
          <w:p w14:paraId="23445B9E">
            <w:pPr>
              <w:spacing w:before="96" w:beforeLines="40" w:after="96" w:afterLines="40" w:line="24" w:lineRule="atLeast"/>
              <w:rPr>
                <w:rFonts w:eastAsia="Cambria"/>
                <w:sz w:val="18"/>
                <w:szCs w:val="18"/>
                <w:lang w:val="en-GB" w:eastAsia="en-US"/>
              </w:rPr>
            </w:pPr>
          </w:p>
        </w:tc>
        <w:tc>
          <w:tcPr>
            <w:tcW w:w="4969" w:type="dxa"/>
            <w:shd w:val="clear" w:color="auto" w:fill="EEEEEE"/>
          </w:tcPr>
          <w:p w14:paraId="672E45DA">
            <w:pPr>
              <w:spacing w:before="96" w:beforeLines="40" w:after="96" w:afterLines="40" w:line="24" w:lineRule="atLeast"/>
              <w:rPr>
                <w:rFonts w:eastAsia="Cambria"/>
                <w:sz w:val="18"/>
                <w:szCs w:val="18"/>
                <w:lang w:val="en-GB" w:eastAsia="en-US"/>
              </w:rPr>
            </w:pPr>
          </w:p>
        </w:tc>
      </w:tr>
      <w:tr w14:paraId="1FB4767A">
        <w:tblPrEx>
          <w:tblCellMar>
            <w:top w:w="0" w:type="dxa"/>
            <w:left w:w="108" w:type="dxa"/>
            <w:bottom w:w="0" w:type="dxa"/>
            <w:right w:w="108" w:type="dxa"/>
          </w:tblCellMar>
        </w:tblPrEx>
        <w:tc>
          <w:tcPr>
            <w:tcW w:w="587" w:type="dxa"/>
            <w:shd w:val="clear" w:color="auto" w:fill="auto"/>
          </w:tcPr>
          <w:p w14:paraId="68E75B6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F033D7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0BE9FAB">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p w14:paraId="68073CDE">
            <w:pPr>
              <w:spacing w:before="96" w:beforeLines="40" w:after="96" w:afterLines="40" w:line="24" w:lineRule="atLeast"/>
              <w:rPr>
                <w:rFonts w:eastAsia="Times New Roman"/>
                <w:sz w:val="18"/>
                <w:szCs w:val="18"/>
                <w:lang w:val="en-GB" w:eastAsia="en-GB"/>
              </w:rPr>
            </w:pPr>
          </w:p>
        </w:tc>
        <w:tc>
          <w:tcPr>
            <w:tcW w:w="712" w:type="dxa"/>
          </w:tcPr>
          <w:p w14:paraId="0EC2BB0A">
            <w:pPr>
              <w:spacing w:before="96" w:beforeLines="40" w:after="96" w:afterLines="40" w:line="24" w:lineRule="atLeast"/>
              <w:rPr>
                <w:rFonts w:eastAsia="Times New Roman"/>
                <w:sz w:val="18"/>
                <w:szCs w:val="18"/>
                <w:lang w:val="en-GB" w:eastAsia="en-GB"/>
              </w:rPr>
            </w:pPr>
          </w:p>
        </w:tc>
        <w:tc>
          <w:tcPr>
            <w:tcW w:w="4969" w:type="dxa"/>
          </w:tcPr>
          <w:p w14:paraId="36BF693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All analyses were performed using R version 4.3.1. For these analyses, we used various R packages, including "Two Sample MR", "foreach" and "ggplot2".</w:t>
            </w:r>
          </w:p>
        </w:tc>
      </w:tr>
      <w:tr w14:paraId="3091EEBC">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D7C8D5">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4B618BF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tcBorders>
              <w:bottom w:val="single" w:color="7F7F7F" w:sz="6" w:space="0"/>
            </w:tcBorders>
            <w:shd w:val="clear" w:color="auto" w:fill="EEEEEE"/>
          </w:tcPr>
          <w:p w14:paraId="3B3DE63B">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12" w:type="dxa"/>
            <w:tcBorders>
              <w:bottom w:val="single" w:color="7F7F7F" w:sz="6" w:space="0"/>
            </w:tcBorders>
            <w:shd w:val="clear" w:color="auto" w:fill="EEEEEE"/>
          </w:tcPr>
          <w:p w14:paraId="4BFA238B">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54467F6E">
            <w:pPr>
              <w:spacing w:before="96" w:beforeLines="40" w:after="96" w:afterLines="40" w:line="24" w:lineRule="atLeast"/>
              <w:rPr>
                <w:rFonts w:hint="default" w:eastAsia="宋体"/>
                <w:sz w:val="18"/>
                <w:szCs w:val="18"/>
                <w:lang w:val="en-US" w:eastAsia="zh-CN"/>
              </w:rPr>
            </w:pPr>
            <w:r>
              <w:rPr>
                <w:rFonts w:hint="eastAsia" w:eastAsia="Times New Roman"/>
                <w:sz w:val="18"/>
                <w:szCs w:val="18"/>
                <w:lang w:val="en-GB" w:eastAsia="en-GB"/>
              </w:rPr>
              <w:t>Not applicable.</w:t>
            </w:r>
          </w:p>
        </w:tc>
      </w:tr>
      <w:tr w14:paraId="07EBAF89">
        <w:tblPrEx>
          <w:tblCellMar>
            <w:top w:w="0" w:type="dxa"/>
            <w:left w:w="108" w:type="dxa"/>
            <w:bottom w:w="0" w:type="dxa"/>
            <w:right w:w="108" w:type="dxa"/>
          </w:tblCellMar>
        </w:tblPrEx>
        <w:tc>
          <w:tcPr>
            <w:tcW w:w="587" w:type="dxa"/>
            <w:tcBorders>
              <w:top w:val="single" w:color="7F7F7F" w:sz="6" w:space="0"/>
            </w:tcBorders>
            <w:shd w:val="clear" w:color="auto" w:fill="auto"/>
          </w:tcPr>
          <w:p w14:paraId="29D75DF1">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2BC39E06">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6414" w:type="dxa"/>
            <w:tcBorders>
              <w:top w:val="single" w:color="7F7F7F" w:sz="6" w:space="0"/>
            </w:tcBorders>
            <w:shd w:val="clear" w:color="auto" w:fill="auto"/>
          </w:tcPr>
          <w:p w14:paraId="1D28301B">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4D71FC91">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51E13C5">
            <w:pPr>
              <w:spacing w:before="96" w:beforeLines="40" w:after="96" w:afterLines="40" w:line="24" w:lineRule="atLeast"/>
              <w:rPr>
                <w:rFonts w:eastAsia="Cambria"/>
                <w:sz w:val="18"/>
                <w:szCs w:val="18"/>
                <w:lang w:val="en-GB" w:eastAsia="en-US"/>
              </w:rPr>
            </w:pPr>
          </w:p>
        </w:tc>
      </w:tr>
      <w:tr w14:paraId="2CB0C5DC">
        <w:tblPrEx>
          <w:tblCellMar>
            <w:top w:w="0" w:type="dxa"/>
            <w:left w:w="108" w:type="dxa"/>
            <w:bottom w:w="0" w:type="dxa"/>
            <w:right w:w="108" w:type="dxa"/>
          </w:tblCellMar>
        </w:tblPrEx>
        <w:tc>
          <w:tcPr>
            <w:tcW w:w="587" w:type="dxa"/>
            <w:shd w:val="clear" w:color="auto" w:fill="EEEEEE"/>
          </w:tcPr>
          <w:p w14:paraId="7D7F8F9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08" w:type="dxa"/>
            <w:shd w:val="clear" w:color="auto" w:fill="EEEEEE"/>
          </w:tcPr>
          <w:p w14:paraId="0829063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6414" w:type="dxa"/>
            <w:shd w:val="clear" w:color="auto" w:fill="EEEEEE"/>
          </w:tcPr>
          <w:p w14:paraId="4CF99035">
            <w:pPr>
              <w:spacing w:before="96" w:beforeLines="40" w:after="96" w:afterLines="40" w:line="24" w:lineRule="atLeast"/>
              <w:rPr>
                <w:rFonts w:eastAsia="Cambria"/>
                <w:sz w:val="18"/>
                <w:szCs w:val="18"/>
                <w:lang w:val="en-GB" w:eastAsia="en-US"/>
              </w:rPr>
            </w:pPr>
          </w:p>
        </w:tc>
        <w:tc>
          <w:tcPr>
            <w:tcW w:w="712" w:type="dxa"/>
            <w:shd w:val="clear" w:color="auto" w:fill="EEEEEE"/>
          </w:tcPr>
          <w:p w14:paraId="01B6413E">
            <w:pPr>
              <w:spacing w:before="96" w:beforeLines="40" w:after="96" w:afterLines="40" w:line="24" w:lineRule="atLeast"/>
              <w:rPr>
                <w:rFonts w:eastAsia="Cambria"/>
                <w:sz w:val="18"/>
                <w:szCs w:val="18"/>
                <w:lang w:val="en-GB" w:eastAsia="en-US"/>
              </w:rPr>
            </w:pPr>
          </w:p>
        </w:tc>
        <w:tc>
          <w:tcPr>
            <w:tcW w:w="4969" w:type="dxa"/>
            <w:shd w:val="clear" w:color="auto" w:fill="EEEEEE"/>
          </w:tcPr>
          <w:p w14:paraId="61B84A66">
            <w:pPr>
              <w:spacing w:before="96" w:beforeLines="40" w:after="96" w:afterLines="40" w:line="24" w:lineRule="atLeast"/>
              <w:rPr>
                <w:rFonts w:eastAsia="Cambria"/>
                <w:sz w:val="18"/>
                <w:szCs w:val="18"/>
                <w:lang w:val="en-GB" w:eastAsia="en-US"/>
              </w:rPr>
            </w:pPr>
          </w:p>
        </w:tc>
      </w:tr>
      <w:tr w14:paraId="5108FD50">
        <w:tblPrEx>
          <w:tblCellMar>
            <w:top w:w="0" w:type="dxa"/>
            <w:left w:w="108" w:type="dxa"/>
            <w:bottom w:w="0" w:type="dxa"/>
            <w:right w:w="108" w:type="dxa"/>
          </w:tblCellMar>
        </w:tblPrEx>
        <w:tc>
          <w:tcPr>
            <w:tcW w:w="587" w:type="dxa"/>
            <w:shd w:val="clear" w:color="auto" w:fill="auto"/>
          </w:tcPr>
          <w:p w14:paraId="002F525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B855E2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7E292CE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12" w:type="dxa"/>
          </w:tcPr>
          <w:p w14:paraId="6F50CF15">
            <w:pPr>
              <w:spacing w:before="96" w:beforeLines="40" w:after="96" w:afterLines="40" w:line="24" w:lineRule="atLeast"/>
              <w:rPr>
                <w:rFonts w:eastAsia="Times New Roman"/>
                <w:sz w:val="18"/>
                <w:szCs w:val="18"/>
                <w:lang w:val="en-GB" w:eastAsia="en-GB"/>
              </w:rPr>
            </w:pPr>
          </w:p>
        </w:tc>
        <w:tc>
          <w:tcPr>
            <w:tcW w:w="4969" w:type="dxa"/>
          </w:tcPr>
          <w:p w14:paraId="23ABDB1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18430FB">
        <w:tblPrEx>
          <w:tblCellMar>
            <w:top w:w="0" w:type="dxa"/>
            <w:left w:w="108" w:type="dxa"/>
            <w:bottom w:w="0" w:type="dxa"/>
            <w:right w:w="108" w:type="dxa"/>
          </w:tblCellMar>
        </w:tblPrEx>
        <w:tc>
          <w:tcPr>
            <w:tcW w:w="587" w:type="dxa"/>
            <w:shd w:val="clear" w:color="auto" w:fill="EEEEEE"/>
          </w:tcPr>
          <w:p w14:paraId="3CD2364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37CAF9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590B3D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12" w:type="dxa"/>
            <w:shd w:val="clear" w:color="auto" w:fill="EEEEEE"/>
          </w:tcPr>
          <w:p w14:paraId="5FEC12A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52D4A0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3AFF8F45">
        <w:tblPrEx>
          <w:tblCellMar>
            <w:top w:w="0" w:type="dxa"/>
            <w:left w:w="108" w:type="dxa"/>
            <w:bottom w:w="0" w:type="dxa"/>
            <w:right w:w="108" w:type="dxa"/>
          </w:tblCellMar>
        </w:tblPrEx>
        <w:tc>
          <w:tcPr>
            <w:tcW w:w="587" w:type="dxa"/>
            <w:shd w:val="clear" w:color="auto" w:fill="auto"/>
          </w:tcPr>
          <w:p w14:paraId="2071404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59AB68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15600B7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12" w:type="dxa"/>
          </w:tcPr>
          <w:p w14:paraId="55EB2767">
            <w:pPr>
              <w:spacing w:before="96" w:beforeLines="40" w:after="96" w:afterLines="40" w:line="24" w:lineRule="atLeast"/>
              <w:rPr>
                <w:rFonts w:eastAsia="Times New Roman"/>
                <w:sz w:val="18"/>
                <w:szCs w:val="18"/>
                <w:lang w:val="en-GB" w:eastAsia="en-GB"/>
              </w:rPr>
            </w:pPr>
          </w:p>
        </w:tc>
        <w:tc>
          <w:tcPr>
            <w:tcW w:w="4969" w:type="dxa"/>
          </w:tcPr>
          <w:p w14:paraId="3E8D2F1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028C1C3">
        <w:tblPrEx>
          <w:tblCellMar>
            <w:top w:w="0" w:type="dxa"/>
            <w:left w:w="108" w:type="dxa"/>
            <w:bottom w:w="0" w:type="dxa"/>
            <w:right w:w="108" w:type="dxa"/>
          </w:tblCellMar>
        </w:tblPrEx>
        <w:tc>
          <w:tcPr>
            <w:tcW w:w="587" w:type="dxa"/>
            <w:shd w:val="clear" w:color="auto" w:fill="EEEEEE"/>
          </w:tcPr>
          <w:p w14:paraId="42584AB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D95582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27CF865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14:paraId="23DDB1B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14:paraId="581F8F82">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ii.  Provide information on the number of individuals who overlap between the exposure and outcome studies</w:t>
            </w:r>
          </w:p>
          <w:p w14:paraId="40DB5074">
            <w:pPr>
              <w:spacing w:before="96" w:beforeLines="40" w:after="96" w:afterLines="40" w:line="24" w:lineRule="atLeast"/>
              <w:rPr>
                <w:rFonts w:eastAsia="Times New Roman"/>
                <w:sz w:val="18"/>
                <w:szCs w:val="18"/>
                <w:lang w:val="en-GB" w:eastAsia="en-GB"/>
              </w:rPr>
            </w:pPr>
          </w:p>
          <w:p w14:paraId="0DB14CC0">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63B506E0">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3-5</w:t>
            </w:r>
          </w:p>
        </w:tc>
        <w:tc>
          <w:tcPr>
            <w:tcW w:w="4969" w:type="dxa"/>
            <w:shd w:val="clear" w:color="auto" w:fill="EEEEEE"/>
          </w:tcPr>
          <w:p w14:paraId="7FFAD9E5">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 xml:space="preserve">In this two-sample Mendelian Randomization (MR) study, the genetic variant-exposure associations were derived from genome-wide association studies (GWAS) on gut microbiota from a well-defined and separate cohort (the FINRISK 2002 cohort), while the genetic variant-outcome associations were sourced from GWAS data on IBD (from the FinnGen database and the International Inflammatory Bowel Disease Genetics Consortium). These GWAS datasets are independent of each other, and both were conducted in populations of similar European ancestry, ensuring a comparable genetic background. </w:t>
            </w:r>
          </w:p>
          <w:p w14:paraId="3485A81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In this study, there was no overlap between individuals in the exposure and outcome samples. This is because a key assumption of two-sample Mendelian randomisation is that individuals in the exposure and outcome samples are independent, to avoid confounding the causal relationship between exposure and outcome.</w:t>
            </w:r>
          </w:p>
        </w:tc>
      </w:tr>
      <w:tr w14:paraId="1555B6D6">
        <w:tblPrEx>
          <w:tblCellMar>
            <w:top w:w="0" w:type="dxa"/>
            <w:left w:w="108" w:type="dxa"/>
            <w:bottom w:w="0" w:type="dxa"/>
            <w:right w:w="108" w:type="dxa"/>
          </w:tblCellMar>
        </w:tblPrEx>
        <w:tc>
          <w:tcPr>
            <w:tcW w:w="587" w:type="dxa"/>
            <w:shd w:val="clear" w:color="auto" w:fill="auto"/>
          </w:tcPr>
          <w:p w14:paraId="08C0A5A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08" w:type="dxa"/>
            <w:shd w:val="clear" w:color="auto" w:fill="auto"/>
          </w:tcPr>
          <w:p w14:paraId="28A0593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6414" w:type="dxa"/>
            <w:shd w:val="clear" w:color="auto" w:fill="auto"/>
          </w:tcPr>
          <w:p w14:paraId="7950D455">
            <w:pPr>
              <w:spacing w:before="96" w:beforeLines="40" w:after="96" w:afterLines="40" w:line="24" w:lineRule="atLeast"/>
              <w:rPr>
                <w:rFonts w:eastAsia="Cambria"/>
                <w:sz w:val="18"/>
                <w:szCs w:val="18"/>
                <w:lang w:val="en-GB" w:eastAsia="en-US"/>
              </w:rPr>
            </w:pPr>
          </w:p>
        </w:tc>
        <w:tc>
          <w:tcPr>
            <w:tcW w:w="712" w:type="dxa"/>
          </w:tcPr>
          <w:p w14:paraId="160C79F4">
            <w:pPr>
              <w:spacing w:before="96" w:beforeLines="40" w:after="96" w:afterLines="40" w:line="24" w:lineRule="atLeast"/>
              <w:rPr>
                <w:rFonts w:eastAsia="Cambria"/>
                <w:sz w:val="18"/>
                <w:szCs w:val="18"/>
                <w:lang w:val="en-GB" w:eastAsia="en-US"/>
              </w:rPr>
            </w:pPr>
          </w:p>
        </w:tc>
        <w:tc>
          <w:tcPr>
            <w:tcW w:w="4969" w:type="dxa"/>
          </w:tcPr>
          <w:p w14:paraId="42F0A309">
            <w:pPr>
              <w:spacing w:before="96" w:beforeLines="40" w:after="96" w:afterLines="40" w:line="24" w:lineRule="atLeast"/>
              <w:rPr>
                <w:rFonts w:eastAsia="Cambria"/>
                <w:sz w:val="18"/>
                <w:szCs w:val="18"/>
                <w:lang w:val="en-GB" w:eastAsia="en-US"/>
              </w:rPr>
            </w:pPr>
          </w:p>
        </w:tc>
      </w:tr>
      <w:tr w14:paraId="7681D537">
        <w:tblPrEx>
          <w:tblCellMar>
            <w:top w:w="0" w:type="dxa"/>
            <w:left w:w="108" w:type="dxa"/>
            <w:bottom w:w="0" w:type="dxa"/>
            <w:right w:w="108" w:type="dxa"/>
          </w:tblCellMar>
        </w:tblPrEx>
        <w:tc>
          <w:tcPr>
            <w:tcW w:w="587" w:type="dxa"/>
            <w:shd w:val="clear" w:color="auto" w:fill="EEEEEE"/>
          </w:tcPr>
          <w:p w14:paraId="07370EEB">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C16069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5C49406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associations between genetic variant and exposure, and between genetic variant and outcome, preferably on an interpretable scale</w:t>
            </w:r>
          </w:p>
          <w:p w14:paraId="1C51D377">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3793F1C7">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76FF221A">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 xml:space="preserve">Association of genetic variants with exposure, effect size (β): indicates the effect of each allele change on the level of </w:t>
            </w:r>
            <w:r>
              <w:rPr>
                <w:rFonts w:hint="eastAsia" w:eastAsia="宋体"/>
                <w:sz w:val="18"/>
                <w:szCs w:val="18"/>
                <w:lang w:val="en-US" w:eastAsia="zh-CN"/>
              </w:rPr>
              <w:t>outcome</w:t>
            </w:r>
            <w:r>
              <w:rPr>
                <w:rFonts w:hint="eastAsia" w:eastAsia="Times New Roman"/>
                <w:sz w:val="18"/>
                <w:szCs w:val="18"/>
                <w:lang w:val="en-GB" w:eastAsia="en-US"/>
              </w:rPr>
              <w:t>. Standard Error (SE): standard error of the effect size, indicating the precision of the estimate. p-value: statistical value to test the significance of the effect size. Association of genetic variation with outcome , as above. dominance ratio (OR): Dominance ratio calculated from the effect size to indicate the relative effect of each SNP allele on</w:t>
            </w:r>
            <w:r>
              <w:rPr>
                <w:rFonts w:hint="eastAsia" w:eastAsia="宋体"/>
                <w:sz w:val="18"/>
                <w:szCs w:val="18"/>
                <w:lang w:val="en-US" w:eastAsia="zh-CN"/>
              </w:rPr>
              <w:t xml:space="preserve"> outcome</w:t>
            </w:r>
            <w:r>
              <w:rPr>
                <w:rFonts w:hint="eastAsia" w:eastAsia="Times New Roman"/>
                <w:sz w:val="18"/>
                <w:szCs w:val="18"/>
                <w:lang w:val="en-GB" w:eastAsia="en-US"/>
              </w:rPr>
              <w:t>.</w:t>
            </w:r>
          </w:p>
          <w:p w14:paraId="67971804">
            <w:pPr>
              <w:spacing w:before="96" w:beforeLines="40" w:after="96" w:afterLines="40" w:line="24" w:lineRule="atLeast"/>
              <w:rPr>
                <w:rFonts w:eastAsia="Times New Roman"/>
                <w:sz w:val="18"/>
                <w:szCs w:val="18"/>
                <w:lang w:val="en-GB" w:eastAsia="en-GB"/>
              </w:rPr>
            </w:pPr>
          </w:p>
        </w:tc>
      </w:tr>
      <w:tr w14:paraId="647EDC50">
        <w:tblPrEx>
          <w:tblCellMar>
            <w:top w:w="0" w:type="dxa"/>
            <w:left w:w="108" w:type="dxa"/>
            <w:bottom w:w="0" w:type="dxa"/>
            <w:right w:w="108" w:type="dxa"/>
          </w:tblCellMar>
        </w:tblPrEx>
        <w:tc>
          <w:tcPr>
            <w:tcW w:w="587" w:type="dxa"/>
            <w:shd w:val="clear" w:color="auto" w:fill="auto"/>
          </w:tcPr>
          <w:p w14:paraId="11CEC2A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2954C10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23A516D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p w14:paraId="7D544CB8">
            <w:pPr>
              <w:spacing w:before="96" w:beforeLines="40" w:after="96" w:afterLines="40" w:line="24" w:lineRule="atLeast"/>
              <w:rPr>
                <w:rFonts w:eastAsia="Times New Roman"/>
                <w:sz w:val="18"/>
                <w:szCs w:val="18"/>
                <w:lang w:val="en-GB" w:eastAsia="en-GB"/>
              </w:rPr>
            </w:pPr>
          </w:p>
          <w:p w14:paraId="030764D7">
            <w:pPr>
              <w:spacing w:before="96" w:beforeLines="40" w:after="96" w:afterLines="40" w:line="24" w:lineRule="atLeast"/>
              <w:rPr>
                <w:rFonts w:eastAsia="Times New Roman"/>
                <w:sz w:val="18"/>
                <w:szCs w:val="18"/>
                <w:lang w:val="en-GB" w:eastAsia="en-US"/>
              </w:rPr>
            </w:pPr>
          </w:p>
        </w:tc>
        <w:tc>
          <w:tcPr>
            <w:tcW w:w="712" w:type="dxa"/>
          </w:tcPr>
          <w:p w14:paraId="2D179D9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969" w:type="dxa"/>
          </w:tcPr>
          <w:p w14:paraId="1D3A82DD">
            <w:pPr>
              <w:spacing w:before="96" w:beforeLines="40" w:after="96" w:afterLines="40" w:line="24" w:lineRule="atLeast"/>
              <w:rPr>
                <w:rFonts w:hint="eastAsia" w:eastAsia="宋体"/>
                <w:sz w:val="18"/>
                <w:szCs w:val="18"/>
                <w:lang w:val="en-US" w:eastAsia="zh-CN"/>
              </w:rPr>
            </w:pPr>
            <w:r>
              <w:rPr>
                <w:rFonts w:hint="eastAsia" w:eastAsia="Times New Roman"/>
                <w:sz w:val="18"/>
                <w:szCs w:val="18"/>
                <w:lang w:val="en-GB" w:eastAsia="en-US"/>
              </w:rPr>
              <w:t>An increase in Alistipes shahii was significantly associated with a reduction in the risk of Inflammatory Bowel Disease (IBD). Specifically, in the validation dataset (VD), the odds ratio (OR) was 0.8917 (95% CI: 0.8006 - 0.9933, p-value: 0.0373), indicating that each standard deviation increase in Alistipes shahii was associated with a 10.8% reduction in IBD risk. Similarly, in the exploration dataset (ED), the OR was 0.5944 (95% CI: 0.3628 - 0.9738, p-value: 0.0389), corresponding to a 40.6% reduction in IBD risk. These findings suggest a protective effect of Alistipes shahii against IBD, though further research is needed to validate these results</w:t>
            </w:r>
            <w:r>
              <w:rPr>
                <w:rFonts w:hint="eastAsia" w:eastAsia="宋体"/>
                <w:sz w:val="18"/>
                <w:szCs w:val="18"/>
                <w:lang w:val="en-US" w:eastAsia="zh-CN"/>
              </w:rPr>
              <w:t>.</w:t>
            </w:r>
          </w:p>
        </w:tc>
      </w:tr>
      <w:tr w14:paraId="3B7B3B54">
        <w:tblPrEx>
          <w:tblCellMar>
            <w:top w:w="0" w:type="dxa"/>
            <w:left w:w="108" w:type="dxa"/>
            <w:bottom w:w="0" w:type="dxa"/>
            <w:right w:w="108" w:type="dxa"/>
          </w:tblCellMar>
        </w:tblPrEx>
        <w:tc>
          <w:tcPr>
            <w:tcW w:w="587" w:type="dxa"/>
            <w:shd w:val="clear" w:color="auto" w:fill="EEEEEE"/>
          </w:tcPr>
          <w:p w14:paraId="3A3673EA">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7E59A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4E3BD82">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12" w:type="dxa"/>
            <w:shd w:val="clear" w:color="auto" w:fill="EEEEEE"/>
          </w:tcPr>
          <w:p w14:paraId="0A77058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654CC643">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C65FDC0">
        <w:tblPrEx>
          <w:tblCellMar>
            <w:top w:w="0" w:type="dxa"/>
            <w:left w:w="108" w:type="dxa"/>
            <w:bottom w:w="0" w:type="dxa"/>
            <w:right w:w="108" w:type="dxa"/>
          </w:tblCellMar>
        </w:tblPrEx>
        <w:tc>
          <w:tcPr>
            <w:tcW w:w="587" w:type="dxa"/>
            <w:shd w:val="clear" w:color="auto" w:fill="auto"/>
          </w:tcPr>
          <w:p w14:paraId="4833833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E8CC56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D4DE59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12" w:type="dxa"/>
          </w:tcPr>
          <w:p w14:paraId="5210F3B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969" w:type="dxa"/>
          </w:tcPr>
          <w:p w14:paraId="2FAAEA3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article has provided</w:t>
            </w:r>
          </w:p>
        </w:tc>
      </w:tr>
      <w:tr w14:paraId="08781537">
        <w:tblPrEx>
          <w:tblCellMar>
            <w:top w:w="0" w:type="dxa"/>
            <w:left w:w="108" w:type="dxa"/>
            <w:bottom w:w="0" w:type="dxa"/>
            <w:right w:w="108" w:type="dxa"/>
          </w:tblCellMar>
        </w:tblPrEx>
        <w:tc>
          <w:tcPr>
            <w:tcW w:w="587" w:type="dxa"/>
            <w:shd w:val="clear" w:color="auto" w:fill="EEEEEE"/>
          </w:tcPr>
          <w:p w14:paraId="610C678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08" w:type="dxa"/>
            <w:shd w:val="clear" w:color="auto" w:fill="EEEEEE"/>
          </w:tcPr>
          <w:p w14:paraId="7DD2911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C8F1191">
            <w:pPr>
              <w:spacing w:before="96" w:beforeLines="40" w:after="96" w:afterLines="40" w:line="24" w:lineRule="atLeast"/>
              <w:rPr>
                <w:rFonts w:eastAsia="Cambria"/>
                <w:sz w:val="18"/>
                <w:szCs w:val="18"/>
                <w:lang w:val="en-GB" w:eastAsia="en-US"/>
              </w:rPr>
            </w:pPr>
          </w:p>
        </w:tc>
        <w:tc>
          <w:tcPr>
            <w:tcW w:w="712" w:type="dxa"/>
            <w:shd w:val="clear" w:color="auto" w:fill="EEEEEE"/>
          </w:tcPr>
          <w:p w14:paraId="5AC19D7F">
            <w:pPr>
              <w:spacing w:before="96" w:beforeLines="40" w:after="96" w:afterLines="40" w:line="24" w:lineRule="atLeast"/>
              <w:rPr>
                <w:rFonts w:eastAsia="Cambria"/>
                <w:sz w:val="18"/>
                <w:szCs w:val="18"/>
                <w:lang w:val="en-GB" w:eastAsia="en-US"/>
              </w:rPr>
            </w:pPr>
          </w:p>
        </w:tc>
        <w:tc>
          <w:tcPr>
            <w:tcW w:w="4969" w:type="dxa"/>
            <w:shd w:val="clear" w:color="auto" w:fill="EEEEEE"/>
          </w:tcPr>
          <w:p w14:paraId="7B8194AA">
            <w:pPr>
              <w:spacing w:before="96" w:beforeLines="40" w:after="96" w:afterLines="40" w:line="24" w:lineRule="atLeast"/>
              <w:rPr>
                <w:rFonts w:eastAsia="Cambria"/>
                <w:sz w:val="18"/>
                <w:szCs w:val="18"/>
                <w:lang w:val="en-GB" w:eastAsia="en-US"/>
              </w:rPr>
            </w:pPr>
          </w:p>
        </w:tc>
      </w:tr>
      <w:tr w14:paraId="5B1E7F9D">
        <w:tblPrEx>
          <w:tblCellMar>
            <w:top w:w="0" w:type="dxa"/>
            <w:left w:w="108" w:type="dxa"/>
            <w:bottom w:w="0" w:type="dxa"/>
            <w:right w:w="108" w:type="dxa"/>
          </w:tblCellMar>
        </w:tblPrEx>
        <w:tc>
          <w:tcPr>
            <w:tcW w:w="587" w:type="dxa"/>
            <w:shd w:val="clear" w:color="auto" w:fill="auto"/>
          </w:tcPr>
          <w:p w14:paraId="7FC8DA6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473AE78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3A910104">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assessment of the validity of the assumptions</w:t>
            </w:r>
          </w:p>
          <w:p w14:paraId="24B75FE8">
            <w:pPr>
              <w:spacing w:before="96" w:beforeLines="40" w:after="96" w:afterLines="40" w:line="24" w:lineRule="atLeast"/>
              <w:rPr>
                <w:rFonts w:eastAsia="Times New Roman"/>
                <w:sz w:val="18"/>
                <w:szCs w:val="18"/>
                <w:lang w:val="en-GB" w:eastAsia="en-GB"/>
              </w:rPr>
            </w:pPr>
          </w:p>
          <w:p w14:paraId="0C673AAE">
            <w:pPr>
              <w:spacing w:before="96" w:beforeLines="40" w:after="96" w:afterLines="40" w:line="24" w:lineRule="atLeast"/>
              <w:rPr>
                <w:rFonts w:eastAsia="Times New Roman"/>
                <w:sz w:val="18"/>
                <w:szCs w:val="18"/>
                <w:lang w:val="en-GB" w:eastAsia="en-US"/>
              </w:rPr>
            </w:pPr>
          </w:p>
        </w:tc>
        <w:tc>
          <w:tcPr>
            <w:tcW w:w="712" w:type="dxa"/>
          </w:tcPr>
          <w:p w14:paraId="14C7C6EE">
            <w:pPr>
              <w:spacing w:before="96" w:beforeLines="40" w:after="96" w:afterLines="40" w:line="24" w:lineRule="atLeast"/>
              <w:rPr>
                <w:rFonts w:eastAsia="Times New Roman"/>
                <w:sz w:val="18"/>
                <w:szCs w:val="18"/>
                <w:lang w:val="en-GB" w:eastAsia="en-GB"/>
              </w:rPr>
            </w:pPr>
          </w:p>
        </w:tc>
        <w:tc>
          <w:tcPr>
            <w:tcW w:w="4969" w:type="dxa"/>
          </w:tcPr>
          <w:p w14:paraId="1BD0D43A">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Instrumental variables (SNPs) were significantly associated with the exposure variable (DPT cells). SNPs significantly associated with DPT cells were selected to a genome-wide significance level (P &lt; 5 × 10-⁵), and the F-statistic was calculated to ensure that all selected SNPs had sufficient explanatory power. Multiplicity of instrumental variables was tested using MR-EGGER REGRESSION, MR-PRESSO GLOBAL TEST P-VALUE to assess whether they affected the results through confounding factors. It was hypothesised that the instrumental variables (SNPs) would influence the outcome variable (PLC) only through the exposure variable (DPT cells), with no direct effect.</w:t>
            </w:r>
          </w:p>
          <w:p w14:paraId="25BA4F16">
            <w:pPr>
              <w:spacing w:before="96" w:beforeLines="40" w:after="96" w:afterLines="40" w:line="24" w:lineRule="atLeast"/>
              <w:rPr>
                <w:rFonts w:eastAsia="Times New Roman"/>
                <w:sz w:val="18"/>
                <w:szCs w:val="18"/>
                <w:lang w:val="en-GB" w:eastAsia="en-GB"/>
              </w:rPr>
            </w:pPr>
          </w:p>
        </w:tc>
      </w:tr>
      <w:tr w14:paraId="6BFBF2F2">
        <w:tblPrEx>
          <w:tblCellMar>
            <w:top w:w="0" w:type="dxa"/>
            <w:left w:w="108" w:type="dxa"/>
            <w:bottom w:w="0" w:type="dxa"/>
            <w:right w:w="108" w:type="dxa"/>
          </w:tblCellMar>
        </w:tblPrEx>
        <w:tc>
          <w:tcPr>
            <w:tcW w:w="587" w:type="dxa"/>
            <w:shd w:val="clear" w:color="auto" w:fill="EEEEEE"/>
          </w:tcPr>
          <w:p w14:paraId="3CC8FA17">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22CE83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0DC53F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12" w:type="dxa"/>
            <w:shd w:val="clear" w:color="auto" w:fill="EEEEEE"/>
          </w:tcPr>
          <w:p w14:paraId="4859DA3D">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495F151">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article has provided</w:t>
            </w:r>
          </w:p>
        </w:tc>
      </w:tr>
      <w:tr w14:paraId="44E443B1">
        <w:tblPrEx>
          <w:tblCellMar>
            <w:top w:w="0" w:type="dxa"/>
            <w:left w:w="108" w:type="dxa"/>
            <w:bottom w:w="0" w:type="dxa"/>
            <w:right w:w="108" w:type="dxa"/>
          </w:tblCellMar>
        </w:tblPrEx>
        <w:tc>
          <w:tcPr>
            <w:tcW w:w="587" w:type="dxa"/>
            <w:shd w:val="clear" w:color="auto" w:fill="auto"/>
          </w:tcPr>
          <w:p w14:paraId="53164C8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08" w:type="dxa"/>
            <w:shd w:val="clear" w:color="auto" w:fill="auto"/>
          </w:tcPr>
          <w:p w14:paraId="530C281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6414" w:type="dxa"/>
            <w:shd w:val="clear" w:color="auto" w:fill="auto"/>
          </w:tcPr>
          <w:p w14:paraId="6DC1C298">
            <w:pPr>
              <w:spacing w:before="96" w:beforeLines="40" w:after="96" w:afterLines="40" w:line="24" w:lineRule="atLeast"/>
              <w:rPr>
                <w:rFonts w:eastAsia="Cambria"/>
                <w:sz w:val="18"/>
                <w:szCs w:val="18"/>
                <w:lang w:val="en-GB" w:eastAsia="en-US"/>
              </w:rPr>
            </w:pPr>
          </w:p>
        </w:tc>
        <w:tc>
          <w:tcPr>
            <w:tcW w:w="712" w:type="dxa"/>
          </w:tcPr>
          <w:p w14:paraId="273FCCFF">
            <w:pPr>
              <w:spacing w:before="96" w:beforeLines="40" w:after="96" w:afterLines="40" w:line="24" w:lineRule="atLeast"/>
              <w:rPr>
                <w:rFonts w:eastAsia="Cambria"/>
                <w:sz w:val="18"/>
                <w:szCs w:val="18"/>
                <w:lang w:val="en-GB" w:eastAsia="en-US"/>
              </w:rPr>
            </w:pPr>
          </w:p>
        </w:tc>
        <w:tc>
          <w:tcPr>
            <w:tcW w:w="4969" w:type="dxa"/>
          </w:tcPr>
          <w:p w14:paraId="7882C83B">
            <w:pPr>
              <w:spacing w:before="96" w:beforeLines="40" w:after="96" w:afterLines="40" w:line="24" w:lineRule="atLeast"/>
              <w:rPr>
                <w:rFonts w:eastAsia="Cambria"/>
                <w:sz w:val="18"/>
                <w:szCs w:val="18"/>
                <w:lang w:val="en-GB" w:eastAsia="en-US"/>
              </w:rPr>
            </w:pPr>
          </w:p>
        </w:tc>
      </w:tr>
      <w:tr w14:paraId="421BDA2A">
        <w:tblPrEx>
          <w:tblCellMar>
            <w:top w:w="0" w:type="dxa"/>
            <w:left w:w="108" w:type="dxa"/>
            <w:bottom w:w="0" w:type="dxa"/>
            <w:right w:w="108" w:type="dxa"/>
          </w:tblCellMar>
        </w:tblPrEx>
        <w:tc>
          <w:tcPr>
            <w:tcW w:w="587" w:type="dxa"/>
            <w:shd w:val="clear" w:color="auto" w:fill="EEEEEE"/>
          </w:tcPr>
          <w:p w14:paraId="0064E1F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1D0D2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1094FCF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sensitivity analyses to assess the robustness of the main results to violations of the assumptions</w:t>
            </w:r>
          </w:p>
          <w:p w14:paraId="3A2B8596">
            <w:pPr>
              <w:spacing w:before="96" w:beforeLines="40" w:after="96" w:afterLines="40" w:line="24" w:lineRule="atLeast"/>
              <w:rPr>
                <w:rFonts w:eastAsia="Times New Roman"/>
                <w:sz w:val="18"/>
                <w:szCs w:val="18"/>
                <w:lang w:val="en-GB" w:eastAsia="en-GB"/>
              </w:rPr>
            </w:pPr>
          </w:p>
          <w:p w14:paraId="557AE22B">
            <w:pPr>
              <w:spacing w:before="96" w:beforeLines="40" w:after="96" w:afterLines="40" w:line="24" w:lineRule="atLeast"/>
              <w:rPr>
                <w:rFonts w:hint="eastAsia" w:eastAsia="Times New Roman"/>
                <w:sz w:val="18"/>
                <w:szCs w:val="18"/>
                <w:lang w:val="en-GB" w:eastAsia="en-US"/>
              </w:rPr>
            </w:pPr>
          </w:p>
        </w:tc>
        <w:tc>
          <w:tcPr>
            <w:tcW w:w="712" w:type="dxa"/>
            <w:shd w:val="clear" w:color="auto" w:fill="EEEEEE"/>
          </w:tcPr>
          <w:p w14:paraId="2CA213D8">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3F7AFBD4">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To assess the robustness of the main results to hypothesis violations, we conducted a variety of sensitivity analyses, including MR-EGGER REGRESSION, MR-PRESSO GLOBAL TEST P-VALUE, Leave-One-Out analyses, and heterogeneity detection. These analyses helped us detect and correct for potential problems of pleiotropy, bias, and heterogeneity.</w:t>
            </w:r>
          </w:p>
          <w:p w14:paraId="12178535">
            <w:pPr>
              <w:spacing w:before="96" w:beforeLines="40" w:after="96" w:afterLines="40" w:line="24" w:lineRule="atLeast"/>
              <w:rPr>
                <w:rFonts w:eastAsia="Times New Roman"/>
                <w:sz w:val="18"/>
                <w:szCs w:val="18"/>
                <w:lang w:val="en-GB" w:eastAsia="en-GB"/>
              </w:rPr>
            </w:pPr>
          </w:p>
        </w:tc>
      </w:tr>
      <w:tr w14:paraId="05C7A2B4">
        <w:tblPrEx>
          <w:tblCellMar>
            <w:top w:w="0" w:type="dxa"/>
            <w:left w:w="108" w:type="dxa"/>
            <w:bottom w:w="0" w:type="dxa"/>
            <w:right w:w="108" w:type="dxa"/>
          </w:tblCellMar>
        </w:tblPrEx>
        <w:tc>
          <w:tcPr>
            <w:tcW w:w="587" w:type="dxa"/>
            <w:shd w:val="clear" w:color="auto" w:fill="auto"/>
          </w:tcPr>
          <w:p w14:paraId="3B54E54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4EA947F">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C489D0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12" w:type="dxa"/>
          </w:tcPr>
          <w:p w14:paraId="10388EB7">
            <w:pPr>
              <w:spacing w:before="96" w:beforeLines="40" w:after="96" w:afterLines="40" w:line="24" w:lineRule="atLeast"/>
              <w:rPr>
                <w:rFonts w:eastAsia="Times New Roman"/>
                <w:sz w:val="18"/>
                <w:szCs w:val="18"/>
                <w:lang w:val="en-GB" w:eastAsia="en-GB"/>
              </w:rPr>
            </w:pPr>
          </w:p>
        </w:tc>
        <w:tc>
          <w:tcPr>
            <w:tcW w:w="4969" w:type="dxa"/>
          </w:tcPr>
          <w:p w14:paraId="7A002735">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42E21E1C">
        <w:tblPrEx>
          <w:tblCellMar>
            <w:top w:w="0" w:type="dxa"/>
            <w:left w:w="108" w:type="dxa"/>
            <w:bottom w:w="0" w:type="dxa"/>
            <w:right w:w="108" w:type="dxa"/>
          </w:tblCellMar>
        </w:tblPrEx>
        <w:tc>
          <w:tcPr>
            <w:tcW w:w="587" w:type="dxa"/>
            <w:shd w:val="clear" w:color="auto" w:fill="EEEEEE"/>
          </w:tcPr>
          <w:p w14:paraId="08C11078">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C0D3C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78E4AAB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p w14:paraId="05E027C3">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438A042E">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7-11</w:t>
            </w:r>
          </w:p>
        </w:tc>
        <w:tc>
          <w:tcPr>
            <w:tcW w:w="4969" w:type="dxa"/>
            <w:shd w:val="clear" w:color="auto" w:fill="EEEEEE"/>
          </w:tcPr>
          <w:p w14:paraId="1AB7DDB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 xml:space="preserve">In the study, a bidirectional Mendelian Randomization (MR) approach was employed to assess the direction of the causal relationship between gut microbiota (specifically, Alistipes shahii) and Inflammatory Bowel Disease (IBD). The results of the forward MR analysis indicated that higher genetically predicted levels of Alistipes shahii were associated with a reduced risk of IBD. The reverse MR analysis, where IBD was treated as the exposure and Alistipes shahii as the outcome, found no evidence of reverse causality. This suggests that the relationship is likely unidirectional, with Alistipes shahii influencing the risk of IBD, rather than IBD affecting Alistipes shahii levels.In addition to the bidirectional MR analysis, the study also conducted a mediation analysis to explore whether HLA DR on monocytes mediates the causal pathway from Alistipes shahii to IBD. The results revealed that HLA DR on monocytes partially weakens the protective effect of Alistipes shahii on IBD. The total effect of Alistipes shahii on IBD was divided into a direct effect and an indirect effect mediated through HLA DR on monocytes. </w:t>
            </w:r>
          </w:p>
        </w:tc>
      </w:tr>
      <w:tr w14:paraId="0CB55409">
        <w:tblPrEx>
          <w:tblCellMar>
            <w:top w:w="0" w:type="dxa"/>
            <w:left w:w="108" w:type="dxa"/>
            <w:bottom w:w="0" w:type="dxa"/>
            <w:right w:w="108" w:type="dxa"/>
          </w:tblCellMar>
        </w:tblPrEx>
        <w:tc>
          <w:tcPr>
            <w:tcW w:w="587" w:type="dxa"/>
            <w:shd w:val="clear" w:color="auto" w:fill="auto"/>
          </w:tcPr>
          <w:p w14:paraId="6DF9F67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EC974D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C93574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When relevant, report and compare with estimates from non-MR analyses</w:t>
            </w:r>
          </w:p>
          <w:p w14:paraId="63C599E3">
            <w:pPr>
              <w:spacing w:before="96" w:beforeLines="40" w:after="96" w:afterLines="40" w:line="24" w:lineRule="atLeast"/>
              <w:rPr>
                <w:rFonts w:eastAsia="Times New Roman"/>
                <w:sz w:val="18"/>
                <w:szCs w:val="18"/>
                <w:lang w:val="en-GB" w:eastAsia="en-GB"/>
              </w:rPr>
            </w:pPr>
          </w:p>
          <w:p w14:paraId="7FF52CE5">
            <w:pPr>
              <w:spacing w:before="96" w:beforeLines="40" w:after="96" w:afterLines="40" w:line="24" w:lineRule="atLeast"/>
              <w:rPr>
                <w:rFonts w:eastAsia="Times New Roman"/>
                <w:sz w:val="18"/>
                <w:szCs w:val="18"/>
                <w:lang w:val="en-GB" w:eastAsia="en-US"/>
              </w:rPr>
            </w:pPr>
          </w:p>
        </w:tc>
        <w:tc>
          <w:tcPr>
            <w:tcW w:w="712" w:type="dxa"/>
          </w:tcPr>
          <w:p w14:paraId="6E736090">
            <w:pPr>
              <w:spacing w:before="96" w:beforeLines="40" w:after="96" w:afterLines="40" w:line="24" w:lineRule="atLeast"/>
              <w:rPr>
                <w:rFonts w:eastAsia="Times New Roman"/>
                <w:sz w:val="18"/>
                <w:szCs w:val="18"/>
                <w:lang w:val="en-GB" w:eastAsia="en-GB"/>
              </w:rPr>
            </w:pPr>
          </w:p>
        </w:tc>
        <w:tc>
          <w:tcPr>
            <w:tcW w:w="4969" w:type="dxa"/>
          </w:tcPr>
          <w:p w14:paraId="37EF94B5">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MR analysis results: The IVW analysis showed a significant negative correlation between Alistipes shahii and IBD, suggesting a potential protective role of Alistipes shahii against IBD.</w:t>
            </w:r>
          </w:p>
          <w:p w14:paraId="0A49DD4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Non-MR analysis results: Previous observational studies indicate that the causal relationship between Alistipes shahii and IBD remains unclear. Some researchers believe it plays a protective role in IBD, while others suggest it may promote inflammation in certain cancers. However, the specific role of Alistipes shahii in IBD requires further exploration and validation.</w:t>
            </w:r>
          </w:p>
        </w:tc>
      </w:tr>
      <w:tr w14:paraId="2954AEF8">
        <w:tblPrEx>
          <w:tblCellMar>
            <w:top w:w="0" w:type="dxa"/>
            <w:left w:w="108" w:type="dxa"/>
            <w:bottom w:w="0" w:type="dxa"/>
            <w:right w:w="108" w:type="dxa"/>
          </w:tblCellMar>
        </w:tblPrEx>
        <w:tc>
          <w:tcPr>
            <w:tcW w:w="587" w:type="dxa"/>
            <w:tcBorders>
              <w:bottom w:val="single" w:color="7F7F7F" w:sz="6" w:space="0"/>
            </w:tcBorders>
            <w:shd w:val="clear" w:color="auto" w:fill="EEEEEE"/>
          </w:tcPr>
          <w:p w14:paraId="01C5A49C">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018AE3D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tcBorders>
              <w:bottom w:val="single" w:color="7F7F7F" w:sz="6" w:space="0"/>
            </w:tcBorders>
            <w:shd w:val="clear" w:color="auto" w:fill="EEEEEE"/>
          </w:tcPr>
          <w:p w14:paraId="10E8F96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12" w:type="dxa"/>
            <w:tcBorders>
              <w:bottom w:val="single" w:color="7F7F7F" w:sz="6" w:space="0"/>
            </w:tcBorders>
            <w:shd w:val="clear" w:color="auto" w:fill="EEEEEE"/>
          </w:tcPr>
          <w:p w14:paraId="1A176750">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24464DB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article has provided</w:t>
            </w:r>
          </w:p>
        </w:tc>
      </w:tr>
      <w:tr w14:paraId="12E7F948">
        <w:tblPrEx>
          <w:tblCellMar>
            <w:top w:w="0" w:type="dxa"/>
            <w:left w:w="108" w:type="dxa"/>
            <w:bottom w:w="0" w:type="dxa"/>
            <w:right w:w="108" w:type="dxa"/>
          </w:tblCellMar>
        </w:tblPrEx>
        <w:tc>
          <w:tcPr>
            <w:tcW w:w="587" w:type="dxa"/>
            <w:tcBorders>
              <w:top w:val="single" w:color="7F7F7F" w:sz="6" w:space="0"/>
            </w:tcBorders>
            <w:shd w:val="clear" w:color="auto" w:fill="auto"/>
          </w:tcPr>
          <w:p w14:paraId="7CACF13B">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0A1C7AD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6414" w:type="dxa"/>
            <w:tcBorders>
              <w:top w:val="single" w:color="7F7F7F" w:sz="6" w:space="0"/>
            </w:tcBorders>
            <w:shd w:val="clear" w:color="auto" w:fill="auto"/>
          </w:tcPr>
          <w:p w14:paraId="045E5DA8">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069B08D2">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7257B48C">
            <w:pPr>
              <w:spacing w:before="96" w:beforeLines="40" w:after="96" w:afterLines="40" w:line="24" w:lineRule="atLeast"/>
              <w:rPr>
                <w:rFonts w:eastAsia="Cambria"/>
                <w:sz w:val="18"/>
                <w:szCs w:val="18"/>
                <w:lang w:val="en-GB" w:eastAsia="en-US"/>
              </w:rPr>
            </w:pPr>
          </w:p>
        </w:tc>
      </w:tr>
      <w:tr w14:paraId="21285591">
        <w:tblPrEx>
          <w:tblCellMar>
            <w:top w:w="0" w:type="dxa"/>
            <w:left w:w="108" w:type="dxa"/>
            <w:bottom w:w="0" w:type="dxa"/>
            <w:right w:w="108" w:type="dxa"/>
          </w:tblCellMar>
        </w:tblPrEx>
        <w:tc>
          <w:tcPr>
            <w:tcW w:w="587" w:type="dxa"/>
            <w:shd w:val="clear" w:color="auto" w:fill="EEEEEE"/>
          </w:tcPr>
          <w:p w14:paraId="69C2FC6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08" w:type="dxa"/>
            <w:shd w:val="clear" w:color="auto" w:fill="EEEEEE"/>
          </w:tcPr>
          <w:p w14:paraId="4EFC1D0E">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6414" w:type="dxa"/>
            <w:shd w:val="clear" w:color="auto" w:fill="EEEEEE"/>
          </w:tcPr>
          <w:p w14:paraId="4167F04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p w14:paraId="6D08080A">
            <w:pPr>
              <w:spacing w:before="96" w:beforeLines="40" w:after="96" w:afterLines="40" w:line="24" w:lineRule="atLeast"/>
              <w:rPr>
                <w:rFonts w:eastAsia="Times New Roman"/>
                <w:sz w:val="18"/>
                <w:szCs w:val="18"/>
                <w:lang w:val="en-GB" w:eastAsia="en-GB"/>
              </w:rPr>
            </w:pPr>
          </w:p>
          <w:p w14:paraId="6DB21D76">
            <w:pPr>
              <w:spacing w:before="96" w:beforeLines="40" w:after="96" w:afterLines="40" w:line="24" w:lineRule="atLeast"/>
              <w:rPr>
                <w:rFonts w:hint="eastAsia" w:eastAsia="宋体"/>
                <w:sz w:val="18"/>
                <w:szCs w:val="18"/>
                <w:lang w:val="en-US" w:eastAsia="zh-CN"/>
              </w:rPr>
            </w:pPr>
          </w:p>
        </w:tc>
        <w:tc>
          <w:tcPr>
            <w:tcW w:w="712" w:type="dxa"/>
            <w:shd w:val="clear" w:color="auto" w:fill="EEEEEE"/>
          </w:tcPr>
          <w:p w14:paraId="15E6E29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969" w:type="dxa"/>
            <w:shd w:val="clear" w:color="auto" w:fill="EEEEEE"/>
          </w:tcPr>
          <w:p w14:paraId="2B966BD2">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The primary objective of this study was to determine the causal relationship between gut microbiota, particularly Alistipes shahii, and Inflammatory Bowel Disease (IBD). The study aimed to assess whether Alistipes shahii has a protective effect on IBD and to explore the potential mediation of this effect by HLA DR on monocytes.</w:t>
            </w:r>
          </w:p>
          <w:p w14:paraId="637C72E7">
            <w:pPr>
              <w:spacing w:before="96" w:beforeLines="40" w:after="96" w:afterLines="40" w:line="24" w:lineRule="atLeast"/>
              <w:rPr>
                <w:rFonts w:eastAsia="Times New Roman"/>
                <w:sz w:val="18"/>
                <w:szCs w:val="18"/>
                <w:lang w:val="en-GB" w:eastAsia="en-GB"/>
              </w:rPr>
            </w:pPr>
          </w:p>
        </w:tc>
      </w:tr>
      <w:tr w14:paraId="0418F59D">
        <w:tblPrEx>
          <w:tblCellMar>
            <w:top w:w="0" w:type="dxa"/>
            <w:left w:w="108" w:type="dxa"/>
            <w:bottom w:w="0" w:type="dxa"/>
            <w:right w:w="108" w:type="dxa"/>
          </w:tblCellMar>
        </w:tblPrEx>
        <w:tc>
          <w:tcPr>
            <w:tcW w:w="587" w:type="dxa"/>
            <w:shd w:val="clear" w:color="auto" w:fill="auto"/>
          </w:tcPr>
          <w:p w14:paraId="63C4616E">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08" w:type="dxa"/>
            <w:shd w:val="clear" w:color="auto" w:fill="auto"/>
          </w:tcPr>
          <w:p w14:paraId="4E47411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6414" w:type="dxa"/>
            <w:shd w:val="clear" w:color="auto" w:fill="auto"/>
          </w:tcPr>
          <w:p w14:paraId="3DF9AF62">
            <w:pPr>
              <w:spacing w:before="96" w:beforeLines="40" w:after="96" w:afterLines="40" w:line="24" w:lineRule="atLeast"/>
              <w:rPr>
                <w:rFonts w:eastAsia="Times New Roman"/>
                <w:sz w:val="18"/>
                <w:szCs w:val="18"/>
                <w:shd w:val="clear" w:color="auto" w:fill="FFFFFF"/>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p w14:paraId="564B6B4B">
            <w:pPr>
              <w:spacing w:before="96" w:beforeLines="40" w:after="96" w:afterLines="40" w:line="24" w:lineRule="atLeast"/>
              <w:rPr>
                <w:rFonts w:eastAsia="Times New Roman"/>
                <w:sz w:val="18"/>
                <w:szCs w:val="18"/>
                <w:shd w:val="clear" w:color="auto" w:fill="FFFFFF"/>
                <w:lang w:val="en-GB" w:eastAsia="en-GB"/>
              </w:rPr>
            </w:pPr>
          </w:p>
          <w:p w14:paraId="42DA9F8C">
            <w:pPr>
              <w:spacing w:before="96" w:beforeLines="40" w:after="96" w:afterLines="40" w:line="24" w:lineRule="atLeast"/>
              <w:rPr>
                <w:rFonts w:eastAsia="Times New Roman"/>
                <w:sz w:val="18"/>
                <w:szCs w:val="18"/>
                <w:shd w:val="clear" w:color="auto" w:fill="FFFFFF"/>
                <w:lang w:val="en-GB" w:eastAsia="en-GB"/>
              </w:rPr>
            </w:pPr>
          </w:p>
        </w:tc>
        <w:tc>
          <w:tcPr>
            <w:tcW w:w="712" w:type="dxa"/>
          </w:tcPr>
          <w:p w14:paraId="2CFF94BA">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13-15</w:t>
            </w:r>
          </w:p>
        </w:tc>
        <w:tc>
          <w:tcPr>
            <w:tcW w:w="4969" w:type="dxa"/>
          </w:tcPr>
          <w:p w14:paraId="0E30B4FB">
            <w:pPr>
              <w:spacing w:before="96" w:beforeLines="40" w:after="96" w:afterLines="40" w:line="24" w:lineRule="atLeast"/>
              <w:rPr>
                <w:rFonts w:hint="eastAsia"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The data in this study are from a European population and the results may not be applicable to other ethnicities; GWAS data are based on genotypic extrapolation, which may have measurement error that affects the accuracy of the exposure and outcome variables; instrumental variables should be independent of any potential confounders. We used a variety of sensitivity analyses (e.g. MR-Egger regression and MR-PRESSO tests) to detect and correct for pleiotropy, but unidentified confounders may still be present; we detected and corrected for pleiotropy and potential bias using methods such as MR-Egger, MR-PRESSO and Leave-One-Out analyses.</w:t>
            </w:r>
          </w:p>
          <w:p w14:paraId="10A46305">
            <w:pPr>
              <w:spacing w:before="96" w:beforeLines="40" w:after="96" w:afterLines="40" w:line="24" w:lineRule="atLeast"/>
              <w:rPr>
                <w:rFonts w:eastAsia="Times New Roman"/>
                <w:sz w:val="18"/>
                <w:szCs w:val="18"/>
                <w:lang w:val="en-GB" w:eastAsia="en-GB"/>
              </w:rPr>
            </w:pPr>
          </w:p>
        </w:tc>
      </w:tr>
      <w:tr w14:paraId="5CFE6DE3">
        <w:tblPrEx>
          <w:tblCellMar>
            <w:top w:w="0" w:type="dxa"/>
            <w:left w:w="108" w:type="dxa"/>
            <w:bottom w:w="0" w:type="dxa"/>
            <w:right w:w="108" w:type="dxa"/>
          </w:tblCellMar>
        </w:tblPrEx>
        <w:tc>
          <w:tcPr>
            <w:tcW w:w="587" w:type="dxa"/>
            <w:shd w:val="clear" w:color="auto" w:fill="EEEEEE"/>
          </w:tcPr>
          <w:p w14:paraId="75F1B0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08" w:type="dxa"/>
            <w:shd w:val="clear" w:color="auto" w:fill="EEEEEE"/>
          </w:tcPr>
          <w:p w14:paraId="1DD43CF8">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6414" w:type="dxa"/>
            <w:shd w:val="clear" w:color="auto" w:fill="EEEEEE"/>
          </w:tcPr>
          <w:p w14:paraId="095E9266">
            <w:pPr>
              <w:spacing w:before="96" w:beforeLines="40" w:after="96" w:afterLines="40" w:line="24" w:lineRule="atLeast"/>
              <w:rPr>
                <w:rFonts w:eastAsia="Cambria"/>
                <w:sz w:val="18"/>
                <w:szCs w:val="18"/>
                <w:lang w:val="en-GB" w:eastAsia="en-US"/>
              </w:rPr>
            </w:pPr>
          </w:p>
        </w:tc>
        <w:tc>
          <w:tcPr>
            <w:tcW w:w="712" w:type="dxa"/>
            <w:shd w:val="clear" w:color="auto" w:fill="EEEEEE"/>
          </w:tcPr>
          <w:p w14:paraId="2CE12C4E">
            <w:pPr>
              <w:spacing w:before="96" w:beforeLines="40" w:after="96" w:afterLines="40" w:line="24" w:lineRule="atLeast"/>
              <w:rPr>
                <w:rFonts w:eastAsia="Cambria"/>
                <w:sz w:val="18"/>
                <w:szCs w:val="18"/>
                <w:lang w:val="en-GB" w:eastAsia="en-US"/>
              </w:rPr>
            </w:pPr>
          </w:p>
        </w:tc>
        <w:tc>
          <w:tcPr>
            <w:tcW w:w="4969" w:type="dxa"/>
            <w:shd w:val="clear" w:color="auto" w:fill="EEEEEE"/>
          </w:tcPr>
          <w:p w14:paraId="042A604E">
            <w:pPr>
              <w:spacing w:before="96" w:beforeLines="40" w:after="96" w:afterLines="40" w:line="24" w:lineRule="atLeast"/>
              <w:rPr>
                <w:rFonts w:eastAsia="Cambria"/>
                <w:sz w:val="18"/>
                <w:szCs w:val="18"/>
                <w:lang w:val="en-GB" w:eastAsia="en-US"/>
              </w:rPr>
            </w:pPr>
          </w:p>
        </w:tc>
      </w:tr>
      <w:tr w14:paraId="606DCE35">
        <w:tblPrEx>
          <w:tblCellMar>
            <w:top w:w="0" w:type="dxa"/>
            <w:left w:w="108" w:type="dxa"/>
            <w:bottom w:w="0" w:type="dxa"/>
            <w:right w:w="108" w:type="dxa"/>
          </w:tblCellMar>
        </w:tblPrEx>
        <w:tc>
          <w:tcPr>
            <w:tcW w:w="587" w:type="dxa"/>
            <w:shd w:val="clear" w:color="auto" w:fill="auto"/>
          </w:tcPr>
          <w:p w14:paraId="7F18EFD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3682CC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380471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Meaning: Give a cautious overall interpretation of results in the context of their limitations and in comparison with other studies</w:t>
            </w:r>
          </w:p>
          <w:p w14:paraId="430927B1">
            <w:pPr>
              <w:spacing w:before="96" w:beforeLines="40" w:after="96" w:afterLines="40" w:line="24" w:lineRule="atLeast"/>
              <w:rPr>
                <w:rFonts w:eastAsia="Times New Roman"/>
                <w:sz w:val="18"/>
                <w:szCs w:val="18"/>
                <w:lang w:val="en-GB" w:eastAsia="en-GB"/>
              </w:rPr>
            </w:pPr>
          </w:p>
          <w:p w14:paraId="143B0CFB">
            <w:pPr>
              <w:spacing w:before="96" w:beforeLines="40" w:after="96" w:afterLines="40" w:line="24" w:lineRule="atLeast"/>
              <w:rPr>
                <w:rFonts w:eastAsia="Times New Roman"/>
                <w:sz w:val="18"/>
                <w:szCs w:val="18"/>
                <w:lang w:val="en-GB" w:eastAsia="en-US"/>
              </w:rPr>
            </w:pPr>
          </w:p>
        </w:tc>
        <w:tc>
          <w:tcPr>
            <w:tcW w:w="712" w:type="dxa"/>
          </w:tcPr>
          <w:p w14:paraId="153A2345">
            <w:pPr>
              <w:spacing w:before="96" w:beforeLines="40" w:after="96" w:afterLines="40" w:line="24" w:lineRule="atLeast"/>
              <w:rPr>
                <w:rFonts w:eastAsia="Times New Roman"/>
                <w:sz w:val="18"/>
                <w:szCs w:val="18"/>
                <w:lang w:val="en-GB" w:eastAsia="en-GB"/>
              </w:rPr>
            </w:pPr>
          </w:p>
        </w:tc>
        <w:tc>
          <w:tcPr>
            <w:tcW w:w="4969" w:type="dxa"/>
          </w:tcPr>
          <w:p w14:paraId="7F688E5A">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However, these results should be interpreted with caution due to several limitations. First, while Mendelian Randomization (MR) helps address confounding and reverse causality, it still depends on the validity of the instrumental variables and assumptions. Although sensitivity analyses were performed, unmeasured confounding factors may still exist. Moreover, the study primarily involved populations of European and Finnish descent, limiting the generalizability of the findings to other populations. The results should be validated in more diverse cohorts.</w:t>
            </w:r>
          </w:p>
        </w:tc>
      </w:tr>
      <w:tr w14:paraId="3A473818">
        <w:tblPrEx>
          <w:tblCellMar>
            <w:top w:w="0" w:type="dxa"/>
            <w:left w:w="108" w:type="dxa"/>
            <w:bottom w:w="0" w:type="dxa"/>
            <w:right w:w="108" w:type="dxa"/>
          </w:tblCellMar>
        </w:tblPrEx>
        <w:tc>
          <w:tcPr>
            <w:tcW w:w="587" w:type="dxa"/>
            <w:shd w:val="clear" w:color="auto" w:fill="EEEEEE"/>
          </w:tcPr>
          <w:p w14:paraId="0B59A044">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BE2B6F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779D63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p w14:paraId="6B64EF09">
            <w:pPr>
              <w:spacing w:before="96" w:beforeLines="40" w:after="96" w:afterLines="40" w:line="24" w:lineRule="atLeast"/>
              <w:rPr>
                <w:rFonts w:eastAsia="Times New Roman"/>
                <w:sz w:val="18"/>
                <w:szCs w:val="18"/>
                <w:lang w:val="en-GB" w:eastAsia="en-GB"/>
              </w:rPr>
            </w:pPr>
          </w:p>
          <w:p w14:paraId="7AC0D74A">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1198142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13-15</w:t>
            </w:r>
          </w:p>
        </w:tc>
        <w:tc>
          <w:tcPr>
            <w:tcW w:w="4969" w:type="dxa"/>
            <w:shd w:val="clear" w:color="auto" w:fill="EEEEEE"/>
          </w:tcPr>
          <w:p w14:paraId="5BB017B2">
            <w:pPr>
              <w:spacing w:before="96" w:beforeLines="40" w:after="96" w:afterLines="40" w:line="24" w:lineRule="atLeast"/>
              <w:rPr>
                <w:rFonts w:eastAsia="Times New Roman"/>
                <w:sz w:val="18"/>
                <w:szCs w:val="18"/>
                <w:lang w:val="en-GB" w:eastAsia="en-GB"/>
              </w:rPr>
            </w:pPr>
          </w:p>
        </w:tc>
      </w:tr>
      <w:tr w14:paraId="71322DC6">
        <w:tblPrEx>
          <w:tblCellMar>
            <w:top w:w="0" w:type="dxa"/>
            <w:left w:w="108" w:type="dxa"/>
            <w:bottom w:w="0" w:type="dxa"/>
            <w:right w:w="108" w:type="dxa"/>
          </w:tblCellMar>
        </w:tblPrEx>
        <w:tc>
          <w:tcPr>
            <w:tcW w:w="587" w:type="dxa"/>
            <w:shd w:val="clear" w:color="auto" w:fill="auto"/>
          </w:tcPr>
          <w:p w14:paraId="1D22F9C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23EF07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44140A73">
            <w:pPr>
              <w:tabs>
                <w:tab w:val="left" w:pos="1350"/>
              </w:tabs>
              <w:spacing w:before="96" w:beforeLines="40" w:after="96" w:afterLines="40" w:line="24" w:lineRule="atLeast"/>
              <w:rPr>
                <w:rFonts w:eastAsia="Times New Roman"/>
                <w:color w:val="000000"/>
                <w:sz w:val="18"/>
                <w:szCs w:val="18"/>
                <w:lang w:eastAsia="en-GB"/>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p w14:paraId="5CF07013">
            <w:pPr>
              <w:tabs>
                <w:tab w:val="left" w:pos="1350"/>
              </w:tabs>
              <w:spacing w:before="96" w:beforeLines="40" w:after="96" w:afterLines="40" w:line="24" w:lineRule="atLeast"/>
              <w:rPr>
                <w:rFonts w:eastAsia="Times New Roman"/>
                <w:color w:val="000000"/>
                <w:sz w:val="18"/>
                <w:szCs w:val="18"/>
                <w:lang w:eastAsia="en-GB"/>
              </w:rPr>
            </w:pPr>
          </w:p>
          <w:p w14:paraId="491E7513">
            <w:pPr>
              <w:tabs>
                <w:tab w:val="left" w:pos="1350"/>
              </w:tabs>
              <w:spacing w:before="96" w:beforeLines="40" w:after="96" w:afterLines="40" w:line="24" w:lineRule="atLeast"/>
              <w:rPr>
                <w:rFonts w:hint="eastAsia" w:eastAsia="Times New Roman"/>
                <w:color w:val="000000"/>
                <w:sz w:val="18"/>
                <w:szCs w:val="18"/>
                <w:lang w:val="en-GB" w:eastAsia="en-US"/>
              </w:rPr>
            </w:pPr>
          </w:p>
        </w:tc>
        <w:tc>
          <w:tcPr>
            <w:tcW w:w="712" w:type="dxa"/>
          </w:tcPr>
          <w:p w14:paraId="29DCA5CF">
            <w:pPr>
              <w:tabs>
                <w:tab w:val="left" w:pos="1350"/>
              </w:tabs>
              <w:spacing w:before="96" w:beforeLines="40" w:after="96" w:afterLines="40" w:line="24" w:lineRule="atLeast"/>
              <w:rPr>
                <w:rFonts w:eastAsia="Times New Roman"/>
                <w:sz w:val="18"/>
                <w:szCs w:val="18"/>
                <w:lang w:val="en-GB" w:eastAsia="en-GB"/>
              </w:rPr>
            </w:pPr>
          </w:p>
        </w:tc>
        <w:tc>
          <w:tcPr>
            <w:tcW w:w="4969" w:type="dxa"/>
          </w:tcPr>
          <w:p w14:paraId="3E102D9F">
            <w:pPr>
              <w:tabs>
                <w:tab w:val="left" w:pos="1350"/>
              </w:tabs>
              <w:spacing w:before="96" w:beforeLines="40" w:after="96" w:afterLines="40" w:line="24" w:lineRule="atLeast"/>
              <w:rPr>
                <w:rFonts w:eastAsia="Times New Roman"/>
                <w:sz w:val="18"/>
                <w:szCs w:val="18"/>
                <w:lang w:val="en-GB" w:eastAsia="en-GB"/>
              </w:rPr>
            </w:pPr>
            <w:r>
              <w:rPr>
                <w:rFonts w:hint="eastAsia" w:eastAsia="Times New Roman"/>
                <w:color w:val="000000"/>
                <w:sz w:val="18"/>
                <w:szCs w:val="18"/>
                <w:lang w:val="en-GB" w:eastAsia="en-US"/>
              </w:rPr>
              <w:t>The results of this study revealed the protective effect of Alistipes shahii against Inflammatory Bowel Disease (IBD), suggesting its potential application in microbiota-based therapies for IBD.</w:t>
            </w:r>
          </w:p>
        </w:tc>
      </w:tr>
      <w:tr w14:paraId="71D44FEB">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0764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08" w:type="dxa"/>
            <w:tcBorders>
              <w:bottom w:val="single" w:color="7F7F7F" w:sz="6" w:space="0"/>
            </w:tcBorders>
            <w:shd w:val="clear" w:color="auto" w:fill="EEEEEE"/>
          </w:tcPr>
          <w:p w14:paraId="32D48CA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6414" w:type="dxa"/>
            <w:tcBorders>
              <w:bottom w:val="single" w:color="7F7F7F" w:sz="6" w:space="0"/>
            </w:tcBorders>
            <w:shd w:val="clear" w:color="auto" w:fill="EEEEEE"/>
          </w:tcPr>
          <w:p w14:paraId="1C37376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the generalizability of the study results (a) to other populations, (b) across other exposure periods/timings, and (c) across other levels of exposure</w:t>
            </w:r>
          </w:p>
          <w:p w14:paraId="3CDDEF9C">
            <w:pPr>
              <w:spacing w:before="96" w:beforeLines="40" w:after="96" w:afterLines="40" w:line="24" w:lineRule="atLeast"/>
              <w:rPr>
                <w:rFonts w:eastAsia="Times New Roman"/>
                <w:sz w:val="18"/>
                <w:szCs w:val="18"/>
                <w:lang w:val="en-GB" w:eastAsia="en-GB"/>
              </w:rPr>
            </w:pPr>
          </w:p>
          <w:p w14:paraId="4055C00C">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shd w:val="clear" w:color="auto" w:fill="EEEEEE"/>
          </w:tcPr>
          <w:p w14:paraId="3DE3EA41">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DE644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The data for this study come from the European population, so the results apply primarily to this population. Gene frequencies and environmental factors may vary in different racial or ethnic groups, which may affect the generalisability of the results. To verify the applicability of the results to other populations, future studies should repeat this analysis in other racial or ethnic groups.</w:t>
            </w:r>
          </w:p>
        </w:tc>
      </w:tr>
      <w:tr w14:paraId="65A60EBE">
        <w:tblPrEx>
          <w:tblCellMar>
            <w:top w:w="0" w:type="dxa"/>
            <w:left w:w="108" w:type="dxa"/>
            <w:bottom w:w="0" w:type="dxa"/>
            <w:right w:w="108" w:type="dxa"/>
          </w:tblCellMar>
        </w:tblPrEx>
        <w:tc>
          <w:tcPr>
            <w:tcW w:w="587" w:type="dxa"/>
            <w:tcBorders>
              <w:top w:val="single" w:color="7F7F7F" w:sz="6" w:space="0"/>
            </w:tcBorders>
            <w:shd w:val="clear" w:color="auto" w:fill="auto"/>
          </w:tcPr>
          <w:p w14:paraId="55CA7E49">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47C5C92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6414" w:type="dxa"/>
            <w:tcBorders>
              <w:top w:val="single" w:color="7F7F7F" w:sz="6" w:space="0"/>
            </w:tcBorders>
            <w:shd w:val="clear" w:color="auto" w:fill="auto"/>
          </w:tcPr>
          <w:p w14:paraId="3915564F">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16EDFBE5">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6072A907">
            <w:pPr>
              <w:spacing w:before="96" w:beforeLines="40" w:after="96" w:afterLines="40" w:line="24" w:lineRule="atLeast"/>
              <w:rPr>
                <w:rFonts w:eastAsia="Cambria"/>
                <w:sz w:val="18"/>
                <w:szCs w:val="18"/>
                <w:lang w:val="en-GB" w:eastAsia="en-US"/>
              </w:rPr>
            </w:pPr>
          </w:p>
        </w:tc>
      </w:tr>
      <w:tr w14:paraId="573D9BF9">
        <w:tblPrEx>
          <w:tblCellMar>
            <w:top w:w="0" w:type="dxa"/>
            <w:left w:w="108" w:type="dxa"/>
            <w:bottom w:w="0" w:type="dxa"/>
            <w:right w:w="108" w:type="dxa"/>
          </w:tblCellMar>
        </w:tblPrEx>
        <w:tc>
          <w:tcPr>
            <w:tcW w:w="587" w:type="dxa"/>
            <w:shd w:val="clear" w:color="auto" w:fill="EEEEEE"/>
          </w:tcPr>
          <w:p w14:paraId="196559A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08" w:type="dxa"/>
            <w:shd w:val="clear" w:color="auto" w:fill="EEEEEE"/>
          </w:tcPr>
          <w:p w14:paraId="059FEDE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6414" w:type="dxa"/>
            <w:shd w:val="clear" w:color="auto" w:fill="EEEEEE"/>
          </w:tcPr>
          <w:p w14:paraId="64B7B27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12" w:type="dxa"/>
            <w:shd w:val="clear" w:color="auto" w:fill="EEEEEE"/>
          </w:tcPr>
          <w:p w14:paraId="4B7A05A9">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4A72D2E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4A59063">
        <w:tblPrEx>
          <w:tblCellMar>
            <w:top w:w="0" w:type="dxa"/>
            <w:left w:w="108" w:type="dxa"/>
            <w:bottom w:w="0" w:type="dxa"/>
            <w:right w:w="108" w:type="dxa"/>
          </w:tblCellMar>
        </w:tblPrEx>
        <w:tc>
          <w:tcPr>
            <w:tcW w:w="587" w:type="dxa"/>
            <w:shd w:val="clear" w:color="auto" w:fill="auto"/>
          </w:tcPr>
          <w:p w14:paraId="7278712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08" w:type="dxa"/>
            <w:shd w:val="clear" w:color="auto" w:fill="auto"/>
          </w:tcPr>
          <w:p w14:paraId="353963AF">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6414" w:type="dxa"/>
            <w:shd w:val="clear" w:color="auto" w:fill="auto"/>
          </w:tcPr>
          <w:p w14:paraId="3663CC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12" w:type="dxa"/>
          </w:tcPr>
          <w:p w14:paraId="1AD49198">
            <w:pPr>
              <w:spacing w:before="96" w:beforeLines="40" w:after="96" w:afterLines="40" w:line="24" w:lineRule="atLeast"/>
              <w:rPr>
                <w:rFonts w:eastAsia="Times New Roman"/>
                <w:sz w:val="18"/>
                <w:szCs w:val="18"/>
                <w:lang w:val="en-GB" w:eastAsia="en-GB"/>
              </w:rPr>
            </w:pPr>
          </w:p>
        </w:tc>
        <w:tc>
          <w:tcPr>
            <w:tcW w:w="4969" w:type="dxa"/>
          </w:tcPr>
          <w:p w14:paraId="29CBA6AF">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All the data and analyses required for this study are detailed in Table 1, with the corresponding download links provided.</w:t>
            </w:r>
          </w:p>
        </w:tc>
      </w:tr>
      <w:tr w14:paraId="68EB7753">
        <w:tblPrEx>
          <w:tblCellMar>
            <w:top w:w="0" w:type="dxa"/>
            <w:left w:w="108" w:type="dxa"/>
            <w:bottom w:w="0" w:type="dxa"/>
            <w:right w:w="108" w:type="dxa"/>
          </w:tblCellMar>
        </w:tblPrEx>
        <w:tc>
          <w:tcPr>
            <w:tcW w:w="587" w:type="dxa"/>
            <w:tcBorders>
              <w:bottom w:val="single" w:color="7F7F7F" w:sz="6" w:space="0"/>
            </w:tcBorders>
            <w:shd w:val="clear" w:color="auto" w:fill="EEEEEE"/>
          </w:tcPr>
          <w:p w14:paraId="6148064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08" w:type="dxa"/>
            <w:tcBorders>
              <w:bottom w:val="single" w:color="7F7F7F" w:sz="6" w:space="0"/>
            </w:tcBorders>
            <w:shd w:val="clear" w:color="auto" w:fill="EEEEEE"/>
          </w:tcPr>
          <w:p w14:paraId="7797FA9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6414" w:type="dxa"/>
            <w:tcBorders>
              <w:bottom w:val="single" w:color="7F7F7F" w:sz="6" w:space="0"/>
            </w:tcBorders>
            <w:shd w:val="clear" w:color="auto" w:fill="EEEEEE"/>
          </w:tcPr>
          <w:p w14:paraId="04EC2B1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12" w:type="dxa"/>
            <w:tcBorders>
              <w:bottom w:val="single" w:color="7F7F7F" w:sz="6" w:space="0"/>
            </w:tcBorders>
            <w:shd w:val="clear" w:color="auto" w:fill="EEEEEE"/>
          </w:tcPr>
          <w:p w14:paraId="3CCE8483">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3D45A66">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w:t>
            </w:r>
            <w:bookmarkStart w:id="0" w:name="_GoBack"/>
            <w:r>
              <w:rPr>
                <w:rFonts w:hint="eastAsia" w:eastAsia="Times New Roman"/>
                <w:sz w:val="18"/>
                <w:szCs w:val="18"/>
                <w:lang w:val="en-GB" w:eastAsia="en-GB"/>
              </w:rPr>
              <w:t>e authors declare no competing interests.</w:t>
            </w:r>
            <w:bookmarkEnd w:id="0"/>
          </w:p>
        </w:tc>
      </w:tr>
    </w:tbl>
    <w:p w14:paraId="44EEFA14">
      <w:pPr>
        <w:spacing w:before="240" w:after="240"/>
        <w:rPr>
          <w:sz w:val="19"/>
          <w:szCs w:val="19"/>
        </w:rPr>
      </w:pPr>
      <w:r>
        <w:rPr>
          <w:sz w:val="19"/>
          <w:szCs w:val="19"/>
        </w:rPr>
        <w:t>This checklist is copyrighted by the Equator Network under the Creative Commons Attribution 3.0 Unported (CC BY 3.0) license.</w:t>
      </w:r>
    </w:p>
    <w:p w14:paraId="1C375510">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14:paraId="0077617D">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14:paraId="7DCF0441">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AF3DB">
    <w:pPr>
      <w:pStyle w:val="2"/>
      <w:jc w:val="right"/>
    </w:pPr>
    <w:r>
      <w:fldChar w:fldCharType="begin"/>
    </w:r>
    <w:r>
      <w:instrText xml:space="preserve"> PAGE   \* MERGEFORMAT </w:instrText>
    </w:r>
    <w:r>
      <w:fldChar w:fldCharType="separate"/>
    </w:r>
    <w:r>
      <w:t>1</w:t>
    </w:r>
    <w:r>
      <w:fldChar w:fldCharType="end"/>
    </w:r>
  </w:p>
  <w:p w14:paraId="4616B69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81A6B">
    <w:pPr>
      <w:pStyle w:val="2"/>
      <w:framePr w:wrap="auto" w:vAnchor="text" w:hAnchor="margin" w:xAlign="right" w:y="1"/>
      <w:rPr>
        <w:rStyle w:val="5"/>
      </w:rPr>
    </w:pPr>
  </w:p>
  <w:p w14:paraId="4C662720">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612AB"/>
    <w:multiLevelType w:val="singleLevel"/>
    <w:tmpl w:val="DFB612A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3NTE0ODU0MWE1NmQyNjZjZGM2ZGY3NDQ3ZTcwMjk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30EB45A1"/>
    <w:rsid w:val="54706109"/>
    <w:rsid w:val="59BB7A35"/>
    <w:rsid w:val="604D333D"/>
    <w:rsid w:val="780F65D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680"/>
        <w:tab w:val="right" w:pos="9360"/>
      </w:tabs>
      <w:spacing w:line="240" w:lineRule="auto"/>
    </w:pPr>
  </w:style>
  <w:style w:type="character" w:styleId="5">
    <w:name w:val="page number"/>
    <w:basedOn w:val="4"/>
    <w:autoRedefine/>
    <w:semiHidden/>
    <w:unhideWhenUsed/>
    <w:qFormat/>
    <w:uiPriority w:val="99"/>
  </w:style>
  <w:style w:type="character" w:styleId="6">
    <w:name w:val="line number"/>
    <w:basedOn w:val="4"/>
    <w:semiHidden/>
    <w:unhideWhenUsed/>
    <w:qFormat/>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9</Pages>
  <Words>3102</Words>
  <Characters>18238</Characters>
  <Lines>286</Lines>
  <Paragraphs>146</Paragraphs>
  <TotalTime>76</TotalTime>
  <ScaleCrop>false</ScaleCrop>
  <LinksUpToDate>false</LinksUpToDate>
  <CharactersWithSpaces>21188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董林涛</cp:lastModifiedBy>
  <cp:lastPrinted>2021-09-28T07:08:00Z</cp:lastPrinted>
  <dcterms:modified xsi:type="dcterms:W3CDTF">2024-10-11T13:55:23Z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2052-12.1.0.17827</vt:lpwstr>
  </property>
  <property fmtid="{D5CDD505-2E9C-101B-9397-08002B2CF9AE}" pid="27" name="ICV">
    <vt:lpwstr>9D42C9E097734C55AD03DC86BA6DADB8_13</vt:lpwstr>
  </property>
</Properties>
</file>