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34D71" w14:textId="77777777" w:rsidR="00DE2A72" w:rsidRPr="00814DDB" w:rsidRDefault="00DE2A72" w:rsidP="00DE2A72">
      <w:pPr>
        <w:widowControl w:val="0"/>
        <w:spacing w:after="200" w:line="240" w:lineRule="auto"/>
        <w:ind w:left="480" w:hanging="48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GB" w:eastAsia="en-IN"/>
        </w:rPr>
      </w:pPr>
      <w:r w:rsidRPr="00814DDB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GB" w:eastAsia="en-IN"/>
        </w:rPr>
        <w:t>Supplementary Information</w:t>
      </w:r>
    </w:p>
    <w:p w14:paraId="58FECD5A" w14:textId="77777777" w:rsidR="00DE2A72" w:rsidRPr="00814DDB" w:rsidRDefault="00DE2A72" w:rsidP="00DE2A72">
      <w:pPr>
        <w:widowControl w:val="0"/>
        <w:spacing w:after="200" w:line="240" w:lineRule="auto"/>
        <w:ind w:left="480" w:hanging="480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</w:p>
    <w:p w14:paraId="4218E5B7" w14:textId="77777777" w:rsidR="00DE2A72" w:rsidRPr="00814DDB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141314"/>
          <w:sz w:val="24"/>
          <w:szCs w:val="24"/>
          <w:lang w:val="en-GB" w:eastAsia="en-IN"/>
        </w:rPr>
      </w:pPr>
      <w:r w:rsidRPr="00814DDB">
        <w:rPr>
          <w:rFonts w:ascii="Times New Roman" w:eastAsia="Times New Roman" w:hAnsi="Times New Roman" w:cs="Times New Roman"/>
          <w:b/>
          <w:color w:val="141314"/>
          <w:sz w:val="24"/>
          <w:szCs w:val="24"/>
          <w:lang w:val="en-GB" w:eastAsia="en-IN"/>
        </w:rPr>
        <w:t>Seasonal freshwater contribution to the estuary using a two-component mixing model</w:t>
      </w:r>
    </w:p>
    <w:p w14:paraId="50316629" w14:textId="77777777" w:rsidR="00DE2A72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</w:pP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 xml:space="preserve">In an estuarine setting, the source of freshwater can vary from rainwater, groundwater, and river water from the catchment. These freshwater sources have unique </w:t>
      </w:r>
      <w:r w:rsidRPr="00814DDB">
        <w:rPr>
          <w:rFonts w:ascii="Times New Roman" w:eastAsia="Times New Roman" w:hAnsi="Times New Roman" w:cs="Times New Roman"/>
          <w:i/>
          <w:color w:val="141314"/>
          <w:sz w:val="24"/>
          <w:szCs w:val="24"/>
          <w:lang w:val="en-GB" w:eastAsia="en-IN"/>
        </w:rPr>
        <w:t>δ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vertAlign w:val="superscript"/>
          <w:lang w:val="en-GB" w:eastAsia="en-IN"/>
        </w:rPr>
        <w:t>18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 xml:space="preserve">O values, although the salinity of these sources is minimal. Previously reported </w:t>
      </w:r>
      <w:r w:rsidRPr="00814DDB">
        <w:rPr>
          <w:rFonts w:ascii="Times New Roman" w:eastAsia="Times New Roman" w:hAnsi="Times New Roman" w:cs="Times New Roman"/>
          <w:i/>
          <w:color w:val="141314"/>
          <w:sz w:val="24"/>
          <w:szCs w:val="24"/>
          <w:lang w:val="en-GB" w:eastAsia="en-IN"/>
        </w:rPr>
        <w:t>δ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vertAlign w:val="superscript"/>
          <w:lang w:val="en-GB" w:eastAsia="en-IN"/>
        </w:rPr>
        <w:t>18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 xml:space="preserve">O values of the NEM from this region are </w:t>
      </w:r>
      <w:r w:rsidRPr="00814DDB">
        <w:rPr>
          <w:rFonts w:ascii="Georgia" w:eastAsia="Georgia" w:hAnsi="Georgia" w:cs="Georgia"/>
          <w:color w:val="141314"/>
          <w:sz w:val="24"/>
          <w:szCs w:val="24"/>
          <w:lang w:val="en-GB" w:eastAsia="en-IN"/>
        </w:rPr>
        <w:t>-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 xml:space="preserve">10‰ and </w:t>
      </w:r>
      <w:r w:rsidRPr="00814DDB">
        <w:rPr>
          <w:rFonts w:ascii="Georgia" w:eastAsia="Georgia" w:hAnsi="Georgia" w:cs="Georgia"/>
          <w:color w:val="141314"/>
          <w:sz w:val="24"/>
          <w:szCs w:val="24"/>
          <w:lang w:val="en-GB" w:eastAsia="en-IN"/>
        </w:rPr>
        <w:t>-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 xml:space="preserve">2‰ for the Premonsoon and </w:t>
      </w:r>
      <w:r w:rsidRPr="00814DDB">
        <w:rPr>
          <w:rFonts w:ascii="Georgia" w:eastAsia="Georgia" w:hAnsi="Georgia" w:cs="Georgia"/>
          <w:color w:val="141314"/>
          <w:sz w:val="24"/>
          <w:szCs w:val="24"/>
          <w:lang w:val="en-GB" w:eastAsia="en-IN"/>
        </w:rPr>
        <w:t>-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 xml:space="preserve">5‰ for the SWM (Lekshmy et al. 2015; Rahul and Ghosh 2019). These values are close (-1.8 to -5‰) to the river water composition measured at a seasonal interval in the region (Hameed et al. 2015). Using these </w:t>
      </w:r>
      <w:r w:rsidRPr="00814DDB">
        <w:rPr>
          <w:rFonts w:ascii="Times New Roman" w:eastAsia="Times New Roman" w:hAnsi="Times New Roman" w:cs="Times New Roman"/>
          <w:i/>
          <w:color w:val="141314"/>
          <w:sz w:val="24"/>
          <w:szCs w:val="24"/>
          <w:lang w:val="en-GB" w:eastAsia="en-IN"/>
        </w:rPr>
        <w:t>δ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vertAlign w:val="superscript"/>
          <w:lang w:val="en-GB" w:eastAsia="en-IN"/>
        </w:rPr>
        <w:t>18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 xml:space="preserve">O values as freshwater end members, and measured average </w:t>
      </w:r>
      <w:r w:rsidRPr="00814DDB">
        <w:rPr>
          <w:rFonts w:ascii="Times New Roman" w:eastAsia="Times New Roman" w:hAnsi="Times New Roman" w:cs="Times New Roman"/>
          <w:i/>
          <w:color w:val="141314"/>
          <w:sz w:val="24"/>
          <w:szCs w:val="24"/>
          <w:lang w:val="en-GB" w:eastAsia="en-IN"/>
        </w:rPr>
        <w:t>δ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vertAlign w:val="superscript"/>
          <w:lang w:val="en-GB" w:eastAsia="en-IN"/>
        </w:rPr>
        <w:t>18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 xml:space="preserve">O of estuarine waters, the relative contribution of freshwater can be ascertained using the mass balance equation. </w:t>
      </w:r>
    </w:p>
    <w:p w14:paraId="12291414" w14:textId="77777777" w:rsidR="00DE2A72" w:rsidRPr="00814DDB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</w:pPr>
    </w:p>
    <w:p w14:paraId="4CF40D4B" w14:textId="77777777" w:rsidR="00DE2A72" w:rsidRPr="00814DDB" w:rsidRDefault="00DE2A72" w:rsidP="00DE2A72">
      <w:pPr>
        <w:spacing w:after="0" w:line="480" w:lineRule="auto"/>
        <w:rPr>
          <w:rFonts w:ascii="Times New Roman" w:eastAsia="Times New Roman" w:hAnsi="Times New Roman" w:cs="Times New Roman"/>
          <w:color w:val="141314"/>
          <w:sz w:val="28"/>
          <w:szCs w:val="28"/>
          <w:lang w:val="en-GB" w:eastAsia="en-IN"/>
        </w:rPr>
      </w:pPr>
      <m:oMath>
        <m:r>
          <w:rPr>
            <w:rFonts w:ascii="Cambria Math" w:eastAsia="Cambria Math" w:hAnsi="Cambria Math" w:cs="Cambria Math"/>
            <w:color w:val="141314"/>
            <w:sz w:val="24"/>
            <w:szCs w:val="24"/>
            <w:lang w:val="en-GB" w:eastAsia="en-IN"/>
          </w:rPr>
          <m:t>Fsw×</m:t>
        </m:r>
        <m:sSup>
          <m:sSupPr>
            <m:ctrlPr>
              <w:rPr>
                <w:rFonts w:ascii="Cambria Math" w:eastAsia="Cambria Math" w:hAnsi="Cambria Math" w:cs="Cambria Math"/>
                <w:color w:val="141314"/>
                <w:sz w:val="24"/>
                <w:szCs w:val="24"/>
                <w:lang w:val="en-GB" w:eastAsia="en-IN"/>
              </w:rPr>
            </m:ctrlPr>
          </m:sSupPr>
          <m:e>
            <m:r>
              <w:rPr>
                <w:rFonts w:ascii="Cambria Math" w:eastAsia="Cambria Math" w:hAnsi="Cambria Math" w:cs="Cambria Math"/>
                <w:color w:val="141314"/>
                <w:sz w:val="24"/>
                <w:szCs w:val="24"/>
                <w:lang w:val="en-GB" w:eastAsia="en-IN"/>
              </w:rPr>
              <m:t>δ</m:t>
            </m:r>
          </m:e>
          <m:sup>
            <m:r>
              <w:rPr>
                <w:rFonts w:ascii="Cambria Math" w:eastAsia="Cambria Math" w:hAnsi="Cambria Math" w:cs="Cambria Math"/>
                <w:color w:val="141314"/>
                <w:sz w:val="24"/>
                <w:szCs w:val="24"/>
                <w:lang w:val="en-GB" w:eastAsia="en-IN"/>
              </w:rPr>
              <m:t>18</m:t>
            </m:r>
          </m:sup>
        </m:sSup>
        <m:r>
          <w:rPr>
            <w:rFonts w:ascii="Cambria Math" w:eastAsia="Cambria Math" w:hAnsi="Cambria Math" w:cs="Cambria Math"/>
            <w:color w:val="141314"/>
            <w:sz w:val="24"/>
            <w:szCs w:val="24"/>
            <w:lang w:val="en-GB" w:eastAsia="en-IN"/>
          </w:rPr>
          <m:t>Osw+Frw×</m:t>
        </m:r>
        <m:sSup>
          <m:sSupPr>
            <m:ctrlPr>
              <w:rPr>
                <w:rFonts w:ascii="Cambria Math" w:eastAsia="Cambria Math" w:hAnsi="Cambria Math" w:cs="Cambria Math"/>
                <w:color w:val="141314"/>
                <w:sz w:val="24"/>
                <w:szCs w:val="24"/>
                <w:lang w:val="en-GB" w:eastAsia="en-IN"/>
              </w:rPr>
            </m:ctrlPr>
          </m:sSupPr>
          <m:e>
            <m:r>
              <w:rPr>
                <w:rFonts w:ascii="Cambria Math" w:eastAsia="Cambria Math" w:hAnsi="Cambria Math" w:cs="Cambria Math"/>
                <w:color w:val="141314"/>
                <w:sz w:val="24"/>
                <w:szCs w:val="24"/>
                <w:lang w:val="en-GB" w:eastAsia="en-IN"/>
              </w:rPr>
              <m:t>δ</m:t>
            </m:r>
          </m:e>
          <m:sup>
            <m:r>
              <w:rPr>
                <w:rFonts w:ascii="Cambria Math" w:eastAsia="Cambria Math" w:hAnsi="Cambria Math" w:cs="Cambria Math"/>
                <w:color w:val="141314"/>
                <w:sz w:val="24"/>
                <w:szCs w:val="24"/>
                <w:lang w:val="en-GB" w:eastAsia="en-IN"/>
              </w:rPr>
              <m:t>18</m:t>
            </m:r>
          </m:sup>
        </m:sSup>
        <m:r>
          <w:rPr>
            <w:rFonts w:ascii="Cambria Math" w:eastAsia="Cambria Math" w:hAnsi="Cambria Math" w:cs="Cambria Math"/>
            <w:color w:val="141314"/>
            <w:sz w:val="24"/>
            <w:szCs w:val="24"/>
            <w:lang w:val="en-GB" w:eastAsia="en-IN"/>
          </w:rPr>
          <m:t>Orw=</m:t>
        </m:r>
        <m:sSup>
          <m:sSupPr>
            <m:ctrlPr>
              <w:rPr>
                <w:rFonts w:ascii="Cambria Math" w:eastAsia="Cambria Math" w:hAnsi="Cambria Math" w:cs="Cambria Math"/>
                <w:color w:val="141314"/>
                <w:sz w:val="24"/>
                <w:szCs w:val="24"/>
                <w:lang w:val="en-GB" w:eastAsia="en-IN"/>
              </w:rPr>
            </m:ctrlPr>
          </m:sSupPr>
          <m:e>
            <m:r>
              <w:rPr>
                <w:rFonts w:ascii="Cambria Math" w:eastAsia="Cambria Math" w:hAnsi="Cambria Math" w:cs="Cambria Math"/>
                <w:color w:val="141314"/>
                <w:sz w:val="24"/>
                <w:szCs w:val="24"/>
                <w:lang w:val="en-GB" w:eastAsia="en-IN"/>
              </w:rPr>
              <m:t>δ</m:t>
            </m:r>
          </m:e>
          <m:sup>
            <m:r>
              <w:rPr>
                <w:rFonts w:ascii="Cambria Math" w:eastAsia="Cambria Math" w:hAnsi="Cambria Math" w:cs="Cambria Math"/>
                <w:color w:val="141314"/>
                <w:sz w:val="24"/>
                <w:szCs w:val="24"/>
                <w:lang w:val="en-GB" w:eastAsia="en-IN"/>
              </w:rPr>
              <m:t>18</m:t>
            </m:r>
          </m:sup>
        </m:sSup>
        <m:r>
          <w:rPr>
            <w:rFonts w:ascii="Cambria Math" w:eastAsia="Cambria Math" w:hAnsi="Cambria Math" w:cs="Cambria Math"/>
            <w:color w:val="141314"/>
            <w:sz w:val="24"/>
            <w:szCs w:val="24"/>
            <w:lang w:val="en-GB" w:eastAsia="en-IN"/>
          </w:rPr>
          <m:t>Oew</m:t>
        </m:r>
      </m:oMath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 xml:space="preserve"> </w:t>
      </w:r>
      <w:r w:rsidRPr="00814DDB">
        <w:rPr>
          <w:rFonts w:ascii="Calibri" w:eastAsia="Calibri" w:hAnsi="Calibri" w:cs="Calibri"/>
          <w:lang w:val="en-GB" w:eastAsia="en-IN"/>
        </w:rPr>
        <w:t xml:space="preserve">     </w:t>
      </w:r>
      <w:r w:rsidRPr="00814DDB">
        <w:rPr>
          <w:rFonts w:ascii="Calibri" w:eastAsia="Calibri" w:hAnsi="Calibri" w:cs="Calibri"/>
          <w:lang w:val="en-GB" w:eastAsia="en-IN"/>
        </w:rPr>
        <w:tab/>
      </w:r>
      <w:r w:rsidRPr="00814DDB">
        <w:rPr>
          <w:rFonts w:ascii="Calibri" w:eastAsia="Calibri" w:hAnsi="Calibri" w:cs="Calibri"/>
          <w:lang w:val="en-GB" w:eastAsia="en-IN"/>
        </w:rPr>
        <w:tab/>
      </w:r>
      <w:r w:rsidRPr="00814DDB">
        <w:rPr>
          <w:rFonts w:ascii="Calibri" w:eastAsia="Calibri" w:hAnsi="Calibri" w:cs="Calibri"/>
          <w:lang w:val="en-GB" w:eastAsia="en-IN"/>
        </w:rPr>
        <w:tab/>
      </w:r>
      <w:r w:rsidRPr="00814DDB">
        <w:rPr>
          <w:rFonts w:ascii="Calibri" w:eastAsia="Calibri" w:hAnsi="Calibri" w:cs="Calibri"/>
          <w:lang w:val="en-GB" w:eastAsia="en-IN"/>
        </w:rPr>
        <w:tab/>
      </w:r>
      <w:r w:rsidRPr="00814DDB">
        <w:rPr>
          <w:rFonts w:ascii="Calibri" w:eastAsia="Calibri" w:hAnsi="Calibri" w:cs="Calibri"/>
          <w:lang w:val="en-GB" w:eastAsia="en-IN"/>
        </w:rPr>
        <w:tab/>
      </w:r>
      <w:r w:rsidRPr="00814DDB"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  <w:t>(1)</w:t>
      </w:r>
    </w:p>
    <w:p w14:paraId="49AEE1C5" w14:textId="77777777" w:rsidR="00DE2A72" w:rsidRPr="00814DDB" w:rsidRDefault="00DE2A72" w:rsidP="00DE2A72">
      <w:pPr>
        <w:spacing w:after="200" w:line="276" w:lineRule="auto"/>
        <w:rPr>
          <w:rFonts w:ascii="Cambria Math" w:eastAsia="Cambria Math" w:hAnsi="Cambria Math" w:cs="Cambria Math"/>
          <w:color w:val="141314"/>
          <w:sz w:val="24"/>
          <w:szCs w:val="24"/>
          <w:lang w:val="en-GB" w:eastAsia="en-IN"/>
        </w:rPr>
      </w:pPr>
      <m:oMath>
        <m:r>
          <w:rPr>
            <w:rFonts w:ascii="Cambria Math" w:eastAsia="Cambria Math" w:hAnsi="Cambria Math" w:cs="Cambria Math"/>
            <w:color w:val="141314"/>
            <w:sz w:val="24"/>
            <w:szCs w:val="24"/>
            <w:lang w:val="en-GB" w:eastAsia="en-IN"/>
          </w:rPr>
          <m:t>Fsw+Frw=100</m:t>
        </m:r>
      </m:oMath>
      <w:r w:rsidRPr="00814DDB">
        <w:rPr>
          <w:rFonts w:ascii="Cambria Math" w:eastAsia="Cambria Math" w:hAnsi="Cambria Math" w:cs="Cambria Math"/>
          <w:color w:val="141314"/>
          <w:sz w:val="24"/>
          <w:szCs w:val="24"/>
          <w:lang w:val="en-GB" w:eastAsia="en-IN"/>
        </w:rPr>
        <w:tab/>
      </w:r>
      <w:r w:rsidRPr="00814DDB">
        <w:rPr>
          <w:rFonts w:ascii="Cambria Math" w:eastAsia="Cambria Math" w:hAnsi="Cambria Math" w:cs="Cambria Math"/>
          <w:color w:val="141314"/>
          <w:sz w:val="24"/>
          <w:szCs w:val="24"/>
          <w:lang w:val="en-GB" w:eastAsia="en-IN"/>
        </w:rPr>
        <w:tab/>
      </w:r>
      <w:r w:rsidRPr="00814DDB">
        <w:rPr>
          <w:rFonts w:ascii="Cambria Math" w:eastAsia="Cambria Math" w:hAnsi="Cambria Math" w:cs="Cambria Math"/>
          <w:color w:val="141314"/>
          <w:sz w:val="24"/>
          <w:szCs w:val="24"/>
          <w:lang w:val="en-GB" w:eastAsia="en-IN"/>
        </w:rPr>
        <w:tab/>
      </w:r>
      <w:r w:rsidRPr="00814DDB">
        <w:rPr>
          <w:rFonts w:ascii="Cambria Math" w:eastAsia="Cambria Math" w:hAnsi="Cambria Math" w:cs="Cambria Math"/>
          <w:color w:val="141314"/>
          <w:sz w:val="24"/>
          <w:szCs w:val="24"/>
          <w:lang w:val="en-GB" w:eastAsia="en-IN"/>
        </w:rPr>
        <w:tab/>
      </w:r>
      <w:r w:rsidRPr="00814DDB">
        <w:rPr>
          <w:rFonts w:ascii="Cambria Math" w:eastAsia="Cambria Math" w:hAnsi="Cambria Math" w:cs="Cambria Math"/>
          <w:color w:val="141314"/>
          <w:sz w:val="24"/>
          <w:szCs w:val="24"/>
          <w:lang w:val="en-GB" w:eastAsia="en-IN"/>
        </w:rPr>
        <w:tab/>
      </w:r>
      <w:r w:rsidRPr="00814DDB">
        <w:rPr>
          <w:rFonts w:ascii="Cambria Math" w:eastAsia="Cambria Math" w:hAnsi="Cambria Math" w:cs="Cambria Math"/>
          <w:color w:val="141314"/>
          <w:sz w:val="24"/>
          <w:szCs w:val="24"/>
          <w:lang w:val="en-GB" w:eastAsia="en-IN"/>
        </w:rPr>
        <w:tab/>
      </w:r>
      <w:r w:rsidRPr="00814DDB">
        <w:rPr>
          <w:rFonts w:ascii="Cambria Math" w:eastAsia="Cambria Math" w:hAnsi="Cambria Math" w:cs="Cambria Math"/>
          <w:color w:val="141314"/>
          <w:sz w:val="24"/>
          <w:szCs w:val="24"/>
          <w:lang w:val="en-GB" w:eastAsia="en-IN"/>
        </w:rPr>
        <w:tab/>
      </w:r>
      <w:r w:rsidRPr="00814DDB">
        <w:rPr>
          <w:rFonts w:ascii="Cambria Math" w:eastAsia="Cambria Math" w:hAnsi="Cambria Math" w:cs="Cambria Math"/>
          <w:color w:val="141314"/>
          <w:sz w:val="24"/>
          <w:szCs w:val="24"/>
          <w:lang w:val="en-GB" w:eastAsia="en-IN"/>
        </w:rPr>
        <w:tab/>
      </w:r>
      <w:r w:rsidRPr="00814DDB">
        <w:rPr>
          <w:rFonts w:ascii="Cambria Math" w:eastAsia="Cambria Math" w:hAnsi="Cambria Math" w:cs="Cambria Math"/>
          <w:color w:val="141314"/>
          <w:sz w:val="24"/>
          <w:szCs w:val="24"/>
          <w:lang w:val="en-GB" w:eastAsia="en-IN"/>
        </w:rPr>
        <w:tab/>
        <w:t>(2)</w:t>
      </w:r>
    </w:p>
    <w:p w14:paraId="55180F24" w14:textId="77777777" w:rsidR="00DE2A72" w:rsidRPr="00814DDB" w:rsidRDefault="00DE2A72" w:rsidP="00DE2A72">
      <w:pPr>
        <w:spacing w:after="0" w:line="480" w:lineRule="auto"/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</w:pP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>Percentage (%) = [</w:t>
      </w:r>
      <w:r w:rsidRPr="00814DDB">
        <w:rPr>
          <w:rFonts w:ascii="Times New Roman" w:eastAsia="Times New Roman" w:hAnsi="Times New Roman" w:cs="Times New Roman"/>
          <w:i/>
          <w:color w:val="141314"/>
          <w:sz w:val="24"/>
          <w:szCs w:val="24"/>
          <w:lang w:val="en-GB" w:eastAsia="en-IN"/>
        </w:rPr>
        <w:t>δ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vertAlign w:val="superscript"/>
          <w:lang w:val="en-GB" w:eastAsia="en-IN"/>
        </w:rPr>
        <w:t>18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>O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vertAlign w:val="subscript"/>
          <w:lang w:val="en-GB" w:eastAsia="en-IN"/>
        </w:rPr>
        <w:t>ew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 xml:space="preserve"> − </w:t>
      </w:r>
      <w:r w:rsidRPr="00814DDB">
        <w:rPr>
          <w:rFonts w:ascii="Times New Roman" w:eastAsia="Times New Roman" w:hAnsi="Times New Roman" w:cs="Times New Roman"/>
          <w:i/>
          <w:color w:val="141314"/>
          <w:sz w:val="24"/>
          <w:szCs w:val="24"/>
          <w:lang w:val="en-GB" w:eastAsia="en-IN"/>
        </w:rPr>
        <w:t>δ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vertAlign w:val="superscript"/>
          <w:lang w:val="en-GB" w:eastAsia="en-IN"/>
        </w:rPr>
        <w:t>18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>O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vertAlign w:val="subscript"/>
          <w:lang w:val="en-GB" w:eastAsia="en-IN"/>
        </w:rPr>
        <w:t>sw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>]/ [</w:t>
      </w:r>
      <w:r w:rsidRPr="00814DDB">
        <w:rPr>
          <w:rFonts w:ascii="Times New Roman" w:eastAsia="Times New Roman" w:hAnsi="Times New Roman" w:cs="Times New Roman"/>
          <w:i/>
          <w:color w:val="141314"/>
          <w:sz w:val="24"/>
          <w:szCs w:val="24"/>
          <w:lang w:val="en-GB" w:eastAsia="en-IN"/>
        </w:rPr>
        <w:t>δ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vertAlign w:val="superscript"/>
          <w:lang w:val="en-GB" w:eastAsia="en-IN"/>
        </w:rPr>
        <w:t>18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>O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vertAlign w:val="subscript"/>
          <w:lang w:val="en-GB" w:eastAsia="en-IN"/>
        </w:rPr>
        <w:t>rw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 xml:space="preserve"> − </w:t>
      </w:r>
      <w:r w:rsidRPr="00814DDB">
        <w:rPr>
          <w:rFonts w:ascii="Times New Roman" w:eastAsia="Times New Roman" w:hAnsi="Times New Roman" w:cs="Times New Roman"/>
          <w:i/>
          <w:color w:val="141314"/>
          <w:sz w:val="24"/>
          <w:szCs w:val="24"/>
          <w:lang w:val="en-GB" w:eastAsia="en-IN"/>
        </w:rPr>
        <w:t>δ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vertAlign w:val="superscript"/>
          <w:lang w:val="en-GB" w:eastAsia="en-IN"/>
        </w:rPr>
        <w:t>18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>O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vertAlign w:val="subscript"/>
          <w:lang w:val="en-GB" w:eastAsia="en-IN"/>
        </w:rPr>
        <w:t>sw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>]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ab/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ab/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ab/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ab/>
        <w:t>(3)</w:t>
      </w:r>
    </w:p>
    <w:p w14:paraId="1709CA59" w14:textId="77777777" w:rsidR="00DE2A72" w:rsidRPr="00814DDB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</w:pP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>where sw, rw, and ew refer to seawater, rainwater, and estuarine water, respectively, and F indicates the flux parameter.</w:t>
      </w:r>
    </w:p>
    <w:p w14:paraId="6DA46BE1" w14:textId="77777777" w:rsidR="00DE2A72" w:rsidRPr="00814DDB" w:rsidRDefault="00DE2A72" w:rsidP="00DE2A72">
      <w:pPr>
        <w:widowControl w:val="0"/>
        <w:spacing w:after="200" w:line="240" w:lineRule="auto"/>
        <w:ind w:left="480" w:hanging="480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</w:p>
    <w:p w14:paraId="57CB95BE" w14:textId="77777777" w:rsidR="00DE2A72" w:rsidRPr="00814DDB" w:rsidRDefault="00DE2A72" w:rsidP="00DE2A72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  <w:bookmarkStart w:id="0" w:name="_Hlk199155986"/>
      <w:r w:rsidRPr="00814DDB">
        <w:rPr>
          <w:rFonts w:ascii="Times New Roman" w:eastAsia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3348B4C9" wp14:editId="074C61F5">
            <wp:extent cx="4217035" cy="3384550"/>
            <wp:effectExtent l="0" t="0" r="0" b="0"/>
            <wp:docPr id="18" name="image7.png" descr="D:\Data from Drive\Cochin backwater\Figure 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7.png" descr="D:\Data from Drive\Cochin backwater\Figure 3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17035" cy="338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C6F5E" w14:textId="77777777" w:rsidR="00DE2A72" w:rsidRPr="00814DDB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  <w:r w:rsidRPr="00814DDB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IN"/>
        </w:rPr>
        <w:t>Figure S1:</w:t>
      </w:r>
      <w:r w:rsidRPr="00814DDB"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  <w:t xml:space="preserve"> Difference in </w:t>
      </w:r>
      <w:r w:rsidRPr="00814DDB">
        <w:rPr>
          <w:rFonts w:ascii="Times New Roman" w:eastAsia="Times New Roman" w:hAnsi="Times New Roman" w:cs="Times New Roman"/>
          <w:i/>
          <w:sz w:val="24"/>
          <w:szCs w:val="24"/>
          <w:lang w:val="en-GB" w:eastAsia="en-IN"/>
        </w:rPr>
        <w:t>δ</w:t>
      </w:r>
      <w:r w:rsidRPr="00814DDB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 w:eastAsia="en-IN"/>
        </w:rPr>
        <w:t>18</w:t>
      </w:r>
      <w:r w:rsidRPr="00814DDB"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  <w:t>O of water samples collected during high tide (HT) and low tide</w:t>
      </w:r>
    </w:p>
    <w:p w14:paraId="01893EB8" w14:textId="77777777" w:rsidR="00DE2A72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  <w:r w:rsidRPr="00814DDB"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  <w:t xml:space="preserve">(LT) on the same day as that for the salinity in the same water samples. A reasonably strong positive correlation between these two parameters indicates that the Cochin </w:t>
      </w:r>
      <w:r w:rsidRPr="00814DDB"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  <w:t>backwater</w:t>
      </w:r>
      <w:r w:rsidRPr="00814DDB"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  <w:t xml:space="preserve"> is well mixed vertically during both monsoon and non-monsoon periods.</w:t>
      </w:r>
    </w:p>
    <w:p w14:paraId="0937DCF5" w14:textId="77777777" w:rsidR="00DE2A72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</w:p>
    <w:p w14:paraId="3F245AC1" w14:textId="77777777" w:rsidR="00DE2A72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</w:p>
    <w:p w14:paraId="70BA627C" w14:textId="77777777" w:rsidR="00DE2A72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</w:p>
    <w:p w14:paraId="39611267" w14:textId="77777777" w:rsidR="00DE2A72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</w:p>
    <w:p w14:paraId="5C0BCDDC" w14:textId="77777777" w:rsidR="00DE2A72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</w:p>
    <w:p w14:paraId="4BE565F6" w14:textId="77777777" w:rsidR="00DE2A72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</w:p>
    <w:p w14:paraId="3A855D91" w14:textId="77777777" w:rsidR="00DE2A72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</w:p>
    <w:p w14:paraId="29635D4B" w14:textId="77777777" w:rsidR="00DE2A72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</w:p>
    <w:p w14:paraId="63FEC303" w14:textId="77777777" w:rsidR="00DE2A72" w:rsidRPr="00814DDB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</w:p>
    <w:p w14:paraId="3F8C2FD8" w14:textId="77777777" w:rsidR="00DE2A72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</w:pPr>
    </w:p>
    <w:p w14:paraId="00143E93" w14:textId="77777777" w:rsidR="00DE2A72" w:rsidRPr="00814DDB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color w:val="141314"/>
          <w:sz w:val="24"/>
          <w:szCs w:val="24"/>
          <w:lang w:val="en-GB" w:eastAsia="en-IN"/>
        </w:rPr>
      </w:pPr>
    </w:p>
    <w:p w14:paraId="23B13D5C" w14:textId="77777777" w:rsidR="00DE2A72" w:rsidRPr="00814DDB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  <w:r w:rsidRPr="00814DDB">
        <w:rPr>
          <w:rFonts w:ascii="Times New Roman" w:eastAsia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1856ACCD" wp14:editId="5030022C">
            <wp:extent cx="5731510" cy="3723596"/>
            <wp:effectExtent l="0" t="0" r="0" b="0"/>
            <wp:docPr id="20" name="image6.png" descr="H:\My Drive\Under review\Vembanad estuary\reviews\Pan Evaporation data_with dischar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6.png" descr="H:\My Drive\Under review\Vembanad estuary\reviews\Pan Evaporation data_with discharge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23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BAF7D" w14:textId="77777777" w:rsidR="00DE2A72" w:rsidRPr="00814DDB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</w:pPr>
      <w:r w:rsidRPr="00814DDB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IN"/>
        </w:rPr>
        <w:t>Figure 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IN"/>
        </w:rPr>
        <w:t>2</w:t>
      </w:r>
      <w:r w:rsidRPr="00814DDB"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  <w:t>:</w:t>
      </w:r>
      <w:r w:rsidRPr="00814DDB">
        <w:rPr>
          <w:rFonts w:ascii="Calibri" w:eastAsia="Calibri" w:hAnsi="Calibri" w:cs="Calibri"/>
          <w:lang w:val="en-GB" w:eastAsia="en-IN"/>
        </w:rPr>
        <w:t xml:space="preserve"> </w:t>
      </w:r>
      <w:r w:rsidRPr="00814DDB">
        <w:rPr>
          <w:rFonts w:ascii="Times New Roman" w:eastAsia="Times New Roman" w:hAnsi="Times New Roman" w:cs="Times New Roman"/>
          <w:lang w:val="en-GB" w:eastAsia="en-IN"/>
        </w:rPr>
        <w:t xml:space="preserve">Pan-evaporation and </w:t>
      </w:r>
      <w:r w:rsidRPr="00814DDB">
        <w:rPr>
          <w:rFonts w:ascii="Times New Roman" w:eastAsia="Times New Roman" w:hAnsi="Times New Roman" w:cs="Times New Roman"/>
          <w:sz w:val="24"/>
          <w:szCs w:val="24"/>
          <w:lang w:val="en-GB" w:eastAsia="en-IN"/>
        </w:rPr>
        <w:t>daily climatological river discharges of the seven rivers at CE. Discharge data sourced from Central Water Commission, Government of India (2000–2016).</w:t>
      </w:r>
    </w:p>
    <w:bookmarkEnd w:id="0"/>
    <w:p w14:paraId="46D8374F" w14:textId="77777777" w:rsidR="00DE2A72" w:rsidRPr="00814DDB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 w:eastAsia="en-IN"/>
        </w:rPr>
      </w:pPr>
    </w:p>
    <w:p w14:paraId="6FCEB6ED" w14:textId="77777777" w:rsidR="00DE2A72" w:rsidRDefault="00DE2A72" w:rsidP="00DE2A72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en-IN"/>
        </w:rPr>
      </w:pPr>
    </w:p>
    <w:p w14:paraId="684C8B25" w14:textId="77777777" w:rsidR="00DE2A72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 w:eastAsia="en-IN"/>
        </w:rPr>
      </w:pPr>
    </w:p>
    <w:p w14:paraId="5B82FDC1" w14:textId="77777777" w:rsidR="00DE2A72" w:rsidRPr="00814DDB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 w:eastAsia="en-IN"/>
        </w:rPr>
        <w:sectPr w:rsidR="00DE2A72" w:rsidRPr="00814DDB" w:rsidSect="00DE2A72">
          <w:pgSz w:w="11906" w:h="16838"/>
          <w:pgMar w:top="1440" w:right="1440" w:bottom="1440" w:left="1440" w:header="720" w:footer="720" w:gutter="0"/>
          <w:cols w:space="720"/>
        </w:sectPr>
      </w:pPr>
    </w:p>
    <w:p w14:paraId="4B4DC3DB" w14:textId="77777777" w:rsidR="00DE2A72" w:rsidRPr="00814DDB" w:rsidRDefault="00DE2A72" w:rsidP="00DE2A7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 w:eastAsia="en-IN"/>
        </w:rPr>
      </w:pPr>
      <w:bookmarkStart w:id="1" w:name="_Hlk199156033"/>
      <w:r w:rsidRPr="00814DDB">
        <w:rPr>
          <w:rFonts w:ascii="Times New Roman" w:eastAsia="Times New Roman" w:hAnsi="Times New Roman" w:cs="Times New Roman"/>
          <w:b/>
          <w:sz w:val="24"/>
          <w:szCs w:val="24"/>
          <w:lang w:val="en-GB" w:eastAsia="en-IN"/>
        </w:rPr>
        <w:lastRenderedPageBreak/>
        <w:t>Table S1</w:t>
      </w:r>
    </w:p>
    <w:tbl>
      <w:tblPr>
        <w:tblW w:w="99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3"/>
        <w:gridCol w:w="569"/>
        <w:gridCol w:w="617"/>
        <w:gridCol w:w="879"/>
        <w:gridCol w:w="957"/>
        <w:gridCol w:w="540"/>
        <w:gridCol w:w="360"/>
        <w:gridCol w:w="1080"/>
        <w:gridCol w:w="900"/>
        <w:gridCol w:w="990"/>
        <w:gridCol w:w="1080"/>
        <w:gridCol w:w="1080"/>
      </w:tblGrid>
      <w:tr w:rsidR="00DE2A72" w:rsidRPr="0060161C" w14:paraId="30A352F4" w14:textId="77777777" w:rsidTr="00E90422">
        <w:trPr>
          <w:trHeight w:val="1302"/>
        </w:trPr>
        <w:tc>
          <w:tcPr>
            <w:tcW w:w="9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15F943C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River</w:t>
            </w:r>
          </w:p>
        </w:tc>
        <w:tc>
          <w:tcPr>
            <w:tcW w:w="569" w:type="dxa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AC675F2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Slope</w:t>
            </w:r>
          </w:p>
        </w:tc>
        <w:tc>
          <w:tcPr>
            <w:tcW w:w="617" w:type="dxa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AA7AEF0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SE</w:t>
            </w: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  <w:lang w:val="en-IN" w:eastAsia="en-IN" w:bidi="hi-IN"/>
              </w:rPr>
              <w:t>slope</w:t>
            </w:r>
          </w:p>
        </w:tc>
        <w:tc>
          <w:tcPr>
            <w:tcW w:w="879" w:type="dxa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DEF1350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Intercept</w:t>
            </w:r>
          </w:p>
        </w:tc>
        <w:tc>
          <w:tcPr>
            <w:tcW w:w="957" w:type="dxa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7C4D401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SE</w:t>
            </w: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  <w:lang w:val="en-IN" w:eastAsia="en-IN" w:bidi="hi-IN"/>
              </w:rPr>
              <w:t>intercept</w:t>
            </w:r>
          </w:p>
        </w:tc>
        <w:tc>
          <w:tcPr>
            <w:tcW w:w="540" w:type="dxa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5061271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R</w:t>
            </w: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val="en-IN" w:eastAsia="en-IN" w:bidi="hi-IN"/>
              </w:rPr>
              <w:t>2</w:t>
            </w:r>
          </w:p>
        </w:tc>
        <w:tc>
          <w:tcPr>
            <w:tcW w:w="360" w:type="dxa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4FE37FD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N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B6D4EE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E</w:t>
            </w: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 xml:space="preserve"> of regression</w:t>
            </w:r>
          </w:p>
        </w:tc>
        <w:tc>
          <w:tcPr>
            <w:tcW w:w="900" w:type="dxa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C137723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60161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F</w:t>
            </w: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-test overall</w:t>
            </w:r>
          </w:p>
        </w:tc>
        <w:tc>
          <w:tcPr>
            <w:tcW w:w="990" w:type="dxa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1CE8143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Degrees of freedom (n-k) 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A41B172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 Regression SS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5412E8C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IN" w:eastAsia="en-IN" w:bidi="hi-IN"/>
              </w:rPr>
              <w:t>Residual SS</w:t>
            </w:r>
          </w:p>
        </w:tc>
      </w:tr>
      <w:tr w:rsidR="00DE2A72" w:rsidRPr="00814DDB" w14:paraId="418BDBC3" w14:textId="77777777" w:rsidTr="00E90422">
        <w:trPr>
          <w:trHeight w:val="285"/>
        </w:trPr>
        <w:tc>
          <w:tcPr>
            <w:tcW w:w="9975" w:type="dxa"/>
            <w:gridSpan w:val="12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B226EC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Cochin backwaters (Present Study)</w:t>
            </w:r>
          </w:p>
        </w:tc>
      </w:tr>
      <w:tr w:rsidR="00DE2A72" w:rsidRPr="0060161C" w14:paraId="1446ABEF" w14:textId="77777777" w:rsidTr="00E90422">
        <w:trPr>
          <w:trHeight w:val="285"/>
        </w:trPr>
        <w:tc>
          <w:tcPr>
            <w:tcW w:w="923" w:type="dxa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D7AB23D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High Tide</w:t>
            </w:r>
          </w:p>
        </w:tc>
        <w:tc>
          <w:tcPr>
            <w:tcW w:w="5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714A54D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0.13</w:t>
            </w:r>
          </w:p>
        </w:tc>
        <w:tc>
          <w:tcPr>
            <w:tcW w:w="6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E165E54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0.02</w:t>
            </w:r>
          </w:p>
        </w:tc>
        <w:tc>
          <w:tcPr>
            <w:tcW w:w="8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B2D90CF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-3.35</w:t>
            </w:r>
          </w:p>
        </w:tc>
        <w:tc>
          <w:tcPr>
            <w:tcW w:w="95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E193C4D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0.23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92B2D6B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0.73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87A1460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22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E6C6AAF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0.7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045A42C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57.8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AB81BB4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21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40B9B90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28.41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C5BAE9D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10.32</w:t>
            </w:r>
          </w:p>
        </w:tc>
      </w:tr>
      <w:tr w:rsidR="00DE2A72" w:rsidRPr="0060161C" w14:paraId="3335F2CA" w14:textId="77777777" w:rsidTr="00E90422">
        <w:trPr>
          <w:trHeight w:val="285"/>
        </w:trPr>
        <w:tc>
          <w:tcPr>
            <w:tcW w:w="923" w:type="dxa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63E9CB4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Low Tide</w:t>
            </w:r>
          </w:p>
        </w:tc>
        <w:tc>
          <w:tcPr>
            <w:tcW w:w="5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B0E9E06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0.11</w:t>
            </w:r>
          </w:p>
        </w:tc>
        <w:tc>
          <w:tcPr>
            <w:tcW w:w="6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AD1371A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0.02</w:t>
            </w:r>
          </w:p>
        </w:tc>
        <w:tc>
          <w:tcPr>
            <w:tcW w:w="8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3BC201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-3.1</w:t>
            </w:r>
          </w:p>
        </w:tc>
        <w:tc>
          <w:tcPr>
            <w:tcW w:w="95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A8E66DF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40D4FEF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0.58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DC02BEA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20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0616A4E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0.72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437F1F3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25.97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149D94A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19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9218F7A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13.54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789F983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9.9</w:t>
            </w:r>
          </w:p>
        </w:tc>
      </w:tr>
      <w:tr w:rsidR="00DE2A72" w:rsidRPr="0060161C" w14:paraId="19FD596D" w14:textId="77777777" w:rsidTr="00E90422">
        <w:trPr>
          <w:trHeight w:val="285"/>
        </w:trPr>
        <w:tc>
          <w:tcPr>
            <w:tcW w:w="923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B00999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Average</w:t>
            </w:r>
          </w:p>
        </w:tc>
        <w:tc>
          <w:tcPr>
            <w:tcW w:w="5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76D00BB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0.13</w:t>
            </w:r>
          </w:p>
        </w:tc>
        <w:tc>
          <w:tcPr>
            <w:tcW w:w="6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BC1F115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0.02</w:t>
            </w:r>
          </w:p>
        </w:tc>
        <w:tc>
          <w:tcPr>
            <w:tcW w:w="87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A4A82E0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-3.32</w:t>
            </w:r>
          </w:p>
        </w:tc>
        <w:tc>
          <w:tcPr>
            <w:tcW w:w="9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8BB9D2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0.22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6647D17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81F9FFD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22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0499570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0.69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F6AC13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48.94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F342C33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21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F90537A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23.31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EDF5CF1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10</w:t>
            </w:r>
          </w:p>
        </w:tc>
      </w:tr>
      <w:tr w:rsidR="00DE2A72" w:rsidRPr="00814DDB" w14:paraId="212F66EF" w14:textId="77777777" w:rsidTr="00E90422">
        <w:trPr>
          <w:trHeight w:val="285"/>
        </w:trPr>
        <w:tc>
          <w:tcPr>
            <w:tcW w:w="9975" w:type="dxa"/>
            <w:gridSpan w:val="12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5C7634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Hooghly (Ghosh et al., 2013)</w:t>
            </w:r>
          </w:p>
        </w:tc>
      </w:tr>
      <w:tr w:rsidR="00DE2A72" w:rsidRPr="0060161C" w14:paraId="5DDD2FE6" w14:textId="77777777" w:rsidTr="00E90422">
        <w:trPr>
          <w:trHeight w:val="285"/>
        </w:trPr>
        <w:tc>
          <w:tcPr>
            <w:tcW w:w="923" w:type="dxa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28CA196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High Tide</w:t>
            </w:r>
          </w:p>
        </w:tc>
        <w:tc>
          <w:tcPr>
            <w:tcW w:w="5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81FCB43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6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6C5A606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0.06</w:t>
            </w:r>
          </w:p>
        </w:tc>
        <w:tc>
          <w:tcPr>
            <w:tcW w:w="8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77F2877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-7.42</w:t>
            </w:r>
          </w:p>
        </w:tc>
        <w:tc>
          <w:tcPr>
            <w:tcW w:w="95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44059D6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0.55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3C34348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0.63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4F8E125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13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AE226EE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1.03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0FC2DCF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20.05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57644A1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12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53393A6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21.47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6B44C3A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12.84</w:t>
            </w:r>
          </w:p>
        </w:tc>
      </w:tr>
      <w:tr w:rsidR="00DE2A72" w:rsidRPr="0060161C" w14:paraId="35423FC4" w14:textId="77777777" w:rsidTr="00E90422">
        <w:trPr>
          <w:trHeight w:val="285"/>
        </w:trPr>
        <w:tc>
          <w:tcPr>
            <w:tcW w:w="923" w:type="dxa"/>
            <w:tcBorders>
              <w:top w:val="single" w:sz="6" w:space="0" w:color="CCCCCC"/>
              <w:left w:val="single" w:sz="12" w:space="0" w:color="000000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9837ACD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Low Tide</w:t>
            </w:r>
          </w:p>
        </w:tc>
        <w:tc>
          <w:tcPr>
            <w:tcW w:w="5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40AC1B3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0.25</w:t>
            </w:r>
          </w:p>
        </w:tc>
        <w:tc>
          <w:tcPr>
            <w:tcW w:w="6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BB59E7B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0.07</w:t>
            </w:r>
          </w:p>
        </w:tc>
        <w:tc>
          <w:tcPr>
            <w:tcW w:w="87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18DC634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-7.40</w:t>
            </w:r>
          </w:p>
        </w:tc>
        <w:tc>
          <w:tcPr>
            <w:tcW w:w="95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6F9738F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0.56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AD31769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0.52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F35C9A6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14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D85A91E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1.13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BB5A622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14.03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2B35613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13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4F9C3B7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18.01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CD5E86B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16.69</w:t>
            </w:r>
          </w:p>
        </w:tc>
      </w:tr>
      <w:tr w:rsidR="00DE2A72" w:rsidRPr="0060161C" w14:paraId="06656E5C" w14:textId="77777777" w:rsidTr="00E90422">
        <w:trPr>
          <w:trHeight w:val="285"/>
        </w:trPr>
        <w:tc>
          <w:tcPr>
            <w:tcW w:w="923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9951573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Average</w:t>
            </w:r>
          </w:p>
        </w:tc>
        <w:tc>
          <w:tcPr>
            <w:tcW w:w="5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764AF0C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0.24</w:t>
            </w:r>
          </w:p>
        </w:tc>
        <w:tc>
          <w:tcPr>
            <w:tcW w:w="6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C9C4A21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0.06</w:t>
            </w:r>
          </w:p>
        </w:tc>
        <w:tc>
          <w:tcPr>
            <w:tcW w:w="87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2D4CE0C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-7.32</w:t>
            </w:r>
          </w:p>
        </w:tc>
        <w:tc>
          <w:tcPr>
            <w:tcW w:w="9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8F17826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0.53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29B492E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0.52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A5361D1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15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BDC95A5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1.11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865CB90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15.39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43F0717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14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0FFC48A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19.01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F23AB0A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17.30</w:t>
            </w:r>
          </w:p>
        </w:tc>
      </w:tr>
      <w:tr w:rsidR="00DE2A72" w:rsidRPr="00814DDB" w14:paraId="5D96A1A3" w14:textId="77777777" w:rsidTr="00E90422">
        <w:trPr>
          <w:trHeight w:val="285"/>
        </w:trPr>
        <w:tc>
          <w:tcPr>
            <w:tcW w:w="9975" w:type="dxa"/>
            <w:gridSpan w:val="12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C477D16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Hooghly (Samanta et al., 2018)</w:t>
            </w:r>
          </w:p>
        </w:tc>
      </w:tr>
      <w:tr w:rsidR="00DE2A72" w:rsidRPr="0060161C" w14:paraId="12EA1C01" w14:textId="77777777" w:rsidTr="00E90422">
        <w:trPr>
          <w:trHeight w:val="285"/>
        </w:trPr>
        <w:tc>
          <w:tcPr>
            <w:tcW w:w="923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6C3D2BD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Average</w:t>
            </w:r>
          </w:p>
        </w:tc>
        <w:tc>
          <w:tcPr>
            <w:tcW w:w="5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1788569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0.26</w:t>
            </w:r>
          </w:p>
        </w:tc>
        <w:tc>
          <w:tcPr>
            <w:tcW w:w="6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7A2E497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0.01</w:t>
            </w:r>
          </w:p>
        </w:tc>
        <w:tc>
          <w:tcPr>
            <w:tcW w:w="87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F28275B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-7.25</w:t>
            </w:r>
          </w:p>
        </w:tc>
        <w:tc>
          <w:tcPr>
            <w:tcW w:w="9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27AB83C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0.13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8FA9808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0.85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0A75AA0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73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F4C7F4B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0.83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4BC51EA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402.99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79F468B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72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461EF62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279.82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C292E83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49.99</w:t>
            </w:r>
          </w:p>
        </w:tc>
      </w:tr>
      <w:tr w:rsidR="00DE2A72" w:rsidRPr="00814DDB" w14:paraId="6A9B4582" w14:textId="77777777" w:rsidTr="00E90422">
        <w:trPr>
          <w:trHeight w:val="285"/>
        </w:trPr>
        <w:tc>
          <w:tcPr>
            <w:tcW w:w="9975" w:type="dxa"/>
            <w:gridSpan w:val="12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A40FF9F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Mandovi-Zuari (Ghosh et al., 2021)</w:t>
            </w:r>
          </w:p>
        </w:tc>
      </w:tr>
      <w:tr w:rsidR="00DE2A72" w:rsidRPr="0060161C" w14:paraId="6ED317E6" w14:textId="77777777" w:rsidTr="00E90422">
        <w:trPr>
          <w:trHeight w:val="285"/>
        </w:trPr>
        <w:tc>
          <w:tcPr>
            <w:tcW w:w="923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1C688C1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Average</w:t>
            </w:r>
          </w:p>
        </w:tc>
        <w:tc>
          <w:tcPr>
            <w:tcW w:w="569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8794FF9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0.08</w:t>
            </w:r>
          </w:p>
        </w:tc>
        <w:tc>
          <w:tcPr>
            <w:tcW w:w="617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0FDC09A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0.02</w:t>
            </w:r>
          </w:p>
        </w:tc>
        <w:tc>
          <w:tcPr>
            <w:tcW w:w="879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D28FD1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-2.13</w:t>
            </w:r>
          </w:p>
        </w:tc>
        <w:tc>
          <w:tcPr>
            <w:tcW w:w="957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5E3FD6D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0.30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67DFBED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0.84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A369392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7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AC80961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0.35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1C90B4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30.84</w:t>
            </w:r>
          </w:p>
        </w:tc>
        <w:tc>
          <w:tcPr>
            <w:tcW w:w="99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DE8014A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6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8863AB1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3.86</w:t>
            </w:r>
          </w:p>
        </w:tc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08664BA" w14:textId="77777777" w:rsidR="00DE2A72" w:rsidRPr="00814DDB" w:rsidRDefault="00DE2A72" w:rsidP="00E90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</w:pPr>
            <w:r w:rsidRPr="00814DDB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 w:bidi="hi-IN"/>
              </w:rPr>
              <w:t>0.75</w:t>
            </w:r>
          </w:p>
        </w:tc>
      </w:tr>
      <w:bookmarkEnd w:id="1"/>
    </w:tbl>
    <w:p w14:paraId="1382584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A72"/>
    <w:rsid w:val="00095876"/>
    <w:rsid w:val="00195413"/>
    <w:rsid w:val="003D0186"/>
    <w:rsid w:val="007278E4"/>
    <w:rsid w:val="00A3738C"/>
    <w:rsid w:val="00BC6C35"/>
    <w:rsid w:val="00CB270D"/>
    <w:rsid w:val="00CF7583"/>
    <w:rsid w:val="00DE2A72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9E7CA"/>
  <w15:chartTrackingRefBased/>
  <w15:docId w15:val="{9187D633-3471-4092-827B-E50FE8F4F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A7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2A7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2A7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2A7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2A7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2A7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2A7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2A7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2A7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2A7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2A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2A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2A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2A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2A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2A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2A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2A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2A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2A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E2A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2A7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E2A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2A7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E2A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2A72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E2A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2A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2A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2A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363</Words>
  <Characters>2071</Characters>
  <Application>Microsoft Office Word</Application>
  <DocSecurity>0</DocSecurity>
  <Lines>17</Lines>
  <Paragraphs>4</Paragraphs>
  <ScaleCrop>false</ScaleCrop>
  <Company>Springer Nature</Company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2025-05-26T07:24:00Z</dcterms:created>
  <dcterms:modified xsi:type="dcterms:W3CDTF">2025-05-26T07:24:00Z</dcterms:modified>
</cp:coreProperties>
</file>