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5ED8F" w14:textId="77777777" w:rsidR="00297CA9" w:rsidRDefault="00297CA9" w:rsidP="00297CA9">
      <w:pPr>
        <w:pStyle w:val="Body"/>
        <w:rPr>
          <w:rFonts w:ascii="Calibri" w:hAnsi="Calibri" w:cs="Calibri"/>
          <w:b/>
          <w:bCs/>
          <w:sz w:val="24"/>
          <w:szCs w:val="24"/>
        </w:rPr>
      </w:pPr>
      <w:bookmarkStart w:id="0" w:name="_Hlk200379154"/>
      <w:r>
        <w:rPr>
          <w:rFonts w:ascii="Calibri" w:hAnsi="Calibri" w:cs="Calibri"/>
          <w:b/>
          <w:bCs/>
          <w:sz w:val="24"/>
          <w:szCs w:val="24"/>
        </w:rPr>
        <w:t>Table captions</w:t>
      </w:r>
    </w:p>
    <w:p w14:paraId="2B9767AF" w14:textId="77777777" w:rsidR="00297CA9" w:rsidRDefault="00297CA9" w:rsidP="00297CA9">
      <w:pPr>
        <w:pStyle w:val="Body"/>
        <w:rPr>
          <w:rFonts w:ascii="Calibri" w:hAnsi="Calibri" w:cs="Calibri"/>
          <w:sz w:val="24"/>
          <w:szCs w:val="24"/>
        </w:rPr>
      </w:pPr>
    </w:p>
    <w:p w14:paraId="6A716B28" w14:textId="77777777" w:rsidR="00297CA9" w:rsidRDefault="00297CA9" w:rsidP="00297CA9">
      <w:pPr>
        <w:pStyle w:val="Body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Table S1. Differentially expressed genes between anti-CAR19 antibody treated CTL019 cells and untreated control.</w:t>
      </w:r>
    </w:p>
    <w:p w14:paraId="1C28BB6B" w14:textId="77777777" w:rsidR="00297CA9" w:rsidRDefault="00297CA9" w:rsidP="00297CA9">
      <w:pPr>
        <w:pStyle w:val="Body"/>
        <w:rPr>
          <w:rFonts w:ascii="Calibri" w:hAnsi="Calibri" w:cs="Calibri"/>
          <w:sz w:val="24"/>
          <w:szCs w:val="24"/>
        </w:rPr>
      </w:pPr>
    </w:p>
    <w:p w14:paraId="61AAC233" w14:textId="77777777" w:rsidR="00297CA9" w:rsidRDefault="00297CA9" w:rsidP="00297CA9">
      <w:pPr>
        <w:pStyle w:val="Body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Table S2. Differentially expressed genes between severe CRS and without CRS </w:t>
      </w:r>
      <w:r>
        <w:rPr>
          <w:rFonts w:ascii="Calibri" w:hAnsi="Calibri" w:cs="Calibri"/>
          <w:sz w:val="24"/>
          <w:szCs w:val="24"/>
          <w:lang w:val="fr-FR"/>
        </w:rPr>
        <w:t>group</w:t>
      </w:r>
      <w:r>
        <w:rPr>
          <w:rFonts w:ascii="Calibri" w:hAnsi="Calibri" w:cs="Calibri"/>
          <w:sz w:val="24"/>
          <w:szCs w:val="24"/>
        </w:rPr>
        <w:t>s after CTL019 antibody treatment.</w:t>
      </w:r>
    </w:p>
    <w:p w14:paraId="6EE8FF8F" w14:textId="77777777" w:rsidR="00297CA9" w:rsidRDefault="00297CA9" w:rsidP="00297CA9">
      <w:pPr>
        <w:pStyle w:val="Body"/>
        <w:rPr>
          <w:rFonts w:ascii="Calibri" w:hAnsi="Calibri" w:cs="Calibri"/>
          <w:sz w:val="24"/>
          <w:szCs w:val="24"/>
        </w:rPr>
      </w:pPr>
    </w:p>
    <w:p w14:paraId="7BA0F367" w14:textId="77777777" w:rsidR="00297CA9" w:rsidRDefault="00297CA9" w:rsidP="00297CA9">
      <w:pPr>
        <w:pStyle w:val="Body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Table S3. Differentially expressed genes between </w:t>
      </w:r>
      <w:r>
        <w:rPr>
          <w:rFonts w:ascii="Calibri" w:hAnsi="Calibri" w:cs="Calibri" w:hint="eastAsia"/>
          <w:sz w:val="24"/>
          <w:szCs w:val="24"/>
        </w:rPr>
        <w:t xml:space="preserve">severe </w:t>
      </w:r>
      <w:r>
        <w:rPr>
          <w:rFonts w:ascii="Calibri" w:hAnsi="Calibri" w:cs="Calibri"/>
          <w:sz w:val="24"/>
          <w:szCs w:val="24"/>
        </w:rPr>
        <w:t xml:space="preserve">CRS group and without CRS before CTL019 antibody treatment. </w:t>
      </w:r>
    </w:p>
    <w:bookmarkEnd w:id="0"/>
    <w:p w14:paraId="68A6AA54" w14:textId="77777777" w:rsidR="00297CA9" w:rsidRDefault="00297CA9" w:rsidP="00297CA9">
      <w:pPr>
        <w:pStyle w:val="Body"/>
        <w:rPr>
          <w:rFonts w:ascii="Calibri" w:hAnsi="Calibri" w:cs="Calibri"/>
          <w:sz w:val="24"/>
          <w:szCs w:val="24"/>
        </w:rPr>
      </w:pPr>
    </w:p>
    <w:p w14:paraId="46791B6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Sylfaen"/>
    <w:charset w:val="00"/>
    <w:family w:val="roman"/>
    <w:pitch w:val="default"/>
    <w:sig w:usb0="E50002FF" w:usb1="500079DB" w:usb2="0000001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MS Mincho"/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CA9"/>
    <w:rsid w:val="0000313E"/>
    <w:rsid w:val="00297CA9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2CDE1"/>
  <w15:chartTrackingRefBased/>
  <w15:docId w15:val="{91AF181C-AF2A-4BD1-9334-7EA6499DA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7C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7C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7C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7C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7C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7C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7C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7C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7C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7C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7C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7C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7C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7C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7C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7C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7C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7C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7C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7C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7C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7C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7C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7C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7C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7C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7C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7C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7CA9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link w:val="BodyChar"/>
    <w:qFormat/>
    <w:rsid w:val="00297CA9"/>
    <w:pPr>
      <w:spacing w:after="0" w:line="240" w:lineRule="auto"/>
    </w:pPr>
    <w:rPr>
      <w:rFonts w:ascii="Helvetica Neue" w:eastAsia="SimSun" w:hAnsi="Helvetica Neue" w:cs="Arial Unicode MS"/>
      <w:color w:val="000000"/>
      <w:kern w:val="0"/>
      <w:sz w:val="22"/>
      <w:szCs w:val="22"/>
      <w:lang w:eastAsia="zh-CN"/>
      <w14:ligatures w14:val="none"/>
    </w:rPr>
  </w:style>
  <w:style w:type="character" w:customStyle="1" w:styleId="BodyChar">
    <w:name w:val="Body Char"/>
    <w:basedOn w:val="DefaultParagraphFont"/>
    <w:link w:val="Body"/>
    <w:qFormat/>
    <w:rsid w:val="00297CA9"/>
    <w:rPr>
      <w:rFonts w:ascii="Helvetica Neue" w:eastAsia="SimSun" w:hAnsi="Helvetica Neue" w:cs="Arial Unicode MS"/>
      <w:color w:val="000000"/>
      <w:kern w:val="0"/>
      <w:sz w:val="22"/>
      <w:szCs w:val="22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Springer Nature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2025-06-09T11:02:00Z</dcterms:created>
  <dcterms:modified xsi:type="dcterms:W3CDTF">2025-06-09T11:03:00Z</dcterms:modified>
</cp:coreProperties>
</file>