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D4" w:rsidRPr="00CD15E8" w:rsidRDefault="00136AD4" w:rsidP="00136AD4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Supplementary information</w:t>
      </w:r>
    </w:p>
    <w:p w:rsidR="00136AD4" w:rsidRPr="00CD15E8" w:rsidRDefault="00136AD4" w:rsidP="00136AD4">
      <w:pPr>
        <w:rPr>
          <w:rFonts w:ascii="Times New Roman" w:hAnsi="Times New Roman" w:cs="Times New Roman"/>
          <w:bCs/>
          <w:lang w:val="en-GB"/>
        </w:rPr>
      </w:pPr>
      <w:r w:rsidRPr="00CD15E8">
        <w:rPr>
          <w:rFonts w:ascii="Times New Roman" w:hAnsi="Times New Roman" w:cs="Times New Roman"/>
          <w:b/>
          <w:lang w:val="en-GB"/>
        </w:rPr>
        <w:t xml:space="preserve">Table S1. </w:t>
      </w:r>
      <w:r w:rsidRPr="00CD15E8">
        <w:rPr>
          <w:rFonts w:ascii="Times New Roman" w:hAnsi="Times New Roman" w:cs="Times New Roman"/>
          <w:bCs/>
          <w:lang w:val="en-GB"/>
        </w:rPr>
        <w:t>Characterization data of the different porous materials in terms of shrinkage, density (pure cellulose), density (PLA-coated), and PLA gain. L</w:t>
      </w:r>
      <w:bookmarkStart w:id="0" w:name="_GoBack"/>
      <w:bookmarkEnd w:id="0"/>
      <w:r w:rsidRPr="00CD15E8">
        <w:rPr>
          <w:rFonts w:ascii="Times New Roman" w:hAnsi="Times New Roman" w:cs="Times New Roman"/>
          <w:bCs/>
          <w:lang w:val="en-GB"/>
        </w:rPr>
        <w:t>etters indicate statistically significant differences between samples (p ≤ 0.05).</w:t>
      </w:r>
    </w:p>
    <w:tbl>
      <w:tblPr>
        <w:tblStyle w:val="Tablaconcuadrcula"/>
        <w:tblW w:w="9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8"/>
        <w:gridCol w:w="1362"/>
        <w:gridCol w:w="1363"/>
        <w:gridCol w:w="1363"/>
        <w:gridCol w:w="1362"/>
        <w:gridCol w:w="1363"/>
        <w:gridCol w:w="1363"/>
      </w:tblGrid>
      <w:tr w:rsidR="00136AD4" w:rsidRPr="00CD15E8" w:rsidTr="00C110FE">
        <w:trPr>
          <w:trHeight w:val="728"/>
          <w:jc w:val="center"/>
        </w:trPr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FOAM 1%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FOAM 2%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LYOPH 1%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LYOPH 2%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SC 1%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SC 2%</w:t>
            </w:r>
          </w:p>
        </w:tc>
      </w:tr>
      <w:tr w:rsidR="00136AD4" w:rsidRPr="00CD15E8" w:rsidTr="00C110FE">
        <w:trPr>
          <w:trHeight w:val="728"/>
          <w:jc w:val="center"/>
        </w:trPr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Density</w:t>
            </w:r>
            <w:proofErr w:type="spellEnd"/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(mg/cm</w:t>
            </w:r>
            <w:r w:rsidRPr="00CD15E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47.0 ± 8.7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40.3 ± 5.9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12.4 ± 2.0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23.3 ± 1.1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62.3 ± 10.9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69.6 ± 8.8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</w:tr>
      <w:tr w:rsidR="00136AD4" w:rsidRPr="00CD15E8" w:rsidTr="00C110FE">
        <w:trPr>
          <w:trHeight w:val="728"/>
          <w:jc w:val="center"/>
        </w:trPr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Shrinkage</w:t>
            </w:r>
            <w:proofErr w:type="spellEnd"/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(%) 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78.8 ± 3.1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52.0 ± 8.7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24.2 ± 1.6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13.8 ± 6.8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78.2 ± 3.3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68.0 ± 4.3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d</w:t>
            </w:r>
          </w:p>
        </w:tc>
      </w:tr>
      <w:tr w:rsidR="00136AD4" w:rsidRPr="00CD15E8" w:rsidTr="00C110FE">
        <w:trPr>
          <w:trHeight w:val="728"/>
          <w:jc w:val="center"/>
        </w:trPr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Density</w:t>
            </w:r>
            <w:proofErr w:type="spellEnd"/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+PLA (mg/cm</w:t>
            </w:r>
            <w:r w:rsidRPr="00CD15E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106.3 ± 2.2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82.8 ± 12.8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abc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71.7 ± 9.5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67.8 ± 5.4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93.5 ± 3.7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bc</w:t>
            </w:r>
          </w:p>
        </w:tc>
        <w:tc>
          <w:tcPr>
            <w:tcW w:w="1363" w:type="dxa"/>
            <w:tcMar>
              <w:left w:w="0" w:type="dxa"/>
              <w:right w:w="0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104.4 ± 4.0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</w:tr>
      <w:tr w:rsidR="00136AD4" w:rsidRPr="00CD15E8" w:rsidTr="00C110FE">
        <w:trPr>
          <w:trHeight w:val="728"/>
          <w:jc w:val="center"/>
        </w:trPr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PLA</w:t>
            </w:r>
          </w:p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15E8">
              <w:rPr>
                <w:rFonts w:ascii="Times New Roman" w:hAnsi="Times New Roman" w:cs="Times New Roman"/>
                <w:b/>
                <w:bCs/>
                <w:color w:val="000000"/>
              </w:rPr>
              <w:t>(%)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20.2 ± 6.8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33.2 ± 5.8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70.9 ± 4.4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362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47.7 ± 1.7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41.1 ± 2.5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ab</w:t>
            </w:r>
          </w:p>
        </w:tc>
        <w:tc>
          <w:tcPr>
            <w:tcW w:w="1363" w:type="dxa"/>
            <w:tcMar>
              <w:left w:w="28" w:type="dxa"/>
              <w:right w:w="28" w:type="dxa"/>
            </w:tcMar>
            <w:vAlign w:val="center"/>
          </w:tcPr>
          <w:p w:rsidR="00136AD4" w:rsidRPr="00CD15E8" w:rsidRDefault="00136AD4" w:rsidP="00136A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15E8">
              <w:rPr>
                <w:rFonts w:ascii="Times New Roman" w:hAnsi="Times New Roman" w:cs="Times New Roman"/>
                <w:color w:val="000000"/>
              </w:rPr>
              <w:t>23.7 ± 6.9</w:t>
            </w:r>
            <w:r w:rsidRPr="00CD15E8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</w:tbl>
    <w:p w:rsidR="00136AD4" w:rsidRPr="00CD15E8" w:rsidRDefault="00136AD4" w:rsidP="00136AD4">
      <w:pPr>
        <w:shd w:val="clear" w:color="auto" w:fill="FFFFFF"/>
        <w:spacing w:after="180"/>
        <w:ind w:left="340" w:hanging="340"/>
        <w:rPr>
          <w:rFonts w:ascii="Times New Roman" w:hAnsi="Times New Roman" w:cs="Times New Roman"/>
          <w:lang w:val="en-GB"/>
        </w:rPr>
      </w:pPr>
    </w:p>
    <w:p w:rsidR="00136AD4" w:rsidRPr="00CD15E8" w:rsidRDefault="00136AD4" w:rsidP="00136AD4">
      <w:pPr>
        <w:shd w:val="clear" w:color="auto" w:fill="FFFFFF"/>
        <w:spacing w:after="180"/>
        <w:rPr>
          <w:rFonts w:ascii="Times New Roman" w:hAnsi="Times New Roman" w:cs="Times New Roman"/>
          <w:lang w:val="en-GB"/>
        </w:rPr>
      </w:pPr>
      <w:r w:rsidRPr="00CD15E8">
        <w:rPr>
          <w:rFonts w:ascii="Times New Roman" w:hAnsi="Times New Roman" w:cs="Times New Roman"/>
          <w:b/>
          <w:bCs/>
          <w:noProof/>
          <w:lang w:val="es-ES"/>
        </w:rPr>
        <w:drawing>
          <wp:inline distT="0" distB="0" distL="0" distR="0" wp14:anchorId="7143901C" wp14:editId="47FC66E0">
            <wp:extent cx="5387340" cy="2018645"/>
            <wp:effectExtent l="0" t="0" r="3810" b="1270"/>
            <wp:docPr id="12362386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846" cy="203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E8">
        <w:rPr>
          <w:rFonts w:ascii="Times New Roman" w:hAnsi="Times New Roman" w:cs="Times New Roman"/>
          <w:b/>
          <w:lang w:val="en-GB"/>
        </w:rPr>
        <w:t>F</w:t>
      </w:r>
      <w:r>
        <w:rPr>
          <w:rFonts w:ascii="Times New Roman" w:hAnsi="Times New Roman" w:cs="Times New Roman"/>
          <w:b/>
          <w:lang w:val="en-GB"/>
        </w:rPr>
        <w:t>igure</w:t>
      </w:r>
      <w:r w:rsidRPr="00CD15E8">
        <w:rPr>
          <w:rFonts w:ascii="Times New Roman" w:hAnsi="Times New Roman" w:cs="Times New Roman"/>
          <w:b/>
          <w:lang w:val="en-GB"/>
        </w:rPr>
        <w:t xml:space="preserve"> S1.</w:t>
      </w:r>
      <w:r w:rsidRPr="00CD15E8">
        <w:rPr>
          <w:rFonts w:ascii="Times New Roman" w:hAnsi="Times New Roman" w:cs="Times New Roman"/>
          <w:bCs/>
          <w:lang w:val="en-GB"/>
        </w:rPr>
        <w:t xml:space="preserve"> SEM images of supercritical aerogels produced with an alternative method. The cellulose suspension </w:t>
      </w:r>
      <w:proofErr w:type="gramStart"/>
      <w:r w:rsidRPr="00CD15E8">
        <w:rPr>
          <w:rFonts w:ascii="Times New Roman" w:hAnsi="Times New Roman" w:cs="Times New Roman"/>
          <w:bCs/>
          <w:lang w:val="en-GB"/>
        </w:rPr>
        <w:t>was frozen</w:t>
      </w:r>
      <w:proofErr w:type="gramEnd"/>
      <w:r w:rsidRPr="00CD15E8">
        <w:rPr>
          <w:rFonts w:ascii="Times New Roman" w:hAnsi="Times New Roman" w:cs="Times New Roman"/>
          <w:bCs/>
          <w:lang w:val="en-GB"/>
        </w:rPr>
        <w:t xml:space="preserve"> before adding the citric acid, which results in an easier to manipulate aqueous gel and ultimately in an aerogel with intermediate properties between lyophilized and supercritical aerogels. Scale markers: A: 500 µm; B: 30.0 µm.</w:t>
      </w:r>
    </w:p>
    <w:p w:rsidR="0056653A" w:rsidRDefault="0056653A"/>
    <w:sectPr w:rsidR="0056653A" w:rsidSect="00404207">
      <w:footerReference w:type="default" r:id="rId5"/>
      <w:pgSz w:w="11909" w:h="16834"/>
      <w:pgMar w:top="1417" w:right="1711" w:bottom="1403" w:left="170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60235"/>
      <w:docPartObj>
        <w:docPartGallery w:val="Page Numbers (Bottom of Page)"/>
        <w:docPartUnique/>
      </w:docPartObj>
    </w:sdtPr>
    <w:sdtEndPr/>
    <w:sdtContent>
      <w:p w:rsidR="00404207" w:rsidRDefault="00136A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6AD4">
          <w:rPr>
            <w:noProof/>
            <w:lang w:val="es-ES"/>
          </w:rPr>
          <w:t>1</w:t>
        </w:r>
        <w:r>
          <w:fldChar w:fldCharType="end"/>
        </w:r>
      </w:p>
    </w:sdtContent>
  </w:sdt>
  <w:p w:rsidR="00404207" w:rsidRDefault="00136AD4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D4"/>
    <w:rsid w:val="00136AD4"/>
    <w:rsid w:val="005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9481E-9837-4000-BE89-626A4634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6AD4"/>
    <w:pPr>
      <w:spacing w:after="120" w:line="480" w:lineRule="auto"/>
      <w:jc w:val="both"/>
    </w:pPr>
    <w:rPr>
      <w:rFonts w:ascii="Arial" w:eastAsia="Arial" w:hAnsi="Arial" w:cs="Arial"/>
      <w:sz w:val="24"/>
      <w:szCs w:val="24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6AD4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val="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3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AD4"/>
    <w:rPr>
      <w:rFonts w:ascii="Arial" w:eastAsia="Arial" w:hAnsi="Arial" w:cs="Arial"/>
      <w:sz w:val="24"/>
      <w:szCs w:val="24"/>
      <w:lang w:val="e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13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2025-05-29T09:50:00Z</dcterms:created>
  <dcterms:modified xsi:type="dcterms:W3CDTF">2025-05-29T09:51:00Z</dcterms:modified>
</cp:coreProperties>
</file>