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870" w:rsidRDefault="00DF6870" w:rsidP="00DF6870">
      <w:pPr>
        <w:rPr>
          <w:b/>
        </w:rPr>
      </w:pPr>
      <w:r>
        <w:rPr>
          <w:b/>
        </w:rPr>
        <w:t>Supplementary Information</w:t>
      </w:r>
    </w:p>
    <w:p w:rsidR="00DF6870" w:rsidRDefault="00DF6870" w:rsidP="00DF6870"/>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1984"/>
        <w:gridCol w:w="2126"/>
        <w:gridCol w:w="1134"/>
        <w:gridCol w:w="851"/>
        <w:gridCol w:w="850"/>
        <w:gridCol w:w="745"/>
      </w:tblGrid>
      <w:tr w:rsidR="00DF6870" w:rsidTr="00E17C56">
        <w:trPr>
          <w:trHeight w:val="978"/>
        </w:trPr>
        <w:tc>
          <w:tcPr>
            <w:tcW w:w="1550" w:type="dxa"/>
            <w:shd w:val="clear" w:color="auto" w:fill="auto"/>
            <w:tcMar>
              <w:top w:w="100" w:type="dxa"/>
              <w:left w:w="100" w:type="dxa"/>
              <w:bottom w:w="100" w:type="dxa"/>
              <w:right w:w="100" w:type="dxa"/>
            </w:tcMar>
            <w:vAlign w:val="center"/>
          </w:tcPr>
          <w:p w:rsidR="00DF6870" w:rsidRDefault="00DF6870" w:rsidP="00E17C56">
            <w:pPr>
              <w:widowControl w:val="0"/>
              <w:spacing w:line="240" w:lineRule="auto"/>
              <w:jc w:val="center"/>
              <w:rPr>
                <w:b/>
                <w:sz w:val="18"/>
                <w:szCs w:val="18"/>
              </w:rPr>
            </w:pPr>
            <w:r>
              <w:rPr>
                <w:b/>
                <w:sz w:val="18"/>
                <w:szCs w:val="18"/>
              </w:rPr>
              <w:t>Combined land cover (this study)</w:t>
            </w:r>
          </w:p>
        </w:tc>
        <w:tc>
          <w:tcPr>
            <w:tcW w:w="1984" w:type="dxa"/>
            <w:shd w:val="clear" w:color="auto" w:fill="auto"/>
            <w:tcMar>
              <w:top w:w="100" w:type="dxa"/>
              <w:left w:w="100" w:type="dxa"/>
              <w:bottom w:w="100" w:type="dxa"/>
              <w:right w:w="100" w:type="dxa"/>
            </w:tcMar>
            <w:vAlign w:val="center"/>
          </w:tcPr>
          <w:p w:rsidR="00DF6870" w:rsidRDefault="00DF6870" w:rsidP="00E17C56">
            <w:pPr>
              <w:widowControl w:val="0"/>
              <w:spacing w:line="240" w:lineRule="auto"/>
              <w:jc w:val="center"/>
              <w:rPr>
                <w:b/>
                <w:sz w:val="18"/>
                <w:szCs w:val="18"/>
              </w:rPr>
            </w:pPr>
            <w:r>
              <w:rPr>
                <w:b/>
                <w:sz w:val="18"/>
                <w:szCs w:val="18"/>
              </w:rPr>
              <w:t>ESA WorldCover class</w:t>
            </w:r>
          </w:p>
        </w:tc>
        <w:tc>
          <w:tcPr>
            <w:tcW w:w="2126" w:type="dxa"/>
            <w:shd w:val="clear" w:color="auto" w:fill="auto"/>
            <w:tcMar>
              <w:top w:w="100" w:type="dxa"/>
              <w:left w:w="100" w:type="dxa"/>
              <w:bottom w:w="100" w:type="dxa"/>
              <w:right w:w="100" w:type="dxa"/>
            </w:tcMar>
            <w:vAlign w:val="center"/>
          </w:tcPr>
          <w:p w:rsidR="00DF6870" w:rsidRDefault="00DF6870" w:rsidP="00E17C56">
            <w:pPr>
              <w:widowControl w:val="0"/>
              <w:spacing w:line="240" w:lineRule="auto"/>
              <w:jc w:val="center"/>
              <w:rPr>
                <w:b/>
                <w:sz w:val="18"/>
                <w:szCs w:val="18"/>
              </w:rPr>
            </w:pPr>
            <w:r>
              <w:rPr>
                <w:b/>
                <w:sz w:val="18"/>
                <w:szCs w:val="18"/>
              </w:rPr>
              <w:t>ESVD biome type</w:t>
            </w:r>
          </w:p>
        </w:tc>
        <w:tc>
          <w:tcPr>
            <w:tcW w:w="1134" w:type="dxa"/>
            <w:shd w:val="clear" w:color="auto" w:fill="auto"/>
            <w:tcMar>
              <w:top w:w="100" w:type="dxa"/>
              <w:left w:w="100" w:type="dxa"/>
              <w:bottom w:w="100" w:type="dxa"/>
              <w:right w:w="100" w:type="dxa"/>
            </w:tcMar>
            <w:vAlign w:val="center"/>
          </w:tcPr>
          <w:p w:rsidR="00DF6870" w:rsidRDefault="00DF6870" w:rsidP="00E17C56">
            <w:pPr>
              <w:widowControl w:val="0"/>
              <w:spacing w:line="240" w:lineRule="auto"/>
              <w:jc w:val="center"/>
              <w:rPr>
                <w:b/>
                <w:sz w:val="18"/>
                <w:szCs w:val="18"/>
              </w:rPr>
            </w:pPr>
            <w:r>
              <w:rPr>
                <w:b/>
                <w:sz w:val="18"/>
                <w:szCs w:val="18"/>
              </w:rPr>
              <w:t>Backshore and hinterland area (‘000 km</w:t>
            </w:r>
            <w:r>
              <w:rPr>
                <w:b/>
                <w:sz w:val="18"/>
                <w:szCs w:val="18"/>
                <w:vertAlign w:val="superscript"/>
              </w:rPr>
              <w:t>2</w:t>
            </w:r>
            <w:r>
              <w:rPr>
                <w:b/>
                <w:sz w:val="18"/>
                <w:szCs w:val="18"/>
              </w:rPr>
              <w:t>)</w:t>
            </w:r>
          </w:p>
        </w:tc>
        <w:tc>
          <w:tcPr>
            <w:tcW w:w="851" w:type="dxa"/>
            <w:shd w:val="clear" w:color="auto" w:fill="auto"/>
            <w:tcMar>
              <w:top w:w="100" w:type="dxa"/>
              <w:left w:w="100" w:type="dxa"/>
              <w:bottom w:w="100" w:type="dxa"/>
              <w:right w:w="100" w:type="dxa"/>
            </w:tcMar>
            <w:vAlign w:val="center"/>
          </w:tcPr>
          <w:p w:rsidR="00DF6870" w:rsidRDefault="00DF6870" w:rsidP="00E17C56">
            <w:pPr>
              <w:widowControl w:val="0"/>
              <w:spacing w:line="240" w:lineRule="auto"/>
              <w:jc w:val="center"/>
              <w:rPr>
                <w:b/>
                <w:sz w:val="18"/>
                <w:szCs w:val="18"/>
              </w:rPr>
            </w:pPr>
            <w:r>
              <w:rPr>
                <w:b/>
                <w:sz w:val="18"/>
                <w:szCs w:val="18"/>
              </w:rPr>
              <w:t>Value (billion USD)</w:t>
            </w:r>
          </w:p>
        </w:tc>
        <w:tc>
          <w:tcPr>
            <w:tcW w:w="850" w:type="dxa"/>
            <w:shd w:val="clear" w:color="auto" w:fill="auto"/>
            <w:tcMar>
              <w:top w:w="100" w:type="dxa"/>
              <w:left w:w="100" w:type="dxa"/>
              <w:bottom w:w="100" w:type="dxa"/>
              <w:right w:w="100" w:type="dxa"/>
            </w:tcMar>
            <w:vAlign w:val="center"/>
          </w:tcPr>
          <w:p w:rsidR="00DF6870" w:rsidRDefault="00DF6870" w:rsidP="00E17C56">
            <w:pPr>
              <w:widowControl w:val="0"/>
              <w:spacing w:line="240" w:lineRule="auto"/>
              <w:jc w:val="center"/>
              <w:rPr>
                <w:b/>
                <w:sz w:val="18"/>
                <w:szCs w:val="18"/>
              </w:rPr>
            </w:pPr>
            <w:r>
              <w:rPr>
                <w:b/>
                <w:sz w:val="18"/>
                <w:szCs w:val="18"/>
              </w:rPr>
              <w:t>Value per ha (USD)</w:t>
            </w:r>
          </w:p>
        </w:tc>
        <w:tc>
          <w:tcPr>
            <w:tcW w:w="745" w:type="dxa"/>
            <w:shd w:val="clear" w:color="auto" w:fill="auto"/>
            <w:tcMar>
              <w:top w:w="100" w:type="dxa"/>
              <w:left w:w="100" w:type="dxa"/>
              <w:bottom w:w="100" w:type="dxa"/>
              <w:right w:w="100" w:type="dxa"/>
            </w:tcMar>
            <w:vAlign w:val="center"/>
          </w:tcPr>
          <w:p w:rsidR="00DF6870" w:rsidRDefault="00DF6870" w:rsidP="00E17C56">
            <w:pPr>
              <w:widowControl w:val="0"/>
              <w:spacing w:line="240" w:lineRule="auto"/>
              <w:jc w:val="center"/>
              <w:rPr>
                <w:b/>
                <w:sz w:val="18"/>
                <w:szCs w:val="18"/>
              </w:rPr>
            </w:pPr>
            <w:r>
              <w:rPr>
                <w:b/>
                <w:sz w:val="18"/>
                <w:szCs w:val="18"/>
              </w:rPr>
              <w:t>% sandy*</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Coastal systems</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Bare/sparse vegetation / Permanent water bodies / Herbaceous wetland**</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Coastal systems</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20.7</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86.7</w:t>
            </w:r>
          </w:p>
        </w:tc>
        <w:tc>
          <w:tcPr>
            <w:tcW w:w="850"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41,809</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49</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Mangroves</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Mangroves</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Mangroves</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11.8</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107.1</w:t>
            </w:r>
          </w:p>
        </w:tc>
        <w:tc>
          <w:tcPr>
            <w:tcW w:w="850"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sidRPr="008F57C8">
              <w:rPr>
                <w:sz w:val="18"/>
                <w:szCs w:val="18"/>
              </w:rPr>
              <w:t>90</w:t>
            </w:r>
            <w:r>
              <w:rPr>
                <w:sz w:val="18"/>
                <w:szCs w:val="18"/>
              </w:rPr>
              <w:t>,</w:t>
            </w:r>
            <w:r w:rsidRPr="008F57C8">
              <w:rPr>
                <w:sz w:val="18"/>
                <w:szCs w:val="18"/>
              </w:rPr>
              <w:t>437</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15</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Permanent water bodies</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Permanent water bodies</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 xml:space="preserve">Rivers and lakes </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44.4</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172.2</w:t>
            </w:r>
          </w:p>
        </w:tc>
        <w:tc>
          <w:tcPr>
            <w:tcW w:w="850" w:type="dxa"/>
            <w:tcMar>
              <w:top w:w="100" w:type="dxa"/>
              <w:left w:w="100" w:type="dxa"/>
              <w:bottom w:w="100" w:type="dxa"/>
              <w:right w:w="100" w:type="dxa"/>
            </w:tcMar>
          </w:tcPr>
          <w:p w:rsidR="00DF6870" w:rsidRPr="000332BE" w:rsidRDefault="00DF6870" w:rsidP="00E17C56">
            <w:pPr>
              <w:widowControl w:val="0"/>
              <w:spacing w:line="240" w:lineRule="auto"/>
              <w:jc w:val="right"/>
              <w:rPr>
                <w:sz w:val="18"/>
                <w:szCs w:val="18"/>
              </w:rPr>
            </w:pPr>
            <w:r w:rsidRPr="000332BE">
              <w:rPr>
                <w:sz w:val="18"/>
                <w:szCs w:val="18"/>
              </w:rPr>
              <w:t>38</w:t>
            </w:r>
            <w:r>
              <w:rPr>
                <w:sz w:val="18"/>
                <w:szCs w:val="18"/>
              </w:rPr>
              <w:t>,</w:t>
            </w:r>
            <w:r w:rsidRPr="000332BE">
              <w:rPr>
                <w:sz w:val="18"/>
                <w:szCs w:val="18"/>
              </w:rPr>
              <w:t>816</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40</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Herbaceous wetland</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Herbaceous wetland</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 xml:space="preserve">Inland wetlands </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29.0</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114.6</w:t>
            </w:r>
          </w:p>
        </w:tc>
        <w:tc>
          <w:tcPr>
            <w:tcW w:w="850" w:type="dxa"/>
            <w:tcMar>
              <w:top w:w="100" w:type="dxa"/>
              <w:left w:w="100" w:type="dxa"/>
              <w:bottom w:w="100" w:type="dxa"/>
              <w:right w:w="100" w:type="dxa"/>
            </w:tcMar>
          </w:tcPr>
          <w:p w:rsidR="00DF6870" w:rsidRPr="000332BE" w:rsidRDefault="00DF6870" w:rsidP="00E17C56">
            <w:pPr>
              <w:widowControl w:val="0"/>
              <w:spacing w:line="240" w:lineRule="auto"/>
              <w:jc w:val="right"/>
              <w:rPr>
                <w:sz w:val="18"/>
                <w:szCs w:val="18"/>
              </w:rPr>
            </w:pPr>
            <w:r w:rsidRPr="000332BE">
              <w:rPr>
                <w:sz w:val="18"/>
                <w:szCs w:val="18"/>
              </w:rPr>
              <w:t>39</w:t>
            </w:r>
            <w:r>
              <w:rPr>
                <w:sz w:val="18"/>
                <w:szCs w:val="18"/>
              </w:rPr>
              <w:t>,</w:t>
            </w:r>
            <w:r w:rsidRPr="000332BE">
              <w:rPr>
                <w:sz w:val="18"/>
                <w:szCs w:val="18"/>
              </w:rPr>
              <w:t>479</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45</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Tropical forest</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Tree cover***</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Tropical and subtropical forests</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53.8</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51.0</w:t>
            </w:r>
          </w:p>
        </w:tc>
        <w:tc>
          <w:tcPr>
            <w:tcW w:w="850" w:type="dxa"/>
            <w:tcMar>
              <w:top w:w="100" w:type="dxa"/>
              <w:left w:w="100" w:type="dxa"/>
              <w:bottom w:w="100" w:type="dxa"/>
              <w:right w:w="100" w:type="dxa"/>
            </w:tcMar>
          </w:tcPr>
          <w:p w:rsidR="00DF6870" w:rsidRPr="000332BE" w:rsidRDefault="00DF6870" w:rsidP="00E17C56">
            <w:pPr>
              <w:widowControl w:val="0"/>
              <w:spacing w:line="240" w:lineRule="auto"/>
              <w:jc w:val="right"/>
              <w:rPr>
                <w:sz w:val="18"/>
                <w:szCs w:val="18"/>
              </w:rPr>
            </w:pPr>
            <w:r w:rsidRPr="000332BE">
              <w:rPr>
                <w:sz w:val="18"/>
                <w:szCs w:val="18"/>
              </w:rPr>
              <w:t>9477</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14</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Temperate forest</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Tree cover***</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Temperate forest and woodland</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90.4</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163.4</w:t>
            </w:r>
          </w:p>
        </w:tc>
        <w:tc>
          <w:tcPr>
            <w:tcW w:w="850" w:type="dxa"/>
            <w:tcMar>
              <w:top w:w="100" w:type="dxa"/>
              <w:left w:w="100" w:type="dxa"/>
              <w:bottom w:w="100" w:type="dxa"/>
              <w:right w:w="100" w:type="dxa"/>
            </w:tcMar>
          </w:tcPr>
          <w:p w:rsidR="00DF6870" w:rsidRPr="000332BE" w:rsidRDefault="00DF6870" w:rsidP="00E17C56">
            <w:pPr>
              <w:widowControl w:val="0"/>
              <w:spacing w:line="240" w:lineRule="auto"/>
              <w:jc w:val="right"/>
              <w:rPr>
                <w:sz w:val="18"/>
                <w:szCs w:val="18"/>
              </w:rPr>
            </w:pPr>
            <w:r w:rsidRPr="000332BE">
              <w:rPr>
                <w:sz w:val="18"/>
                <w:szCs w:val="18"/>
              </w:rPr>
              <w:t>18</w:t>
            </w:r>
            <w:r>
              <w:rPr>
                <w:sz w:val="18"/>
                <w:szCs w:val="18"/>
              </w:rPr>
              <w:t>,</w:t>
            </w:r>
            <w:r w:rsidRPr="000332BE">
              <w:rPr>
                <w:sz w:val="18"/>
                <w:szCs w:val="18"/>
              </w:rPr>
              <w:t>069</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27</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Boreal forest</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Tree cover***</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Boreal and montane forests &amp; woodland</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104.3</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67.3</w:t>
            </w:r>
          </w:p>
        </w:tc>
        <w:tc>
          <w:tcPr>
            <w:tcW w:w="850" w:type="dxa"/>
            <w:tcMar>
              <w:top w:w="100" w:type="dxa"/>
              <w:left w:w="100" w:type="dxa"/>
              <w:bottom w:w="100" w:type="dxa"/>
              <w:right w:w="100" w:type="dxa"/>
            </w:tcMar>
          </w:tcPr>
          <w:p w:rsidR="00DF6870" w:rsidRPr="000332BE" w:rsidRDefault="00DF6870" w:rsidP="00E17C56">
            <w:pPr>
              <w:widowControl w:val="0"/>
              <w:spacing w:line="240" w:lineRule="auto"/>
              <w:jc w:val="right"/>
              <w:rPr>
                <w:sz w:val="18"/>
                <w:szCs w:val="18"/>
              </w:rPr>
            </w:pPr>
            <w:r w:rsidRPr="000332BE">
              <w:rPr>
                <w:sz w:val="18"/>
                <w:szCs w:val="18"/>
              </w:rPr>
              <w:t>6451</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32</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Shrubland</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Shrubland / Tree cover***</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Shrubland and shrubby woodland</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68.6</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5.8</w:t>
            </w:r>
          </w:p>
        </w:tc>
        <w:tc>
          <w:tcPr>
            <w:tcW w:w="850" w:type="dxa"/>
            <w:tcMar>
              <w:top w:w="100" w:type="dxa"/>
              <w:left w:w="100" w:type="dxa"/>
              <w:bottom w:w="100" w:type="dxa"/>
              <w:right w:w="100" w:type="dxa"/>
            </w:tcMar>
          </w:tcPr>
          <w:p w:rsidR="00DF6870" w:rsidRPr="000332BE" w:rsidRDefault="00DF6870" w:rsidP="00E17C56">
            <w:pPr>
              <w:widowControl w:val="0"/>
              <w:spacing w:line="240" w:lineRule="auto"/>
              <w:jc w:val="right"/>
              <w:rPr>
                <w:sz w:val="18"/>
                <w:szCs w:val="18"/>
              </w:rPr>
            </w:pPr>
            <w:r w:rsidRPr="000332BE">
              <w:rPr>
                <w:sz w:val="18"/>
                <w:szCs w:val="18"/>
              </w:rPr>
              <w:t>845</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67</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Grassland</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Grassland</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Rangeland, natural grasslands and savannas</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227.3</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156.5</w:t>
            </w:r>
          </w:p>
        </w:tc>
        <w:tc>
          <w:tcPr>
            <w:tcW w:w="850" w:type="dxa"/>
            <w:tcMar>
              <w:top w:w="100" w:type="dxa"/>
              <w:left w:w="100" w:type="dxa"/>
              <w:bottom w:w="100" w:type="dxa"/>
              <w:right w:w="100" w:type="dxa"/>
            </w:tcMar>
          </w:tcPr>
          <w:p w:rsidR="00DF6870" w:rsidRPr="000332BE" w:rsidRDefault="00DF6870" w:rsidP="00E17C56">
            <w:pPr>
              <w:widowControl w:val="0"/>
              <w:spacing w:line="240" w:lineRule="auto"/>
              <w:jc w:val="right"/>
              <w:rPr>
                <w:sz w:val="18"/>
                <w:szCs w:val="18"/>
              </w:rPr>
            </w:pPr>
            <w:r w:rsidRPr="000332BE">
              <w:rPr>
                <w:sz w:val="18"/>
                <w:szCs w:val="18"/>
              </w:rPr>
              <w:t>6887</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45</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Cropland</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Cropland</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Intensive land uses</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56.5</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113.8</w:t>
            </w:r>
          </w:p>
        </w:tc>
        <w:tc>
          <w:tcPr>
            <w:tcW w:w="850" w:type="dxa"/>
            <w:tcMar>
              <w:top w:w="100" w:type="dxa"/>
              <w:left w:w="100" w:type="dxa"/>
              <w:bottom w:w="100" w:type="dxa"/>
              <w:right w:w="100" w:type="dxa"/>
            </w:tcMar>
          </w:tcPr>
          <w:p w:rsidR="00DF6870" w:rsidRPr="000332BE" w:rsidRDefault="00DF6870" w:rsidP="00E17C56">
            <w:pPr>
              <w:widowControl w:val="0"/>
              <w:spacing w:line="240" w:lineRule="auto"/>
              <w:jc w:val="right"/>
              <w:rPr>
                <w:sz w:val="18"/>
                <w:szCs w:val="18"/>
              </w:rPr>
            </w:pPr>
            <w:r w:rsidRPr="000332BE">
              <w:rPr>
                <w:sz w:val="18"/>
                <w:szCs w:val="18"/>
              </w:rPr>
              <w:t>20</w:t>
            </w:r>
            <w:r>
              <w:rPr>
                <w:sz w:val="18"/>
                <w:szCs w:val="18"/>
              </w:rPr>
              <w:t>,</w:t>
            </w:r>
            <w:r w:rsidRPr="000332BE">
              <w:rPr>
                <w:sz w:val="18"/>
                <w:szCs w:val="18"/>
              </w:rPr>
              <w:t>147</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47</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Bare/sparse vegetation</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Bare/sparse vegetation</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Polar-alpine</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181.1</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37.2</w:t>
            </w:r>
          </w:p>
        </w:tc>
        <w:tc>
          <w:tcPr>
            <w:tcW w:w="850" w:type="dxa"/>
            <w:tcMar>
              <w:top w:w="100" w:type="dxa"/>
              <w:left w:w="100" w:type="dxa"/>
              <w:bottom w:w="100" w:type="dxa"/>
              <w:right w:w="100" w:type="dxa"/>
            </w:tcMar>
          </w:tcPr>
          <w:p w:rsidR="00DF6870" w:rsidRPr="000332BE" w:rsidRDefault="00DF6870" w:rsidP="00E17C56">
            <w:pPr>
              <w:widowControl w:val="0"/>
              <w:spacing w:line="240" w:lineRule="auto"/>
              <w:jc w:val="right"/>
              <w:rPr>
                <w:sz w:val="18"/>
                <w:szCs w:val="18"/>
              </w:rPr>
            </w:pPr>
            <w:r w:rsidRPr="000332BE">
              <w:rPr>
                <w:sz w:val="18"/>
                <w:szCs w:val="18"/>
              </w:rPr>
              <w:t>2053</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82</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Snow and ice</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Snow and ice</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Polar-alpine</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4.2</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0.9</w:t>
            </w:r>
          </w:p>
        </w:tc>
        <w:tc>
          <w:tcPr>
            <w:tcW w:w="850" w:type="dxa"/>
            <w:tcMar>
              <w:top w:w="100" w:type="dxa"/>
              <w:left w:w="100" w:type="dxa"/>
              <w:bottom w:w="100" w:type="dxa"/>
              <w:right w:w="100" w:type="dxa"/>
            </w:tcMar>
          </w:tcPr>
          <w:p w:rsidR="00DF6870" w:rsidRDefault="00DF6870" w:rsidP="00E17C56">
            <w:pPr>
              <w:spacing w:line="240" w:lineRule="auto"/>
              <w:jc w:val="right"/>
            </w:pPr>
            <w:r w:rsidRPr="00A71177">
              <w:rPr>
                <w:sz w:val="18"/>
                <w:szCs w:val="18"/>
              </w:rPr>
              <w:t>2053</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59</w:t>
            </w:r>
          </w:p>
        </w:tc>
      </w:tr>
      <w:tr w:rsidR="00DF6870" w:rsidTr="00E17C56">
        <w:trPr>
          <w:trHeight w:val="18"/>
        </w:trPr>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Moss and lichen</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Moss and lichen</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Polar-alpine</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10.7</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2.2</w:t>
            </w:r>
          </w:p>
        </w:tc>
        <w:tc>
          <w:tcPr>
            <w:tcW w:w="850" w:type="dxa"/>
            <w:tcMar>
              <w:top w:w="100" w:type="dxa"/>
              <w:left w:w="100" w:type="dxa"/>
              <w:bottom w:w="100" w:type="dxa"/>
              <w:right w:w="100" w:type="dxa"/>
            </w:tcMar>
          </w:tcPr>
          <w:p w:rsidR="00DF6870" w:rsidRDefault="00DF6870" w:rsidP="00E17C56">
            <w:pPr>
              <w:spacing w:line="240" w:lineRule="auto"/>
              <w:jc w:val="right"/>
            </w:pPr>
            <w:r w:rsidRPr="00A71177">
              <w:rPr>
                <w:sz w:val="18"/>
                <w:szCs w:val="18"/>
              </w:rPr>
              <w:t>2053</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57</w:t>
            </w:r>
          </w:p>
        </w:tc>
      </w:tr>
      <w:tr w:rsidR="00DF6870" w:rsidTr="00E17C56">
        <w:tc>
          <w:tcPr>
            <w:tcW w:w="1550"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Built-up</w:t>
            </w:r>
          </w:p>
        </w:tc>
        <w:tc>
          <w:tcPr>
            <w:tcW w:w="1984"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Built-up</w:t>
            </w:r>
          </w:p>
        </w:tc>
        <w:tc>
          <w:tcPr>
            <w:tcW w:w="2126" w:type="dxa"/>
            <w:tcMar>
              <w:top w:w="100" w:type="dxa"/>
              <w:left w:w="100" w:type="dxa"/>
              <w:bottom w:w="100" w:type="dxa"/>
              <w:right w:w="100" w:type="dxa"/>
            </w:tcMar>
          </w:tcPr>
          <w:p w:rsidR="00DF6870" w:rsidRDefault="00DF6870" w:rsidP="00E17C56">
            <w:pPr>
              <w:widowControl w:val="0"/>
              <w:spacing w:line="240" w:lineRule="auto"/>
              <w:rPr>
                <w:sz w:val="18"/>
                <w:szCs w:val="18"/>
              </w:rPr>
            </w:pPr>
            <w:r>
              <w:rPr>
                <w:sz w:val="18"/>
                <w:szCs w:val="18"/>
              </w:rPr>
              <w:t>Urban and industrial areas</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56.9</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w:t>
            </w:r>
          </w:p>
        </w:tc>
        <w:tc>
          <w:tcPr>
            <w:tcW w:w="850"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sz w:val="18"/>
                <w:szCs w:val="18"/>
              </w:rPr>
            </w:pPr>
            <w:r>
              <w:rPr>
                <w:sz w:val="18"/>
                <w:szCs w:val="18"/>
              </w:rPr>
              <w:t>73</w:t>
            </w:r>
          </w:p>
        </w:tc>
      </w:tr>
      <w:tr w:rsidR="00DF6870" w:rsidTr="00E17C56">
        <w:tc>
          <w:tcPr>
            <w:tcW w:w="5660" w:type="dxa"/>
            <w:gridSpan w:val="3"/>
            <w:tcMar>
              <w:top w:w="100" w:type="dxa"/>
              <w:left w:w="100" w:type="dxa"/>
              <w:bottom w:w="100" w:type="dxa"/>
              <w:right w:w="100" w:type="dxa"/>
            </w:tcMar>
          </w:tcPr>
          <w:p w:rsidR="00DF6870" w:rsidRDefault="00DF6870" w:rsidP="00E17C56">
            <w:pPr>
              <w:widowControl w:val="0"/>
              <w:spacing w:line="240" w:lineRule="auto"/>
              <w:rPr>
                <w:b/>
                <w:sz w:val="18"/>
                <w:szCs w:val="18"/>
              </w:rPr>
            </w:pPr>
            <w:r>
              <w:rPr>
                <w:b/>
                <w:sz w:val="18"/>
                <w:szCs w:val="18"/>
              </w:rPr>
              <w:t>Total</w:t>
            </w:r>
          </w:p>
        </w:tc>
        <w:tc>
          <w:tcPr>
            <w:tcW w:w="1134" w:type="dxa"/>
            <w:tcMar>
              <w:top w:w="100" w:type="dxa"/>
              <w:left w:w="100" w:type="dxa"/>
              <w:bottom w:w="100" w:type="dxa"/>
              <w:right w:w="100" w:type="dxa"/>
            </w:tcMar>
          </w:tcPr>
          <w:p w:rsidR="00DF6870" w:rsidRDefault="00DF6870" w:rsidP="00E17C56">
            <w:pPr>
              <w:widowControl w:val="0"/>
              <w:spacing w:line="240" w:lineRule="auto"/>
              <w:jc w:val="right"/>
              <w:rPr>
                <w:b/>
                <w:sz w:val="18"/>
                <w:szCs w:val="18"/>
              </w:rPr>
            </w:pPr>
            <w:r>
              <w:rPr>
                <w:b/>
                <w:sz w:val="18"/>
                <w:szCs w:val="18"/>
              </w:rPr>
              <w:t>959.7</w:t>
            </w:r>
          </w:p>
        </w:tc>
        <w:tc>
          <w:tcPr>
            <w:tcW w:w="851" w:type="dxa"/>
            <w:tcMar>
              <w:top w:w="100" w:type="dxa"/>
              <w:left w:w="100" w:type="dxa"/>
              <w:bottom w:w="100" w:type="dxa"/>
              <w:right w:w="100" w:type="dxa"/>
            </w:tcMar>
          </w:tcPr>
          <w:p w:rsidR="00DF6870" w:rsidRDefault="00DF6870" w:rsidP="00E17C56">
            <w:pPr>
              <w:widowControl w:val="0"/>
              <w:spacing w:line="240" w:lineRule="auto"/>
              <w:jc w:val="right"/>
              <w:rPr>
                <w:b/>
                <w:sz w:val="18"/>
                <w:szCs w:val="18"/>
              </w:rPr>
            </w:pPr>
            <w:r>
              <w:rPr>
                <w:b/>
                <w:sz w:val="18"/>
                <w:szCs w:val="18"/>
              </w:rPr>
              <w:t>1078.7</w:t>
            </w:r>
          </w:p>
        </w:tc>
        <w:tc>
          <w:tcPr>
            <w:tcW w:w="850" w:type="dxa"/>
            <w:tcMar>
              <w:top w:w="100" w:type="dxa"/>
              <w:left w:w="100" w:type="dxa"/>
              <w:bottom w:w="100" w:type="dxa"/>
              <w:right w:w="100" w:type="dxa"/>
            </w:tcMar>
          </w:tcPr>
          <w:p w:rsidR="00DF6870" w:rsidRDefault="00DF6870" w:rsidP="00E17C56">
            <w:pPr>
              <w:widowControl w:val="0"/>
              <w:spacing w:line="240" w:lineRule="auto"/>
              <w:jc w:val="right"/>
              <w:rPr>
                <w:b/>
                <w:sz w:val="18"/>
                <w:szCs w:val="18"/>
              </w:rPr>
            </w:pPr>
            <w:r>
              <w:rPr>
                <w:b/>
                <w:sz w:val="18"/>
                <w:szCs w:val="18"/>
              </w:rPr>
              <w:t>11,239</w:t>
            </w:r>
          </w:p>
        </w:tc>
        <w:tc>
          <w:tcPr>
            <w:tcW w:w="745" w:type="dxa"/>
            <w:tcMar>
              <w:top w:w="100" w:type="dxa"/>
              <w:left w:w="100" w:type="dxa"/>
              <w:bottom w:w="100" w:type="dxa"/>
              <w:right w:w="100" w:type="dxa"/>
            </w:tcMar>
          </w:tcPr>
          <w:p w:rsidR="00DF6870" w:rsidRDefault="00DF6870" w:rsidP="00E17C56">
            <w:pPr>
              <w:widowControl w:val="0"/>
              <w:spacing w:line="240" w:lineRule="auto"/>
              <w:jc w:val="right"/>
              <w:rPr>
                <w:b/>
                <w:sz w:val="18"/>
                <w:szCs w:val="18"/>
              </w:rPr>
            </w:pPr>
            <w:r>
              <w:rPr>
                <w:b/>
                <w:sz w:val="18"/>
                <w:szCs w:val="18"/>
              </w:rPr>
              <w:t>34</w:t>
            </w:r>
          </w:p>
        </w:tc>
      </w:tr>
    </w:tbl>
    <w:p w:rsidR="00DF6870" w:rsidRDefault="00DF6870" w:rsidP="00DF6870">
      <w:r>
        <w:rPr>
          <w:b/>
        </w:rPr>
        <w:t xml:space="preserve">Supplementary Table 1. </w:t>
      </w:r>
      <w:r>
        <w:t>Land cover classes considered in the study, combining ESA WorldCover (</w:t>
      </w:r>
      <w:proofErr w:type="spellStart"/>
      <w:r>
        <w:t>Zanaga</w:t>
      </w:r>
      <w:proofErr w:type="spellEnd"/>
      <w:r>
        <w:t xml:space="preserve"> et al. 2021) and ESVD biomes (Brander et al. 2024). Summary statistics refer to the sandy coastal zone identified in this study. Notes: * % of coastal zone area along sandy shorelines relative to the entire coastal zone within 4 km of the shoreline. ** if located before the first coastal peak (Athanasiou et al. 2024). *** depending on the climate zone (Beck et al. 2023); **** assumed to have zero value, differently from ESVD.</w:t>
      </w:r>
    </w:p>
    <w:p w:rsidR="00DF6870" w:rsidRDefault="00DF6870" w:rsidP="00DF6870"/>
    <w:p w:rsidR="00DF6870" w:rsidRDefault="00DF6870" w:rsidP="00DF6870">
      <w:r>
        <w:rPr>
          <w:noProof/>
        </w:rPr>
        <w:lastRenderedPageBreak/>
        <w:drawing>
          <wp:inline distT="0" distB="0" distL="0" distR="0" wp14:anchorId="54F3F5D9" wp14:editId="2E2B5ABA">
            <wp:extent cx="4072796" cy="288000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72796" cy="2880000"/>
                    </a:xfrm>
                    <a:prstGeom prst="rect">
                      <a:avLst/>
                    </a:prstGeom>
                    <a:noFill/>
                  </pic:spPr>
                </pic:pic>
              </a:graphicData>
            </a:graphic>
          </wp:inline>
        </w:drawing>
      </w:r>
    </w:p>
    <w:p w:rsidR="00DF6870" w:rsidRDefault="00DF6870" w:rsidP="00DF6870">
      <w:r>
        <w:rPr>
          <w:noProof/>
        </w:rPr>
        <w:drawing>
          <wp:inline distT="0" distB="0" distL="0" distR="0" wp14:anchorId="504463B1" wp14:editId="6AB15A22">
            <wp:extent cx="4066050" cy="288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6050" cy="2880000"/>
                    </a:xfrm>
                    <a:prstGeom prst="rect">
                      <a:avLst/>
                    </a:prstGeom>
                    <a:noFill/>
                  </pic:spPr>
                </pic:pic>
              </a:graphicData>
            </a:graphic>
          </wp:inline>
        </w:drawing>
      </w:r>
    </w:p>
    <w:p w:rsidR="00DF6870" w:rsidRDefault="00DF6870" w:rsidP="00DF6870">
      <w:r>
        <w:rPr>
          <w:b/>
        </w:rPr>
        <w:t xml:space="preserve">Supplementary Figure S1. </w:t>
      </w:r>
      <w:r>
        <w:t xml:space="preserve">Share of different land cover types in </w:t>
      </w:r>
      <w:r>
        <w:rPr>
          <w:b/>
        </w:rPr>
        <w:t xml:space="preserve">(a) </w:t>
      </w:r>
      <w:r>
        <w:t xml:space="preserve">total sandy coastal zone area and </w:t>
      </w:r>
      <w:r>
        <w:rPr>
          <w:b/>
        </w:rPr>
        <w:t>(b)</w:t>
      </w:r>
      <w:r>
        <w:t xml:space="preserve"> value of ecosystem services.</w:t>
      </w:r>
    </w:p>
    <w:p w:rsidR="00DF6870" w:rsidRDefault="00DF6870" w:rsidP="00DF6870"/>
    <w:p w:rsidR="00DF6870" w:rsidRDefault="00DF6870" w:rsidP="00DF6870">
      <w:r>
        <w:rPr>
          <w:noProof/>
        </w:rPr>
        <w:lastRenderedPageBreak/>
        <w:drawing>
          <wp:inline distT="0" distB="0" distL="0" distR="0" wp14:anchorId="30DBCC94" wp14:editId="7B4417C3">
            <wp:extent cx="5099830" cy="288000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9830" cy="2880000"/>
                    </a:xfrm>
                    <a:prstGeom prst="rect">
                      <a:avLst/>
                    </a:prstGeom>
                    <a:noFill/>
                  </pic:spPr>
                </pic:pic>
              </a:graphicData>
            </a:graphic>
          </wp:inline>
        </w:drawing>
      </w:r>
    </w:p>
    <w:p w:rsidR="00DF6870" w:rsidRDefault="00DF6870" w:rsidP="00DF6870">
      <w:pPr>
        <w:rPr>
          <w:highlight w:val="yellow"/>
        </w:rPr>
      </w:pPr>
      <w:r>
        <w:rPr>
          <w:b/>
        </w:rPr>
        <w:t xml:space="preserve">Supplementary Figure S2. </w:t>
      </w:r>
      <w:r>
        <w:t>Share of sandy coast ecosystem services (SCES) by types, with most important subcategories (by present value) highlighted.</w:t>
      </w:r>
    </w:p>
    <w:p w:rsidR="00DF6870" w:rsidRDefault="00DF6870" w:rsidP="00DF6870">
      <w:pPr>
        <w:rPr>
          <w:highlight w:val="yellow"/>
        </w:rPr>
      </w:pPr>
    </w:p>
    <w:p w:rsidR="00DF6870" w:rsidRDefault="00DF6870" w:rsidP="00DF6870">
      <w:r>
        <w:rPr>
          <w:noProof/>
        </w:rPr>
        <w:drawing>
          <wp:inline distT="0" distB="0" distL="0" distR="0" wp14:anchorId="7E509769" wp14:editId="74CD95D8">
            <wp:extent cx="5943600" cy="2483485"/>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5943600" cy="2483485"/>
                    </a:xfrm>
                    <a:prstGeom prst="rect">
                      <a:avLst/>
                    </a:prstGeom>
                    <a:ln/>
                  </pic:spPr>
                </pic:pic>
              </a:graphicData>
            </a:graphic>
          </wp:inline>
        </w:drawing>
      </w:r>
    </w:p>
    <w:p w:rsidR="00DF6870" w:rsidRDefault="00DF6870" w:rsidP="00DF6870">
      <w:r>
        <w:rPr>
          <w:b/>
        </w:rPr>
        <w:t xml:space="preserve">Supplementary Figure S3. </w:t>
      </w:r>
      <w:r>
        <w:t xml:space="preserve">Share of present value of SCES as % of ecosystem services in all coastal zones, by country. </w:t>
      </w:r>
    </w:p>
    <w:p w:rsidR="00DF6870" w:rsidRDefault="00DF6870" w:rsidP="00DF6870">
      <w:pPr>
        <w:rPr>
          <w:highlight w:val="yellow"/>
        </w:rPr>
      </w:pPr>
    </w:p>
    <w:p w:rsidR="00DF6870" w:rsidRDefault="00DF6870" w:rsidP="00DF6870">
      <w:pPr>
        <w:rPr>
          <w:highlight w:val="yellow"/>
        </w:rPr>
      </w:pPr>
      <w:r>
        <w:rPr>
          <w:noProof/>
        </w:rPr>
        <w:lastRenderedPageBreak/>
        <w:drawing>
          <wp:inline distT="0" distB="0" distL="0" distR="0" wp14:anchorId="0DFA85AB" wp14:editId="5EE6B0E2">
            <wp:extent cx="5943600" cy="24606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60625"/>
                    </a:xfrm>
                    <a:prstGeom prst="rect">
                      <a:avLst/>
                    </a:prstGeom>
                  </pic:spPr>
                </pic:pic>
              </a:graphicData>
            </a:graphic>
          </wp:inline>
        </w:drawing>
      </w:r>
    </w:p>
    <w:p w:rsidR="00DF6870" w:rsidRDefault="00DF6870" w:rsidP="00DF6870">
      <w:r>
        <w:rPr>
          <w:b/>
        </w:rPr>
        <w:t xml:space="preserve">Supplementary Figure S4. </w:t>
      </w:r>
      <w:r>
        <w:t>Relative present value of SCES by country as % of gross domestic product (GDP).</w:t>
      </w:r>
    </w:p>
    <w:p w:rsidR="00DF6870" w:rsidRDefault="00DF6870" w:rsidP="00DF6870"/>
    <w:p w:rsidR="00DF6870" w:rsidRDefault="00DF6870" w:rsidP="00DF6870">
      <w:r>
        <w:rPr>
          <w:b/>
        </w:rPr>
        <w:t>Supplementary Text S1. Sensitivity analysis.</w:t>
      </w:r>
      <w:r>
        <w:t xml:space="preserve"> As detailed above, we quantified the uncertainty related to ecosystem service valuation and the erosion projections (Supplementary Fig. S6a). We further </w:t>
      </w:r>
      <w:proofErr w:type="spellStart"/>
      <w:r>
        <w:t>analysed</w:t>
      </w:r>
      <w:proofErr w:type="spellEnd"/>
      <w:r>
        <w:t xml:space="preserve"> the sensitivity of the results to various other model assumptions (Supplementary Fig. S6b). In the study, we use the maximum elevation between the two digital elevation models (DEMs). This results in a more conservative estimate, 4-7% lower than when using any of the two DEMs separately. We assumed that the topographical barrier equals an elevation of 10 m (typically assumed limit of coastal zones), but changing it to either 5 or 20 m influences the results only by a few percent. The results are also not very sensitive to artificial barriers, at least on a global scale. The lack of coastal squeeze due to build-up areas would allow more backshore migration, but cause more losses in the hinterland and also have limited benefit where topography anyway creates a barrier to erosion. Without any constraints to beach migration, losses would be 8-14% higher, as less erosion to coastal systems would be offset by much higher loss of all other biomes (by more than 50% in the most extreme scenario). The effect would be further compounded without beach migration: unlimited erosion and no migration would nearly double the estimated losses (Supplementary Fig. S6b)</w:t>
      </w:r>
      <w:r>
        <w:t>.</w:t>
      </w:r>
    </w:p>
    <w:p w:rsidR="00DF6870" w:rsidRDefault="00DF6870" w:rsidP="00DF6870"/>
    <w:p w:rsidR="00DF6870" w:rsidRDefault="00DF6870">
      <w:pPr>
        <w:spacing w:after="160" w:line="259" w:lineRule="auto"/>
        <w:rPr>
          <w:highlight w:val="yellow"/>
        </w:rPr>
      </w:pPr>
      <w:r>
        <w:rPr>
          <w:highlight w:val="yellow"/>
        </w:rPr>
        <w:br w:type="page"/>
      </w:r>
    </w:p>
    <w:p w:rsidR="00DF6870" w:rsidRDefault="00DF6870" w:rsidP="00DF6870">
      <w:pPr>
        <w:rPr>
          <w:highlight w:val="yellow"/>
        </w:rPr>
      </w:pPr>
      <w:bookmarkStart w:id="0" w:name="_GoBack"/>
      <w:bookmarkEnd w:id="0"/>
      <w:r>
        <w:rPr>
          <w:noProof/>
        </w:rPr>
        <w:lastRenderedPageBreak/>
        <w:drawing>
          <wp:inline distT="0" distB="0" distL="0" distR="0" wp14:anchorId="531CBE0B" wp14:editId="10B39413">
            <wp:extent cx="5943600" cy="22352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943600" cy="2235200"/>
                    </a:xfrm>
                    <a:prstGeom prst="rect">
                      <a:avLst/>
                    </a:prstGeom>
                    <a:ln/>
                  </pic:spPr>
                </pic:pic>
              </a:graphicData>
            </a:graphic>
          </wp:inline>
        </w:drawing>
      </w:r>
    </w:p>
    <w:p w:rsidR="00DF6870" w:rsidRDefault="00DF6870" w:rsidP="00DF6870">
      <w:r>
        <w:rPr>
          <w:b/>
        </w:rPr>
        <w:t xml:space="preserve">Supplementary Figure S5. </w:t>
      </w:r>
      <w:r>
        <w:t xml:space="preserve">Loss of SCES by country groups relative to GDP </w:t>
      </w:r>
      <w:r>
        <w:rPr>
          <w:b/>
        </w:rPr>
        <w:t>(</w:t>
      </w:r>
      <w:proofErr w:type="spellStart"/>
      <w:proofErr w:type="gramStart"/>
      <w:r>
        <w:rPr>
          <w:b/>
        </w:rPr>
        <w:t>a,b</w:t>
      </w:r>
      <w:proofErr w:type="spellEnd"/>
      <w:proofErr w:type="gramEnd"/>
      <w:r>
        <w:rPr>
          <w:b/>
        </w:rPr>
        <w:t>)</w:t>
      </w:r>
      <w:r>
        <w:t xml:space="preserve"> and relative to existing value in % </w:t>
      </w:r>
      <w:r>
        <w:rPr>
          <w:b/>
        </w:rPr>
        <w:t>(</w:t>
      </w:r>
      <w:proofErr w:type="spellStart"/>
      <w:r>
        <w:rPr>
          <w:b/>
        </w:rPr>
        <w:t>c,d</w:t>
      </w:r>
      <w:proofErr w:type="spellEnd"/>
      <w:r>
        <w:rPr>
          <w:b/>
        </w:rPr>
        <w:t xml:space="preserve">). </w:t>
      </w:r>
      <w:r>
        <w:t xml:space="preserve">Countries are grouped by their Small Island Development States (SIDS) status or lack thereof </w:t>
      </w:r>
      <w:r>
        <w:rPr>
          <w:b/>
        </w:rPr>
        <w:t>(</w:t>
      </w:r>
      <w:proofErr w:type="spellStart"/>
      <w:proofErr w:type="gramStart"/>
      <w:r>
        <w:rPr>
          <w:b/>
        </w:rPr>
        <w:t>a,c</w:t>
      </w:r>
      <w:proofErr w:type="spellEnd"/>
      <w:proofErr w:type="gramEnd"/>
      <w:r>
        <w:rPr>
          <w:b/>
        </w:rPr>
        <w:t>)</w:t>
      </w:r>
      <w:r>
        <w:t xml:space="preserve"> and by World Bank income groups </w:t>
      </w:r>
      <w:r>
        <w:rPr>
          <w:b/>
        </w:rPr>
        <w:t>(</w:t>
      </w:r>
      <w:proofErr w:type="spellStart"/>
      <w:r>
        <w:rPr>
          <w:b/>
        </w:rPr>
        <w:t>b,d</w:t>
      </w:r>
      <w:proofErr w:type="spellEnd"/>
      <w:r>
        <w:rPr>
          <w:b/>
        </w:rPr>
        <w:t>)</w:t>
      </w:r>
      <w:r>
        <w:t>. Colors indicate different warming scenarios and the shading indicates timesteps of the analysis (2050, 2100, 2150).</w:t>
      </w:r>
    </w:p>
    <w:p w:rsidR="00DF6870" w:rsidRDefault="00DF6870" w:rsidP="00DF6870"/>
    <w:p w:rsidR="00DF6870" w:rsidRDefault="00DF6870" w:rsidP="00DF6870">
      <w:r>
        <w:rPr>
          <w:noProof/>
        </w:rPr>
        <w:drawing>
          <wp:inline distT="114300" distB="114300" distL="114300" distR="114300" wp14:anchorId="54445BD7" wp14:editId="5D84371F">
            <wp:extent cx="5943600" cy="3771900"/>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5943600" cy="3771900"/>
                    </a:xfrm>
                    <a:prstGeom prst="rect">
                      <a:avLst/>
                    </a:prstGeom>
                    <a:ln/>
                  </pic:spPr>
                </pic:pic>
              </a:graphicData>
            </a:graphic>
          </wp:inline>
        </w:drawing>
      </w:r>
    </w:p>
    <w:p w:rsidR="00DF6870" w:rsidRDefault="00DF6870" w:rsidP="00DF6870">
      <w:r>
        <w:rPr>
          <w:b/>
        </w:rPr>
        <w:t xml:space="preserve">Supplementary Figure S6. </w:t>
      </w:r>
      <w:r>
        <w:t xml:space="preserve">Uncertainty and sensitivity of the absolute ecosystem service losses, as % difference from the main scenario. Uncertainty is quantified for different percentiles of the erosion model (Erosion) and ecosystem service valuation (ESV) </w:t>
      </w:r>
      <w:r>
        <w:rPr>
          <w:b/>
        </w:rPr>
        <w:t>(a)</w:t>
      </w:r>
      <w:r>
        <w:t xml:space="preserve">. Sensitivity analysis indicates the effect of various alternative model assumptions on the results </w:t>
      </w:r>
      <w:r>
        <w:rPr>
          <w:b/>
        </w:rPr>
        <w:t>(b)</w:t>
      </w:r>
      <w:r>
        <w:t>.</w:t>
      </w:r>
    </w:p>
    <w:p w:rsidR="00DF6870" w:rsidRDefault="00DF6870" w:rsidP="00DF6870"/>
    <w:p w:rsidR="00DF6870" w:rsidRDefault="00DF6870" w:rsidP="00DF6870">
      <w:r>
        <w:rPr>
          <w:noProof/>
        </w:rPr>
        <w:lastRenderedPageBreak/>
        <w:drawing>
          <wp:inline distT="0" distB="0" distL="0" distR="0" wp14:anchorId="34438F4E" wp14:editId="1EDD8485">
            <wp:extent cx="5943600" cy="3343275"/>
            <wp:effectExtent l="0" t="0" r="0" b="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5943600" cy="3343275"/>
                    </a:xfrm>
                    <a:prstGeom prst="rect">
                      <a:avLst/>
                    </a:prstGeom>
                    <a:ln/>
                  </pic:spPr>
                </pic:pic>
              </a:graphicData>
            </a:graphic>
          </wp:inline>
        </w:drawing>
      </w:r>
    </w:p>
    <w:p w:rsidR="00DF6870" w:rsidRDefault="00DF6870" w:rsidP="00DF6870">
      <w:r>
        <w:rPr>
          <w:b/>
        </w:rPr>
        <w:t xml:space="preserve">Supplementary Figure S7. </w:t>
      </w:r>
      <w:r>
        <w:t xml:space="preserve">Erosion of land cover in </w:t>
      </w:r>
      <w:r>
        <w:rPr>
          <w:b/>
        </w:rPr>
        <w:t>(a)</w:t>
      </w:r>
      <w:r>
        <w:t xml:space="preserve"> the absence of a coastal system, and </w:t>
      </w:r>
      <w:r>
        <w:rPr>
          <w:b/>
        </w:rPr>
        <w:t>(b)</w:t>
      </w:r>
      <w:r>
        <w:t xml:space="preserve"> in the presence of a coastal system under backshore migration assumption</w:t>
      </w:r>
      <w:r>
        <w:rPr>
          <w:b/>
        </w:rPr>
        <w:t>.</w:t>
      </w:r>
      <w:r>
        <w:t xml:space="preserve"> </w:t>
      </w:r>
    </w:p>
    <w:p w:rsidR="00EA4464" w:rsidRDefault="00EA4464"/>
    <w:sectPr w:rsidR="00EA4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0"/>
    <w:rsid w:val="00392BB1"/>
    <w:rsid w:val="00DF6870"/>
    <w:rsid w:val="00EA446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8E26"/>
  <w15:chartTrackingRefBased/>
  <w15:docId w15:val="{69558C8F-9F2B-435F-B3B3-0BB3FF0B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870"/>
    <w:pPr>
      <w:spacing w:after="0" w:line="276" w:lineRule="auto"/>
    </w:pPr>
    <w:rPr>
      <w:rFonts w:ascii="Arial" w:eastAsia="Arial" w:hAnsi="Arial" w:cs="Arial"/>
      <w:lang w:val="en" w:eastAsia="en-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Paprotny</dc:creator>
  <cp:keywords/>
  <dc:description/>
  <cp:lastModifiedBy>Dominik Paprotny</cp:lastModifiedBy>
  <cp:revision>1</cp:revision>
  <dcterms:created xsi:type="dcterms:W3CDTF">2025-05-21T11:02:00Z</dcterms:created>
  <dcterms:modified xsi:type="dcterms:W3CDTF">2025-05-21T11:06:00Z</dcterms:modified>
</cp:coreProperties>
</file>