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DA5A2" w14:textId="77777777" w:rsidR="002E626B" w:rsidRPr="007F63AE" w:rsidRDefault="002E626B" w:rsidP="002E626B">
      <w:pPr>
        <w:rPr>
          <w:rFonts w:ascii="Arial" w:hAnsi="Arial" w:cs="Arial"/>
          <w:b/>
          <w:bCs/>
        </w:rPr>
      </w:pPr>
      <w:r w:rsidRPr="007F63AE">
        <w:rPr>
          <w:rFonts w:ascii="Arial" w:hAnsi="Arial" w:cs="Arial"/>
          <w:b/>
          <w:bCs/>
        </w:rPr>
        <w:t>Supplemental Figures:</w:t>
      </w:r>
    </w:p>
    <w:p w14:paraId="31480DDF" w14:textId="77777777" w:rsidR="002E626B" w:rsidRDefault="002E626B" w:rsidP="002E626B">
      <w:pPr>
        <w:spacing w:after="0"/>
        <w:rPr>
          <w:rFonts w:ascii="Arial" w:hAnsi="Arial" w:cs="Arial"/>
        </w:rPr>
      </w:pPr>
      <w:r w:rsidRPr="00EB1E50">
        <w:rPr>
          <w:rFonts w:ascii="Arial" w:hAnsi="Arial" w:cs="Arial"/>
        </w:rPr>
        <w:object w:dxaOrig="9259" w:dyaOrig="5342" w14:anchorId="2FDE0F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3.5pt;height:197.65pt" o:ole="">
            <v:imagedata r:id="rId4" o:title=""/>
          </v:shape>
          <o:OLEObject Type="Embed" ProgID="Prism9.Document" ShapeID="_x0000_i1025" DrawAspect="Content" ObjectID="_1686552169" r:id="rId5"/>
        </w:object>
      </w:r>
    </w:p>
    <w:p w14:paraId="3448EB92" w14:textId="77777777" w:rsidR="002E626B" w:rsidRPr="007F63AE" w:rsidRDefault="002E626B" w:rsidP="002E626B">
      <w:pPr>
        <w:spacing w:after="0"/>
        <w:ind w:right="2790"/>
        <w:jc w:val="both"/>
        <w:rPr>
          <w:rFonts w:ascii="Arial" w:hAnsi="Arial" w:cs="Arial"/>
          <w:sz w:val="18"/>
          <w:szCs w:val="18"/>
        </w:rPr>
      </w:pPr>
      <w:r w:rsidRPr="007F63AE">
        <w:rPr>
          <w:rFonts w:ascii="Arial" w:hAnsi="Arial" w:cs="Arial"/>
          <w:b/>
          <w:bCs/>
          <w:sz w:val="18"/>
          <w:szCs w:val="18"/>
        </w:rPr>
        <w:t>Supplemental Figure 1.</w:t>
      </w:r>
      <w:r w:rsidRPr="007F63A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F63AE">
        <w:rPr>
          <w:rFonts w:ascii="Arial" w:hAnsi="Arial" w:cs="Arial"/>
          <w:sz w:val="18"/>
          <w:szCs w:val="18"/>
        </w:rPr>
        <w:t>qRT</w:t>
      </w:r>
      <w:proofErr w:type="spellEnd"/>
      <w:r w:rsidRPr="007F63AE">
        <w:rPr>
          <w:rFonts w:ascii="Arial" w:hAnsi="Arial" w:cs="Arial"/>
          <w:sz w:val="18"/>
          <w:szCs w:val="18"/>
        </w:rPr>
        <w:t xml:space="preserve">-PCR Ct values as a function of SARS-CoV-2 RNA genome reference material. The virus copy number on the x-axis is adjusted for the volume used in a RDT cassette where 10% of the volume is extraction buffer. This indicate that the LOD (virus genome copies) on clinical samples is very similar to the heat-inactivated SARS-CoV-2 reference material, where the lateral flow RDT assay LOD is around 35-40,000 RNA copies per cassette.  </w:t>
      </w:r>
    </w:p>
    <w:p w14:paraId="6C82056C" w14:textId="77777777" w:rsidR="002E626B" w:rsidRPr="004235EE" w:rsidRDefault="002E626B" w:rsidP="002E626B">
      <w:pPr>
        <w:ind w:right="2070"/>
        <w:jc w:val="both"/>
        <w:rPr>
          <w:rFonts w:ascii="Arial" w:hAnsi="Arial" w:cs="Arial"/>
          <w:sz w:val="20"/>
          <w:szCs w:val="20"/>
        </w:rPr>
      </w:pPr>
    </w:p>
    <w:p w14:paraId="5316E1B7" w14:textId="77777777" w:rsidR="008E0E99" w:rsidRDefault="002E626B"/>
    <w:sectPr w:rsidR="008E0E99" w:rsidSect="00940FEF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26B"/>
    <w:rsid w:val="0001461A"/>
    <w:rsid w:val="002E626B"/>
    <w:rsid w:val="00F5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854C1"/>
  <w15:chartTrackingRefBased/>
  <w15:docId w15:val="{85873D7D-0541-4D6E-B557-49E291E61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Frew</dc:creator>
  <cp:keywords/>
  <dc:description/>
  <cp:lastModifiedBy>Erica Frew</cp:lastModifiedBy>
  <cp:revision>1</cp:revision>
  <dcterms:created xsi:type="dcterms:W3CDTF">2021-06-30T13:56:00Z</dcterms:created>
  <dcterms:modified xsi:type="dcterms:W3CDTF">2021-06-30T13:56:00Z</dcterms:modified>
</cp:coreProperties>
</file>