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4AA1" w14:textId="77777777" w:rsidR="001F43C7" w:rsidRPr="001F43C7" w:rsidRDefault="001F43C7" w:rsidP="001F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Comparative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Analysis of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Indocyanine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Green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and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Methylene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Blue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for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Sentinel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Lymph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Node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Mapping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in V-NOTES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Staging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Surgery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for</w:t>
      </w:r>
      <w:proofErr w:type="spellEnd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Endometrial </w:t>
      </w:r>
      <w:proofErr w:type="spellStart"/>
      <w:r w:rsidRPr="001F43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Cancer</w:t>
      </w:r>
      <w:proofErr w:type="spellEnd"/>
    </w:p>
    <w:p w14:paraId="206ED226" w14:textId="77777777" w:rsidR="000E05BC" w:rsidRPr="007F7517" w:rsidRDefault="000E05BC" w:rsidP="000E05BC">
      <w:pPr>
        <w:suppressLineNumbers/>
        <w:spacing w:before="100" w:beforeAutospacing="1" w:after="100" w:afterAutospacing="1" w:line="48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7F7517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Kevser ARKAN ¹, Ali Deniz ERKMEN ¹, </w:t>
      </w:r>
      <w:r w:rsidRPr="007F7517">
        <w:rPr>
          <w:rFonts w:ascii="Times New Roman" w:eastAsia="Times New Roman" w:hAnsi="Times New Roman" w:cs="Times New Roman"/>
          <w:kern w:val="0"/>
          <w:sz w:val="20"/>
          <w:szCs w:val="20"/>
          <w:lang w:val="en-US" w:eastAsia="tr-TR"/>
          <w14:ligatures w14:val="none"/>
        </w:rPr>
        <w:t>Mesut Ali HALISCELIK¹,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tr-TR"/>
          <w14:ligatures w14:val="none"/>
        </w:rPr>
        <w:t>Seyhmus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tr-TR"/>
          <w14:ligatures w14:val="none"/>
        </w:rPr>
        <w:t xml:space="preserve"> TUNC²,</w:t>
      </w:r>
      <w:r w:rsidRPr="007F7517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F7517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Gul</w:t>
      </w:r>
      <w:proofErr w:type="spellEnd"/>
      <w:r w:rsidRPr="007F7517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CAVUSOGLU COLAK²</w:t>
      </w:r>
      <w:r w:rsidRPr="007F751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, Sedat AKGOL¹, </w:t>
      </w:r>
      <w:proofErr w:type="spellStart"/>
      <w:r w:rsidRPr="007F751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Behzat</w:t>
      </w:r>
      <w:proofErr w:type="spellEnd"/>
      <w:r w:rsidRPr="007F751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CAN¹</w:t>
      </w:r>
    </w:p>
    <w:p w14:paraId="3B117FA4" w14:textId="77777777" w:rsidR="000E05BC" w:rsidRDefault="000E05BC" w:rsidP="000E05BC">
      <w:pPr>
        <w:suppressLineNumber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tr-TR"/>
          <w14:ligatures w14:val="none"/>
        </w:rPr>
        <w:t>Highlights</w:t>
      </w:r>
    </w:p>
    <w:p w14:paraId="295A816F" w14:textId="77777777" w:rsidR="000E05BC" w:rsidRDefault="000E05BC" w:rsidP="000E05BC">
      <w:pPr>
        <w:pStyle w:val="ListeParagraf"/>
        <w:numPr>
          <w:ilvl w:val="0"/>
          <w:numId w:val="1"/>
        </w:numPr>
        <w:suppressLineNumber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  <w:t>ICG provided a significantly higher SLN detection rate for endometrial cancer staging with V-NOTES (95% vs. 82.5%).</w:t>
      </w:r>
    </w:p>
    <w:p w14:paraId="10244469" w14:textId="77777777" w:rsidR="000E05BC" w:rsidRDefault="000E05BC" w:rsidP="000E05BC">
      <w:pPr>
        <w:pStyle w:val="ListeParagraf"/>
        <w:numPr>
          <w:ilvl w:val="0"/>
          <w:numId w:val="1"/>
        </w:numPr>
        <w:suppressLineNumber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  <w:t>The mean number of SLNs detected in the ICG group (3.2 ± 1.1) was significantly higher than in the methylene blue group (2.5 ± 0.9).</w:t>
      </w:r>
    </w:p>
    <w:p w14:paraId="5A6135C0" w14:textId="77777777" w:rsidR="000E05BC" w:rsidRDefault="000E05BC" w:rsidP="000E05BC">
      <w:pPr>
        <w:pStyle w:val="ListeParagraf"/>
        <w:numPr>
          <w:ilvl w:val="0"/>
          <w:numId w:val="1"/>
        </w:numPr>
        <w:suppressLineNumber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  <w:t>The detection rate of bilateral SLNs was higher with ICG but not statistically significant (p=0.112).</w:t>
      </w:r>
    </w:p>
    <w:p w14:paraId="5E57FD23" w14:textId="77777777" w:rsidR="000E05BC" w:rsidRDefault="000E05BC" w:rsidP="000E05BC">
      <w:pPr>
        <w:pStyle w:val="ListeParagraf"/>
        <w:numPr>
          <w:ilvl w:val="0"/>
          <w:numId w:val="1"/>
        </w:numPr>
        <w:suppressLineNumber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  <w:t>The real-time imaging advantage of ICG suggests that it is a promising SLN marker in minimally invasive approaches.</w:t>
      </w:r>
    </w:p>
    <w:p w14:paraId="70970140" w14:textId="77777777" w:rsidR="000E05BC" w:rsidRPr="004637AC" w:rsidRDefault="000E05BC" w:rsidP="000E05BC">
      <w:pPr>
        <w:pStyle w:val="ListeParagraf"/>
        <w:numPr>
          <w:ilvl w:val="0"/>
          <w:numId w:val="1"/>
        </w:numPr>
        <w:suppressLineNumber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  <w:t>The number of positive SLNs was similar in both groups, suggesting that both agents may have similar accuracy in detecting metastases.</w:t>
      </w:r>
    </w:p>
    <w:p w14:paraId="2423C655" w14:textId="77777777" w:rsidR="00D55F93" w:rsidRDefault="00D55F93"/>
    <w:sectPr w:rsidR="00D5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1F5"/>
    <w:multiLevelType w:val="hybridMultilevel"/>
    <w:tmpl w:val="42868B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02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C"/>
    <w:rsid w:val="000E05BC"/>
    <w:rsid w:val="001F43C7"/>
    <w:rsid w:val="006052D1"/>
    <w:rsid w:val="008C1633"/>
    <w:rsid w:val="00D55F93"/>
    <w:rsid w:val="00E9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0CA8"/>
  <w15:chartTrackingRefBased/>
  <w15:docId w15:val="{92EE6793-90CE-48EE-AAEF-9D343DEF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8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BC"/>
    <w:rPr>
      <w:rFonts w:asciiTheme="minorHAnsi" w:hAnsiTheme="minorHAnsi" w:cstheme="minorBidi"/>
      <w:b w:val="0"/>
      <w:bCs w:val="0"/>
      <w:color w:val="auto"/>
      <w:kern w:val="2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0E0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0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0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0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0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0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0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0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05BC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05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05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05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05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05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05B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0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05B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0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05B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Alnt">
    <w:name w:val="Quote"/>
    <w:basedOn w:val="Normal"/>
    <w:next w:val="Normal"/>
    <w:link w:val="AlntChar"/>
    <w:uiPriority w:val="29"/>
    <w:qFormat/>
    <w:rsid w:val="000E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05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05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05B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05B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05BC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E. ARKAN</dc:creator>
  <cp:keywords/>
  <dc:description/>
  <cp:lastModifiedBy>TOLGA E. ARKAN</cp:lastModifiedBy>
  <cp:revision>2</cp:revision>
  <dcterms:created xsi:type="dcterms:W3CDTF">2025-05-11T07:55:00Z</dcterms:created>
  <dcterms:modified xsi:type="dcterms:W3CDTF">2025-05-21T07:57:00Z</dcterms:modified>
</cp:coreProperties>
</file>