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D2F667" w14:textId="326A55CD" w:rsidR="001B3D9A" w:rsidRDefault="00C97003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97003">
        <w:rPr>
          <w:rFonts w:ascii="Times New Roman" w:hAnsi="Times New Roman" w:cs="Times New Roman"/>
          <w:b/>
          <w:bCs/>
          <w:sz w:val="24"/>
          <w:szCs w:val="24"/>
          <w:u w:val="single"/>
        </w:rPr>
        <w:t>Supplemental information</w:t>
      </w:r>
    </w:p>
    <w:p w14:paraId="6E6FC86D" w14:textId="77777777" w:rsidR="00C97003" w:rsidRDefault="00C97003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74A26DD8" w14:textId="77777777" w:rsidR="00857DBC" w:rsidRPr="00857DBC" w:rsidRDefault="00857DBC" w:rsidP="00857DBC">
      <w:pPr>
        <w:spacing w:after="120"/>
        <w:rPr>
          <w:rFonts w:ascii="Times New Roman" w:hAnsi="Times New Roman" w:cs="Times New Roman"/>
          <w:b/>
          <w:bCs/>
        </w:rPr>
      </w:pPr>
      <w:r w:rsidRPr="00857DBC">
        <w:rPr>
          <w:rFonts w:ascii="Times New Roman" w:hAnsi="Times New Roman" w:cs="Times New Roman"/>
          <w:b/>
          <w:bCs/>
        </w:rPr>
        <w:t>Targeted Nanoencapsulation of Tunicamycin Reduces Toxicity While Improving its Therapeutic Effectiveness in Pancreatic Cancer Cells</w:t>
      </w:r>
    </w:p>
    <w:p w14:paraId="719A37CD" w14:textId="35E20119" w:rsidR="001B3D9A" w:rsidRDefault="001B3D9A" w:rsidP="001B3D9A">
      <w:pPr>
        <w:spacing w:after="120"/>
        <w:rPr>
          <w:rFonts w:ascii="Times New Roman" w:hAnsi="Times New Roman" w:cs="Times New Roman"/>
          <w:sz w:val="24"/>
          <w:szCs w:val="24"/>
          <w:vertAlign w:val="superscript"/>
        </w:rPr>
      </w:pPr>
      <w:r w:rsidRPr="001B3D9A">
        <w:rPr>
          <w:rFonts w:ascii="Times New Roman" w:hAnsi="Times New Roman" w:cs="Times New Roman"/>
          <w:sz w:val="24"/>
          <w:szCs w:val="24"/>
        </w:rPr>
        <w:t>Debasmita Dutta</w:t>
      </w:r>
      <w:r w:rsidRPr="001B3D9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242B3E"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 w:rsidRPr="001B3D9A">
        <w:rPr>
          <w:rFonts w:ascii="Times New Roman" w:hAnsi="Times New Roman" w:cs="Times New Roman"/>
          <w:sz w:val="24"/>
          <w:szCs w:val="24"/>
        </w:rPr>
        <w:t xml:space="preserve">, </w:t>
      </w:r>
      <w:r w:rsidR="00242B3E" w:rsidRPr="001B3D9A">
        <w:rPr>
          <w:rFonts w:ascii="Times New Roman" w:hAnsi="Times New Roman" w:cs="Times New Roman"/>
          <w:sz w:val="24"/>
          <w:szCs w:val="24"/>
        </w:rPr>
        <w:t>Sunil Upadhayay</w:t>
      </w:r>
      <w:r w:rsidR="00242B3E" w:rsidRPr="001B3D9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242B3E"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 w:rsidR="00242B3E" w:rsidRPr="001B3D9A">
        <w:rPr>
          <w:rFonts w:ascii="Times New Roman" w:hAnsi="Times New Roman" w:cs="Times New Roman"/>
          <w:sz w:val="24"/>
          <w:szCs w:val="24"/>
        </w:rPr>
        <w:t xml:space="preserve">, </w:t>
      </w:r>
      <w:r w:rsidRPr="001B3D9A">
        <w:rPr>
          <w:rFonts w:ascii="Times New Roman" w:hAnsi="Times New Roman" w:cs="Times New Roman"/>
          <w:sz w:val="24"/>
          <w:szCs w:val="24"/>
        </w:rPr>
        <w:t>Archana De</w:t>
      </w:r>
      <w:r w:rsidRPr="001B3D9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1B3D9A">
        <w:rPr>
          <w:rFonts w:ascii="Times New Roman" w:hAnsi="Times New Roman" w:cs="Times New Roman"/>
          <w:sz w:val="24"/>
          <w:szCs w:val="24"/>
        </w:rPr>
        <w:t>, Inamul Haque</w:t>
      </w:r>
      <w:r w:rsidRPr="001B3D9A">
        <w:rPr>
          <w:rFonts w:ascii="Times New Roman" w:hAnsi="Times New Roman" w:cs="Times New Roman"/>
          <w:sz w:val="24"/>
          <w:szCs w:val="24"/>
          <w:vertAlign w:val="superscript"/>
        </w:rPr>
        <w:t>2,3</w:t>
      </w:r>
      <w:r w:rsidRPr="001B3D9A">
        <w:rPr>
          <w:rFonts w:ascii="Times New Roman" w:hAnsi="Times New Roman" w:cs="Times New Roman"/>
          <w:sz w:val="24"/>
          <w:szCs w:val="24"/>
        </w:rPr>
        <w:t>, Axel H. Breier</w:t>
      </w:r>
      <w:r w:rsidRPr="001B3D9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1B3D9A">
        <w:rPr>
          <w:rFonts w:ascii="Times New Roman" w:hAnsi="Times New Roman" w:cs="Times New Roman"/>
          <w:sz w:val="24"/>
          <w:szCs w:val="24"/>
        </w:rPr>
        <w:t>, Alok De</w:t>
      </w:r>
      <w:r w:rsidRPr="001B3D9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1B3D9A">
        <w:rPr>
          <w:rFonts w:ascii="Times New Roman" w:hAnsi="Times New Roman" w:cs="Times New Roman"/>
          <w:sz w:val="24"/>
          <w:szCs w:val="24"/>
        </w:rPr>
        <w:t>, Daniel J. Mettman</w:t>
      </w:r>
      <w:r w:rsidRPr="001B3D9A">
        <w:rPr>
          <w:rFonts w:ascii="Times New Roman" w:hAnsi="Times New Roman" w:cs="Times New Roman"/>
          <w:sz w:val="24"/>
          <w:szCs w:val="24"/>
          <w:vertAlign w:val="superscript"/>
        </w:rPr>
        <w:t>2,4,5</w:t>
      </w:r>
      <w:r w:rsidRPr="001B3D9A">
        <w:rPr>
          <w:rFonts w:ascii="Times New Roman" w:hAnsi="Times New Roman" w:cs="Times New Roman"/>
          <w:sz w:val="24"/>
          <w:szCs w:val="24"/>
        </w:rPr>
        <w:t>, Suman Kambhampati</w:t>
      </w:r>
      <w:r w:rsidRPr="001B3D9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1B3D9A">
        <w:rPr>
          <w:rFonts w:ascii="Times New Roman" w:hAnsi="Times New Roman" w:cs="Times New Roman"/>
          <w:sz w:val="24"/>
          <w:szCs w:val="24"/>
        </w:rPr>
        <w:t>, Mohiuddin Quadir</w:t>
      </w:r>
      <w:r w:rsidRPr="001B3D9A">
        <w:rPr>
          <w:rFonts w:ascii="Times New Roman" w:hAnsi="Times New Roman" w:cs="Times New Roman"/>
          <w:sz w:val="24"/>
          <w:szCs w:val="24"/>
          <w:vertAlign w:val="superscript"/>
        </w:rPr>
        <w:t>1*</w:t>
      </w:r>
      <w:r w:rsidRPr="001B3D9A">
        <w:rPr>
          <w:rFonts w:ascii="Times New Roman" w:hAnsi="Times New Roman" w:cs="Times New Roman"/>
          <w:sz w:val="24"/>
          <w:szCs w:val="24"/>
        </w:rPr>
        <w:t>, Francisco Diaz</w:t>
      </w:r>
      <w:r w:rsidRPr="001B3D9A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1B3D9A">
        <w:rPr>
          <w:rFonts w:ascii="Times New Roman" w:hAnsi="Times New Roman" w:cs="Times New Roman"/>
          <w:sz w:val="24"/>
          <w:szCs w:val="24"/>
        </w:rPr>
        <w:t>, Sushanta K Banerjee</w:t>
      </w:r>
      <w:r w:rsidRPr="001B3D9A">
        <w:rPr>
          <w:rFonts w:ascii="Times New Roman" w:hAnsi="Times New Roman" w:cs="Times New Roman"/>
          <w:sz w:val="24"/>
          <w:szCs w:val="24"/>
          <w:vertAlign w:val="superscript"/>
        </w:rPr>
        <w:t>2,5*</w:t>
      </w:r>
      <w:r w:rsidRPr="001B3D9A">
        <w:rPr>
          <w:rFonts w:ascii="Times New Roman" w:hAnsi="Times New Roman" w:cs="Times New Roman"/>
          <w:sz w:val="24"/>
          <w:szCs w:val="24"/>
        </w:rPr>
        <w:t>, Stefan H. Bossmann</w:t>
      </w:r>
      <w:r w:rsidRPr="001B3D9A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1B3D9A">
        <w:rPr>
          <w:rFonts w:ascii="Times New Roman" w:hAnsi="Times New Roman" w:cs="Times New Roman"/>
          <w:sz w:val="24"/>
          <w:szCs w:val="24"/>
        </w:rPr>
        <w:t>, and Snigdha Banerjee</w:t>
      </w:r>
      <w:r w:rsidRPr="001B3D9A">
        <w:rPr>
          <w:rFonts w:ascii="Times New Roman" w:hAnsi="Times New Roman" w:cs="Times New Roman"/>
          <w:sz w:val="24"/>
          <w:szCs w:val="24"/>
          <w:vertAlign w:val="superscript"/>
        </w:rPr>
        <w:t>2,5*</w:t>
      </w:r>
    </w:p>
    <w:p w14:paraId="2F36EC80" w14:textId="77777777" w:rsidR="00D4077D" w:rsidRDefault="00D4077D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10F8621D" w14:textId="4A656740" w:rsidR="00D4077D" w:rsidRDefault="005A52A6">
      <w:pPr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br w:type="page"/>
      </w:r>
    </w:p>
    <w:p w14:paraId="17ABFD1B" w14:textId="77777777" w:rsidR="005A52A6" w:rsidRDefault="005A52A6" w:rsidP="001B3D9A">
      <w:pPr>
        <w:spacing w:after="120"/>
        <w:rPr>
          <w:rFonts w:ascii="Times New Roman" w:hAnsi="Times New Roman" w:cs="Times New Roman"/>
          <w:b/>
          <w:bCs/>
          <w:sz w:val="24"/>
          <w:szCs w:val="24"/>
          <w:vertAlign w:val="superscript"/>
        </w:rPr>
      </w:pPr>
    </w:p>
    <w:p w14:paraId="0CE1ABC8" w14:textId="316585BC" w:rsidR="002241A6" w:rsidRDefault="002241A6" w:rsidP="001B3D9A">
      <w:pPr>
        <w:spacing w:after="120"/>
        <w:rPr>
          <w:rFonts w:ascii="Times New Roman" w:hAnsi="Times New Roman" w:cs="Times New Roman"/>
          <w:b/>
          <w:bCs/>
          <w:sz w:val="24"/>
          <w:szCs w:val="24"/>
          <w:vertAlign w:val="superscript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vertAlign w:val="superscript"/>
        </w:rPr>
        <w:drawing>
          <wp:inline distT="0" distB="0" distL="0" distR="0" wp14:anchorId="1EC8563D" wp14:editId="17CB19EB">
            <wp:extent cx="4278573" cy="3903060"/>
            <wp:effectExtent l="0" t="0" r="8255" b="2540"/>
            <wp:docPr id="1903031108" name="Picture 1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3031108" name="Picture 1" descr="Graphical user interface, application, Word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4787" cy="3917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86A867" w14:textId="5CFEA1F8" w:rsidR="005A52A6" w:rsidRPr="00782D9A" w:rsidRDefault="005A52A6" w:rsidP="00782D9A">
      <w:pPr>
        <w:spacing w:after="1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91992587"/>
      <w:r w:rsidRPr="00782D9A">
        <w:rPr>
          <w:rFonts w:ascii="Times New Roman" w:hAnsi="Times New Roman" w:cs="Times New Roman"/>
          <w:b/>
          <w:bCs/>
          <w:sz w:val="24"/>
          <w:szCs w:val="24"/>
        </w:rPr>
        <w:t xml:space="preserve">Figure S1.  </w:t>
      </w:r>
      <w:r w:rsidR="006F749F">
        <w:rPr>
          <w:rFonts w:ascii="Times New Roman" w:hAnsi="Times New Roman" w:cs="Times New Roman"/>
          <w:b/>
          <w:bCs/>
          <w:sz w:val="24"/>
          <w:szCs w:val="24"/>
        </w:rPr>
        <w:t xml:space="preserve">Detection of Tunicamycin in </w:t>
      </w:r>
      <w:r w:rsidRPr="00782D9A">
        <w:rPr>
          <w:rFonts w:ascii="Times New Roman" w:hAnsi="Times New Roman" w:cs="Times New Roman"/>
          <w:b/>
          <w:bCs/>
          <w:sz w:val="24"/>
          <w:szCs w:val="24"/>
        </w:rPr>
        <w:t>cell-free system.</w:t>
      </w:r>
      <w:r w:rsidR="002241A6" w:rsidRPr="00782D9A">
        <w:rPr>
          <w:rFonts w:ascii="Times New Roman" w:hAnsi="Times New Roman" w:cs="Times New Roman"/>
          <w:b/>
          <w:bCs/>
          <w:sz w:val="24"/>
          <w:szCs w:val="24"/>
        </w:rPr>
        <w:t xml:space="preserve"> (A). </w:t>
      </w:r>
      <w:r w:rsidR="002241A6" w:rsidRPr="00782D9A">
        <w:rPr>
          <w:rFonts w:ascii="Times New Roman" w:hAnsi="Times New Roman" w:cs="Times New Roman"/>
          <w:sz w:val="24"/>
          <w:szCs w:val="24"/>
        </w:rPr>
        <w:t xml:space="preserve"> detection of highest sensitive wavelength of Tunicamycin using UV/VIS spectrophotometer, and </w:t>
      </w:r>
      <w:r w:rsidR="002241A6" w:rsidRPr="00782D9A">
        <w:rPr>
          <w:rFonts w:ascii="Times New Roman" w:hAnsi="Times New Roman" w:cs="Times New Roman"/>
          <w:b/>
          <w:bCs/>
          <w:sz w:val="24"/>
          <w:szCs w:val="24"/>
        </w:rPr>
        <w:t xml:space="preserve">(B). </w:t>
      </w:r>
      <w:r w:rsidR="002241A6" w:rsidRPr="00782D9A">
        <w:rPr>
          <w:rFonts w:ascii="Times New Roman" w:hAnsi="Times New Roman" w:cs="Times New Roman"/>
          <w:sz w:val="24"/>
          <w:szCs w:val="24"/>
        </w:rPr>
        <w:t xml:space="preserve">Standard curve of Tunicamycin </w:t>
      </w:r>
    </w:p>
    <w:bookmarkEnd w:id="0"/>
    <w:p w14:paraId="2B9ADEA4" w14:textId="77777777" w:rsidR="001B3D9A" w:rsidRDefault="001B3D9A" w:rsidP="001B3D9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2CFC149" w14:textId="25E99C7A" w:rsidR="0032134A" w:rsidRDefault="0032134A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28B02D8" w14:textId="77777777" w:rsidR="00782D9A" w:rsidRDefault="00782D9A" w:rsidP="001B3D9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72DE62C" w14:textId="3633C529" w:rsidR="00782D9A" w:rsidRDefault="003A44B5" w:rsidP="001B3D9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7B1F9859" wp14:editId="2B52ECF8">
            <wp:extent cx="5943600" cy="3961130"/>
            <wp:effectExtent l="0" t="0" r="0" b="1270"/>
            <wp:docPr id="1279054760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9054760" name="Picture 1" descr="Diagram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1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848406" w14:textId="009F603A" w:rsidR="001B3D9A" w:rsidRDefault="00A071EC" w:rsidP="001B3D9A">
      <w:pPr>
        <w:jc w:val="both"/>
        <w:rPr>
          <w:rFonts w:ascii="Times New Roman" w:hAnsi="Times New Roman" w:cs="Times New Roman"/>
          <w:sz w:val="24"/>
          <w:szCs w:val="24"/>
        </w:rPr>
      </w:pPr>
      <w:r w:rsidRPr="00A071EC">
        <w:rPr>
          <w:rStyle w:val="Strong"/>
          <w:rFonts w:ascii="Times New Roman" w:hAnsi="Times New Roman" w:cs="Times New Roman"/>
          <w:color w:val="0E101A"/>
          <w:sz w:val="24"/>
          <w:szCs w:val="24"/>
        </w:rPr>
        <w:t xml:space="preserve">Figure S2.  </w:t>
      </w:r>
      <w:r w:rsidRPr="00A071EC">
        <w:rPr>
          <w:rStyle w:val="Emphasis"/>
          <w:rFonts w:ascii="Times New Roman" w:hAnsi="Times New Roman" w:cs="Times New Roman"/>
          <w:b/>
          <w:bCs/>
          <w:color w:val="0E101A"/>
          <w:sz w:val="24"/>
          <w:szCs w:val="24"/>
        </w:rPr>
        <w:t xml:space="preserve">In vitro </w:t>
      </w:r>
      <w:r w:rsidRPr="00A071EC">
        <w:rPr>
          <w:rStyle w:val="Strong"/>
          <w:rFonts w:ascii="Times New Roman" w:hAnsi="Times New Roman" w:cs="Times New Roman"/>
          <w:color w:val="0E101A"/>
          <w:sz w:val="24"/>
          <w:szCs w:val="24"/>
        </w:rPr>
        <w:t xml:space="preserve">plasma assay.  </w:t>
      </w:r>
      <w:r w:rsidRPr="00A071EC">
        <w:rPr>
          <w:rFonts w:ascii="Times New Roman" w:hAnsi="Times New Roman" w:cs="Times New Roman"/>
          <w:sz w:val="24"/>
          <w:szCs w:val="24"/>
        </w:rPr>
        <w:t xml:space="preserve">The bioavailability of Tunicamycin was measured using </w:t>
      </w:r>
      <w:r w:rsidRPr="00A071EC">
        <w:rPr>
          <w:rStyle w:val="Emphasis"/>
          <w:rFonts w:ascii="Times New Roman" w:hAnsi="Times New Roman" w:cs="Times New Roman"/>
          <w:color w:val="0E101A"/>
          <w:sz w:val="24"/>
          <w:szCs w:val="24"/>
        </w:rPr>
        <w:t xml:space="preserve">in vitro </w:t>
      </w:r>
      <w:r w:rsidRPr="00A071EC">
        <w:rPr>
          <w:rFonts w:ascii="Times New Roman" w:hAnsi="Times New Roman" w:cs="Times New Roman"/>
          <w:sz w:val="24"/>
          <w:szCs w:val="24"/>
        </w:rPr>
        <w:t>plasma assay</w:t>
      </w:r>
      <w:r w:rsidRPr="00A071EC">
        <w:rPr>
          <w:rStyle w:val="Emphasis"/>
          <w:rFonts w:ascii="Times New Roman" w:hAnsi="Times New Roman" w:cs="Times New Roman"/>
          <w:color w:val="0E101A"/>
          <w:sz w:val="24"/>
          <w:szCs w:val="24"/>
        </w:rPr>
        <w:t>.</w:t>
      </w:r>
      <w:r w:rsidRPr="00A071EC">
        <w:rPr>
          <w:rFonts w:ascii="Times New Roman" w:hAnsi="Times New Roman" w:cs="Times New Roman"/>
          <w:sz w:val="24"/>
          <w:szCs w:val="24"/>
        </w:rPr>
        <w:t>  Tunicamycin</w:t>
      </w:r>
      <w:r w:rsidR="00BF16AB">
        <w:rPr>
          <w:rFonts w:ascii="Times New Roman" w:hAnsi="Times New Roman" w:cs="Times New Roman"/>
          <w:sz w:val="24"/>
          <w:szCs w:val="24"/>
        </w:rPr>
        <w:t xml:space="preserve"> or </w:t>
      </w:r>
      <w:r w:rsidR="00BF16AB" w:rsidRPr="00BF16AB">
        <w:rPr>
          <w:rFonts w:ascii="Times New Roman" w:hAnsi="Times New Roman" w:cs="Times New Roman"/>
          <w:sz w:val="24"/>
          <w:szCs w:val="24"/>
          <w:vertAlign w:val="superscript"/>
        </w:rPr>
        <w:t>NP</w:t>
      </w:r>
      <w:r w:rsidR="00BF16AB">
        <w:rPr>
          <w:rFonts w:ascii="Times New Roman" w:hAnsi="Times New Roman" w:cs="Times New Roman"/>
          <w:sz w:val="24"/>
          <w:szCs w:val="24"/>
        </w:rPr>
        <w:t>TM</w:t>
      </w:r>
      <w:r w:rsidRPr="00A071EC">
        <w:rPr>
          <w:rFonts w:ascii="Times New Roman" w:hAnsi="Times New Roman" w:cs="Times New Roman"/>
          <w:sz w:val="24"/>
          <w:szCs w:val="24"/>
        </w:rPr>
        <w:t xml:space="preserve"> (1µM) in 1 mL </w:t>
      </w:r>
      <w:r w:rsidR="00BF16AB">
        <w:rPr>
          <w:rFonts w:ascii="Times New Roman" w:hAnsi="Times New Roman" w:cs="Times New Roman"/>
          <w:sz w:val="24"/>
          <w:szCs w:val="24"/>
        </w:rPr>
        <w:t xml:space="preserve">mouse </w:t>
      </w:r>
      <w:r w:rsidRPr="00A071EC">
        <w:rPr>
          <w:rFonts w:ascii="Times New Roman" w:hAnsi="Times New Roman" w:cs="Times New Roman"/>
          <w:sz w:val="24"/>
          <w:szCs w:val="24"/>
        </w:rPr>
        <w:t xml:space="preserve">plasma </w:t>
      </w:r>
      <w:r w:rsidR="00F8428B">
        <w:rPr>
          <w:rFonts w:ascii="Times New Roman" w:hAnsi="Times New Roman" w:cs="Times New Roman"/>
          <w:sz w:val="24"/>
          <w:szCs w:val="24"/>
        </w:rPr>
        <w:t xml:space="preserve">( diluted to 80% with 0.05M PBS, pH 7.4) </w:t>
      </w:r>
      <w:r w:rsidRPr="00A071EC">
        <w:rPr>
          <w:rFonts w:ascii="Times New Roman" w:hAnsi="Times New Roman" w:cs="Times New Roman"/>
          <w:sz w:val="24"/>
          <w:szCs w:val="24"/>
        </w:rPr>
        <w:t>was incubated at 37</w:t>
      </w:r>
      <w:r w:rsidRPr="00BF16AB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Pr="00A071EC">
        <w:rPr>
          <w:rFonts w:ascii="Times New Roman" w:hAnsi="Times New Roman" w:cs="Times New Roman"/>
          <w:sz w:val="24"/>
          <w:szCs w:val="24"/>
        </w:rPr>
        <w:t>C for different time points</w:t>
      </w:r>
      <w:r w:rsidR="00BF16AB">
        <w:rPr>
          <w:rFonts w:ascii="Times New Roman" w:hAnsi="Times New Roman" w:cs="Times New Roman"/>
          <w:sz w:val="24"/>
          <w:szCs w:val="24"/>
        </w:rPr>
        <w:t xml:space="preserve">.  </w:t>
      </w:r>
      <w:r w:rsidRPr="00A071EC">
        <w:rPr>
          <w:rFonts w:ascii="Times New Roman" w:hAnsi="Times New Roman" w:cs="Times New Roman"/>
          <w:sz w:val="24"/>
          <w:szCs w:val="24"/>
        </w:rPr>
        <w:t xml:space="preserve"> </w:t>
      </w:r>
      <w:r w:rsidR="00BF16AB">
        <w:rPr>
          <w:rFonts w:ascii="Times New Roman" w:hAnsi="Times New Roman" w:cs="Times New Roman"/>
          <w:sz w:val="24"/>
          <w:szCs w:val="24"/>
        </w:rPr>
        <w:t xml:space="preserve">After centrifugation, </w:t>
      </w:r>
      <w:r w:rsidRPr="00A071EC">
        <w:rPr>
          <w:rFonts w:ascii="Times New Roman" w:hAnsi="Times New Roman" w:cs="Times New Roman"/>
          <w:sz w:val="24"/>
          <w:szCs w:val="24"/>
        </w:rPr>
        <w:t>TM concentration was measured in a UV/VIS spectrophotometer at 300nm.  </w:t>
      </w:r>
    </w:p>
    <w:p w14:paraId="4501EADA" w14:textId="77777777" w:rsidR="00F235FB" w:rsidRDefault="00F235FB" w:rsidP="001B3D9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D08EA94" w14:textId="757C2960" w:rsidR="00E0634F" w:rsidRDefault="00E0634F" w:rsidP="001B3D9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Pr="00692C87">
        <w:rPr>
          <w:noProof/>
        </w:rPr>
        <w:drawing>
          <wp:inline distT="0" distB="0" distL="0" distR="0" wp14:anchorId="2D95B46B" wp14:editId="428DA4C2">
            <wp:extent cx="2676525" cy="194656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2992" cy="1965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BD3D3D" w14:textId="574BE9D1" w:rsidR="00F235FB" w:rsidRPr="00F235FB" w:rsidRDefault="00F235FB" w:rsidP="00F235F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S3.  Half-life calculation.  </w:t>
      </w:r>
      <w:r w:rsidRPr="00F235FB">
        <w:rPr>
          <w:rFonts w:ascii="Times New Roman" w:hAnsi="Times New Roman" w:cs="Times New Roman"/>
          <w:sz w:val="24"/>
          <w:szCs w:val="24"/>
        </w:rPr>
        <w:t>The in vitro plasma half-life (t</w:t>
      </w:r>
      <w:r w:rsidRPr="00F235FB">
        <w:rPr>
          <w:rFonts w:ascii="Times New Roman" w:hAnsi="Times New Roman" w:cs="Times New Roman"/>
          <w:sz w:val="24"/>
          <w:szCs w:val="24"/>
          <w:vertAlign w:val="subscript"/>
        </w:rPr>
        <w:t>1/2</w:t>
      </w:r>
      <w:r w:rsidRPr="00F235FB">
        <w:rPr>
          <w:rFonts w:ascii="Times New Roman" w:hAnsi="Times New Roman" w:cs="Times New Roman"/>
          <w:sz w:val="24"/>
          <w:szCs w:val="24"/>
        </w:rPr>
        <w:t xml:space="preserve">) </w:t>
      </w:r>
      <w:r w:rsidR="00E0634F">
        <w:rPr>
          <w:rFonts w:ascii="Times New Roman" w:hAnsi="Times New Roman" w:cs="Times New Roman"/>
          <w:sz w:val="24"/>
          <w:szCs w:val="24"/>
        </w:rPr>
        <w:t xml:space="preserve">of free-TM </w:t>
      </w:r>
      <w:r w:rsidRPr="00F235FB">
        <w:rPr>
          <w:rFonts w:ascii="Times New Roman" w:hAnsi="Times New Roman" w:cs="Times New Roman"/>
          <w:sz w:val="24"/>
          <w:szCs w:val="24"/>
        </w:rPr>
        <w:t>was calculated using the expression t1/2=0.693/b, where b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235FB">
        <w:rPr>
          <w:rFonts w:ascii="Times New Roman" w:hAnsi="Times New Roman" w:cs="Times New Roman"/>
          <w:sz w:val="24"/>
          <w:szCs w:val="24"/>
        </w:rPr>
        <w:t>is the slope found in the linear fit of the natural logarithm of the fraction remaining of the parent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235FB">
        <w:rPr>
          <w:rFonts w:ascii="Times New Roman" w:hAnsi="Times New Roman" w:cs="Times New Roman"/>
          <w:sz w:val="24"/>
          <w:szCs w:val="24"/>
        </w:rPr>
        <w:t>compound vs. incubation time.</w:t>
      </w:r>
      <w:r w:rsidR="00E0634F">
        <w:rPr>
          <w:rFonts w:ascii="Times New Roman" w:hAnsi="Times New Roman" w:cs="Times New Roman"/>
          <w:sz w:val="24"/>
          <w:szCs w:val="24"/>
        </w:rPr>
        <w:t xml:space="preserve">  We </w:t>
      </w:r>
      <w:r w:rsidR="00E0634F" w:rsidRPr="00E0634F">
        <w:rPr>
          <w:rFonts w:ascii="Times New Roman" w:hAnsi="Times New Roman" w:cs="Times New Roman"/>
          <w:sz w:val="24"/>
          <w:szCs w:val="24"/>
        </w:rPr>
        <w:t xml:space="preserve">calculated </w:t>
      </w:r>
      <w:r w:rsidR="00E0634F" w:rsidRPr="00E0634F">
        <w:rPr>
          <w:rFonts w:ascii="Times New Roman" w:hAnsi="Times New Roman" w:cs="Times New Roman"/>
          <w:sz w:val="24"/>
          <w:szCs w:val="24"/>
        </w:rPr>
        <w:lastRenderedPageBreak/>
        <w:t>the half-life after excluding the observations at 16 hr. The obtained half-life was t</w:t>
      </w:r>
      <w:r w:rsidR="00E0634F" w:rsidRPr="00E0634F">
        <w:rPr>
          <w:rFonts w:ascii="Times New Roman" w:hAnsi="Times New Roman" w:cs="Times New Roman"/>
          <w:sz w:val="24"/>
          <w:szCs w:val="24"/>
          <w:vertAlign w:val="subscript"/>
        </w:rPr>
        <w:t>1/2</w:t>
      </w:r>
      <w:r w:rsidR="00E0634F" w:rsidRPr="00E0634F">
        <w:rPr>
          <w:rFonts w:ascii="Times New Roman" w:hAnsi="Times New Roman" w:cs="Times New Roman"/>
          <w:sz w:val="24"/>
          <w:szCs w:val="24"/>
        </w:rPr>
        <w:t xml:space="preserve"> = 1.836 hr. [95% confidence interval, (1.717, 1.955)].</w:t>
      </w:r>
    </w:p>
    <w:sectPr w:rsidR="00F235FB" w:rsidRPr="00F235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D9A"/>
    <w:rsid w:val="000A0619"/>
    <w:rsid w:val="001B3D9A"/>
    <w:rsid w:val="002241A6"/>
    <w:rsid w:val="00242B3E"/>
    <w:rsid w:val="0032134A"/>
    <w:rsid w:val="003A44B5"/>
    <w:rsid w:val="005738E7"/>
    <w:rsid w:val="00590281"/>
    <w:rsid w:val="005A52A6"/>
    <w:rsid w:val="00624F06"/>
    <w:rsid w:val="006F749F"/>
    <w:rsid w:val="00782D9A"/>
    <w:rsid w:val="00857DBC"/>
    <w:rsid w:val="00A071EC"/>
    <w:rsid w:val="00BF16AB"/>
    <w:rsid w:val="00C97003"/>
    <w:rsid w:val="00D4077D"/>
    <w:rsid w:val="00E0634F"/>
    <w:rsid w:val="00F235FB"/>
    <w:rsid w:val="00F84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24DD98"/>
  <w15:chartTrackingRefBased/>
  <w15:docId w15:val="{122EC37C-D366-4460-A993-EE1EEF657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071EC"/>
    <w:rPr>
      <w:b/>
      <w:bCs/>
    </w:rPr>
  </w:style>
  <w:style w:type="character" w:styleId="Emphasis">
    <w:name w:val="Emphasis"/>
    <w:basedOn w:val="DefaultParagraphFont"/>
    <w:uiPriority w:val="20"/>
    <w:qFormat/>
    <w:rsid w:val="00A071E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017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4</Pages>
  <Words>214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Banerjee, Sushanta K. (KCVA)</dc:creator>
  <cp:keywords/>
  <dc:description/>
  <cp:lastModifiedBy>Banerjee, Sushanta K. (KCVA)</cp:lastModifiedBy>
  <cp:revision>11</cp:revision>
  <dcterms:created xsi:type="dcterms:W3CDTF">2025-01-29T12:43:00Z</dcterms:created>
  <dcterms:modified xsi:type="dcterms:W3CDTF">2025-03-13T19:29:00Z</dcterms:modified>
</cp:coreProperties>
</file>